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78A33">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4861EC49">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3D9A5853">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22BD8CF5">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服务类</w:t>
      </w:r>
      <w:r>
        <w:rPr>
          <w:rFonts w:hint="eastAsia" w:ascii="宋体" w:hAnsi="宋体" w:eastAsia="宋体"/>
          <w:b/>
          <w:bCs/>
          <w:color w:val="auto"/>
          <w:sz w:val="52"/>
          <w:szCs w:val="52"/>
          <w:highlight w:val="none"/>
          <w:lang w:eastAsia="zh-CN"/>
        </w:rPr>
        <w:t>）</w:t>
      </w:r>
    </w:p>
    <w:p w14:paraId="65713D5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4B366C3E">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4BB114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A4B864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0238876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2C12B4E6">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1A6A64D2">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滁州市第二人民医院被服洗涤服务采购项目</w:t>
      </w:r>
    </w:p>
    <w:p w14:paraId="7A457A3A">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lang w:eastAsia="zh-CN"/>
        </w:rPr>
        <w:t>CZEY-2025001</w:t>
      </w:r>
    </w:p>
    <w:p w14:paraId="3ECD9FA6">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滁州市第二人民医院（市传染病医院、市精神病医院）</w:t>
      </w:r>
    </w:p>
    <w:p w14:paraId="7736FB99">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江苏川页工程项目管理有限公司</w:t>
      </w:r>
    </w:p>
    <w:p w14:paraId="61CF2BB0">
      <w:pPr>
        <w:tabs>
          <w:tab w:val="left" w:pos="315"/>
          <w:tab w:val="left" w:pos="8820"/>
        </w:tabs>
        <w:spacing w:before="312" w:beforeLines="100" w:after="156" w:afterLines="50" w:line="500" w:lineRule="exact"/>
        <w:ind w:right="267" w:rightChars="127"/>
        <w:jc w:val="center"/>
        <w:rPr>
          <w:rFonts w:hint="default" w:ascii="宋体" w:hAnsi="宋体" w:eastAsia="宋体"/>
          <w:b/>
          <w:bCs/>
          <w:color w:val="auto"/>
          <w:sz w:val="32"/>
          <w:szCs w:val="32"/>
          <w:highlight w:val="none"/>
          <w:lang w:val="en-US" w:eastAsia="zh-CN"/>
        </w:rPr>
      </w:pPr>
      <w:r>
        <w:rPr>
          <w:rFonts w:hint="eastAsia" w:ascii="宋体" w:hAnsi="宋体" w:eastAsia="宋体"/>
          <w:b/>
          <w:bCs/>
          <w:color w:val="auto"/>
          <w:sz w:val="32"/>
          <w:szCs w:val="32"/>
          <w:highlight w:val="none"/>
          <w:lang w:val="en-US" w:eastAsia="zh-CN"/>
        </w:rPr>
        <w:t>2025年3月</w:t>
      </w:r>
    </w:p>
    <w:p w14:paraId="66A92C81">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p>
    <w:p w14:paraId="685AECAD">
      <w:pPr>
        <w:rPr>
          <w:rFonts w:hint="eastAsia" w:ascii="宋体" w:hAnsi="宋体" w:eastAsia="宋体"/>
          <w:b/>
          <w:color w:val="auto"/>
          <w:sz w:val="28"/>
          <w:highlight w:val="none"/>
        </w:rPr>
      </w:pPr>
      <w:r>
        <w:rPr>
          <w:rFonts w:hint="eastAsia" w:ascii="宋体" w:hAnsi="宋体" w:eastAsia="宋体"/>
          <w:b/>
          <w:color w:val="auto"/>
          <w:sz w:val="28"/>
          <w:highlight w:val="none"/>
        </w:rPr>
        <w:br w:type="page"/>
      </w:r>
    </w:p>
    <w:p w14:paraId="07791B2B">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45F048E7">
      <w:pPr>
        <w:pStyle w:val="16"/>
        <w:tabs>
          <w:tab w:val="right" w:leader="dot" w:pos="8306"/>
        </w:tabs>
        <w:rPr>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_Toc23443 </w:instrText>
      </w:r>
      <w:r>
        <w:rPr>
          <w:rFonts w:ascii="宋体" w:hAnsi="宋体" w:eastAsia="宋体"/>
          <w:szCs w:val="24"/>
          <w:highlight w:val="none"/>
        </w:rPr>
        <w:fldChar w:fldCharType="separate"/>
      </w:r>
      <w:r>
        <w:rPr>
          <w:rFonts w:hint="eastAsia" w:ascii="宋体" w:hAnsi="宋体" w:eastAsia="宋体"/>
          <w:highlight w:val="none"/>
        </w:rPr>
        <w:t xml:space="preserve">第一章 </w:t>
      </w:r>
      <w:r>
        <w:rPr>
          <w:rFonts w:ascii="宋体" w:hAnsi="宋体" w:eastAsia="宋体"/>
          <w:highlight w:val="none"/>
        </w:rPr>
        <w:t xml:space="preserve"> 投标邀请</w:t>
      </w:r>
      <w:r>
        <w:rPr>
          <w:highlight w:val="none"/>
        </w:rPr>
        <w:tab/>
      </w:r>
      <w:r>
        <w:rPr>
          <w:highlight w:val="none"/>
        </w:rPr>
        <w:fldChar w:fldCharType="begin"/>
      </w:r>
      <w:r>
        <w:rPr>
          <w:highlight w:val="none"/>
        </w:rPr>
        <w:instrText xml:space="preserve"> PAGEREF _Toc23443 \h </w:instrText>
      </w:r>
      <w:r>
        <w:rPr>
          <w:highlight w:val="none"/>
        </w:rPr>
        <w:fldChar w:fldCharType="separate"/>
      </w:r>
      <w:r>
        <w:rPr>
          <w:highlight w:val="none"/>
        </w:rPr>
        <w:t>1</w:t>
      </w:r>
      <w:r>
        <w:rPr>
          <w:highlight w:val="none"/>
        </w:rPr>
        <w:fldChar w:fldCharType="end"/>
      </w:r>
      <w:r>
        <w:rPr>
          <w:rFonts w:ascii="宋体" w:hAnsi="宋体" w:eastAsia="宋体"/>
          <w:color w:val="auto"/>
          <w:szCs w:val="24"/>
          <w:highlight w:val="none"/>
        </w:rPr>
        <w:fldChar w:fldCharType="end"/>
      </w:r>
    </w:p>
    <w:p w14:paraId="014915B6">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_Toc31935 </w:instrText>
      </w:r>
      <w:r>
        <w:rPr>
          <w:rFonts w:ascii="宋体" w:hAnsi="宋体" w:eastAsia="宋体"/>
          <w:szCs w:val="24"/>
          <w:highlight w:val="none"/>
        </w:rPr>
        <w:fldChar w:fldCharType="separate"/>
      </w:r>
      <w:r>
        <w:rPr>
          <w:rFonts w:hint="eastAsia" w:ascii="宋体" w:hAnsi="宋体" w:eastAsia="宋体"/>
          <w:highlight w:val="none"/>
        </w:rPr>
        <w:t>第二章</w:t>
      </w:r>
      <w:r>
        <w:rPr>
          <w:rFonts w:ascii="宋体" w:hAnsi="宋体" w:eastAsia="宋体"/>
          <w:highlight w:val="none"/>
        </w:rPr>
        <w:t xml:space="preserve"> </w:t>
      </w:r>
      <w:r>
        <w:rPr>
          <w:rFonts w:hint="eastAsia" w:ascii="宋体" w:hAnsi="宋体" w:eastAsia="宋体"/>
          <w:highlight w:val="none"/>
        </w:rPr>
        <w:t xml:space="preserve"> </w:t>
      </w:r>
      <w:r>
        <w:rPr>
          <w:rFonts w:ascii="宋体" w:hAnsi="宋体" w:eastAsia="宋体"/>
          <w:highlight w:val="none"/>
        </w:rPr>
        <w:t>投标人须知</w:t>
      </w:r>
      <w:r>
        <w:rPr>
          <w:highlight w:val="none"/>
        </w:rPr>
        <w:tab/>
      </w:r>
      <w:r>
        <w:rPr>
          <w:highlight w:val="none"/>
        </w:rPr>
        <w:fldChar w:fldCharType="begin"/>
      </w:r>
      <w:r>
        <w:rPr>
          <w:highlight w:val="none"/>
        </w:rPr>
        <w:instrText xml:space="preserve"> PAGEREF _Toc31935 \h </w:instrText>
      </w:r>
      <w:r>
        <w:rPr>
          <w:highlight w:val="none"/>
        </w:rPr>
        <w:fldChar w:fldCharType="separate"/>
      </w:r>
      <w:r>
        <w:rPr>
          <w:highlight w:val="none"/>
        </w:rPr>
        <w:t>3</w:t>
      </w:r>
      <w:r>
        <w:rPr>
          <w:highlight w:val="none"/>
        </w:rPr>
        <w:fldChar w:fldCharType="end"/>
      </w:r>
      <w:r>
        <w:rPr>
          <w:rFonts w:ascii="宋体" w:hAnsi="宋体" w:eastAsia="宋体"/>
          <w:color w:val="auto"/>
          <w:szCs w:val="24"/>
          <w:highlight w:val="none"/>
        </w:rPr>
        <w:fldChar w:fldCharType="end"/>
      </w:r>
    </w:p>
    <w:p w14:paraId="1F0C1596">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_Toc10891 </w:instrText>
      </w:r>
      <w:r>
        <w:rPr>
          <w:rFonts w:ascii="宋体" w:hAnsi="宋体" w:eastAsia="宋体"/>
          <w:szCs w:val="24"/>
          <w:highlight w:val="none"/>
        </w:rPr>
        <w:fldChar w:fldCharType="separate"/>
      </w:r>
      <w:r>
        <w:rPr>
          <w:rFonts w:hint="eastAsia" w:ascii="宋体" w:hAnsi="宋体" w:eastAsia="宋体"/>
          <w:highlight w:val="none"/>
        </w:rPr>
        <w:t>第三章  采购需求</w:t>
      </w:r>
      <w:r>
        <w:rPr>
          <w:highlight w:val="none"/>
        </w:rPr>
        <w:tab/>
      </w:r>
      <w:r>
        <w:rPr>
          <w:highlight w:val="none"/>
        </w:rPr>
        <w:fldChar w:fldCharType="begin"/>
      </w:r>
      <w:r>
        <w:rPr>
          <w:highlight w:val="none"/>
        </w:rPr>
        <w:instrText xml:space="preserve"> PAGEREF _Toc10891 \h </w:instrText>
      </w:r>
      <w:r>
        <w:rPr>
          <w:highlight w:val="none"/>
        </w:rPr>
        <w:fldChar w:fldCharType="separate"/>
      </w:r>
      <w:r>
        <w:rPr>
          <w:highlight w:val="none"/>
        </w:rPr>
        <w:t>18</w:t>
      </w:r>
      <w:r>
        <w:rPr>
          <w:highlight w:val="none"/>
        </w:rPr>
        <w:fldChar w:fldCharType="end"/>
      </w:r>
      <w:r>
        <w:rPr>
          <w:rFonts w:ascii="宋体" w:hAnsi="宋体" w:eastAsia="宋体"/>
          <w:color w:val="auto"/>
          <w:szCs w:val="24"/>
          <w:highlight w:val="none"/>
        </w:rPr>
        <w:fldChar w:fldCharType="end"/>
      </w:r>
    </w:p>
    <w:p w14:paraId="2716B4CC">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_Toc16417 </w:instrText>
      </w:r>
      <w:r>
        <w:rPr>
          <w:rFonts w:ascii="宋体" w:hAnsi="宋体" w:eastAsia="宋体"/>
          <w:szCs w:val="24"/>
          <w:highlight w:val="none"/>
        </w:rPr>
        <w:fldChar w:fldCharType="separate"/>
      </w:r>
      <w:r>
        <w:rPr>
          <w:rFonts w:hint="eastAsia" w:ascii="宋体" w:hAnsi="宋体" w:eastAsia="宋体"/>
          <w:highlight w:val="none"/>
        </w:rPr>
        <w:t>第四章  评标方法和标准</w:t>
      </w:r>
      <w:r>
        <w:rPr>
          <w:highlight w:val="none"/>
        </w:rPr>
        <w:tab/>
      </w:r>
      <w:r>
        <w:rPr>
          <w:highlight w:val="none"/>
        </w:rPr>
        <w:fldChar w:fldCharType="begin"/>
      </w:r>
      <w:r>
        <w:rPr>
          <w:highlight w:val="none"/>
        </w:rPr>
        <w:instrText xml:space="preserve"> PAGEREF _Toc16417 \h </w:instrText>
      </w:r>
      <w:r>
        <w:rPr>
          <w:highlight w:val="none"/>
        </w:rPr>
        <w:fldChar w:fldCharType="separate"/>
      </w:r>
      <w:r>
        <w:rPr>
          <w:highlight w:val="none"/>
        </w:rPr>
        <w:t>24</w:t>
      </w:r>
      <w:r>
        <w:rPr>
          <w:highlight w:val="none"/>
        </w:rPr>
        <w:fldChar w:fldCharType="end"/>
      </w:r>
      <w:r>
        <w:rPr>
          <w:rFonts w:ascii="宋体" w:hAnsi="宋体" w:eastAsia="宋体"/>
          <w:color w:val="auto"/>
          <w:szCs w:val="24"/>
          <w:highlight w:val="none"/>
        </w:rPr>
        <w:fldChar w:fldCharType="end"/>
      </w:r>
    </w:p>
    <w:p w14:paraId="681AF7DB">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_Toc4682 </w:instrText>
      </w:r>
      <w:r>
        <w:rPr>
          <w:rFonts w:ascii="宋体" w:hAnsi="宋体" w:eastAsia="宋体"/>
          <w:szCs w:val="24"/>
          <w:highlight w:val="none"/>
        </w:rPr>
        <w:fldChar w:fldCharType="separate"/>
      </w:r>
      <w:r>
        <w:rPr>
          <w:rFonts w:hint="eastAsia" w:ascii="宋体" w:hAnsi="宋体" w:eastAsia="宋体"/>
          <w:highlight w:val="none"/>
        </w:rPr>
        <w:t xml:space="preserve">第五章  </w:t>
      </w:r>
      <w:r>
        <w:rPr>
          <w:rFonts w:ascii="宋体" w:hAnsi="宋体" w:eastAsia="宋体"/>
          <w:highlight w:val="none"/>
        </w:rPr>
        <w:t>政府采购合同</w:t>
      </w:r>
      <w:r>
        <w:rPr>
          <w:highlight w:val="none"/>
        </w:rPr>
        <w:tab/>
      </w:r>
      <w:r>
        <w:rPr>
          <w:highlight w:val="none"/>
        </w:rPr>
        <w:fldChar w:fldCharType="begin"/>
      </w:r>
      <w:r>
        <w:rPr>
          <w:highlight w:val="none"/>
        </w:rPr>
        <w:instrText xml:space="preserve"> PAGEREF _Toc4682 \h </w:instrText>
      </w:r>
      <w:r>
        <w:rPr>
          <w:highlight w:val="none"/>
        </w:rPr>
        <w:fldChar w:fldCharType="separate"/>
      </w:r>
      <w:r>
        <w:rPr>
          <w:highlight w:val="none"/>
        </w:rPr>
        <w:t>28</w:t>
      </w:r>
      <w:r>
        <w:rPr>
          <w:highlight w:val="none"/>
        </w:rPr>
        <w:fldChar w:fldCharType="end"/>
      </w:r>
      <w:r>
        <w:rPr>
          <w:rFonts w:ascii="宋体" w:hAnsi="宋体" w:eastAsia="宋体"/>
          <w:color w:val="auto"/>
          <w:szCs w:val="24"/>
          <w:highlight w:val="none"/>
        </w:rPr>
        <w:fldChar w:fldCharType="end"/>
      </w:r>
    </w:p>
    <w:p w14:paraId="71ECE1B1">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_Toc22492 </w:instrText>
      </w:r>
      <w:r>
        <w:rPr>
          <w:rFonts w:ascii="宋体" w:hAnsi="宋体" w:eastAsia="宋体"/>
          <w:szCs w:val="24"/>
          <w:highlight w:val="none"/>
        </w:rPr>
        <w:fldChar w:fldCharType="separate"/>
      </w:r>
      <w:r>
        <w:rPr>
          <w:rFonts w:hint="eastAsia" w:ascii="宋体" w:hAnsi="宋体" w:eastAsia="宋体"/>
          <w:highlight w:val="none"/>
        </w:rPr>
        <w:t>第六章  投标文件格式</w:t>
      </w:r>
      <w:r>
        <w:rPr>
          <w:highlight w:val="none"/>
        </w:rPr>
        <w:tab/>
      </w:r>
      <w:r>
        <w:rPr>
          <w:highlight w:val="none"/>
        </w:rPr>
        <w:fldChar w:fldCharType="begin"/>
      </w:r>
      <w:r>
        <w:rPr>
          <w:highlight w:val="none"/>
        </w:rPr>
        <w:instrText xml:space="preserve"> PAGEREF _Toc22492 \h </w:instrText>
      </w:r>
      <w:r>
        <w:rPr>
          <w:highlight w:val="none"/>
        </w:rPr>
        <w:fldChar w:fldCharType="separate"/>
      </w:r>
      <w:r>
        <w:rPr>
          <w:highlight w:val="none"/>
        </w:rPr>
        <w:t>37</w:t>
      </w:r>
      <w:r>
        <w:rPr>
          <w:highlight w:val="none"/>
        </w:rPr>
        <w:fldChar w:fldCharType="end"/>
      </w:r>
      <w:r>
        <w:rPr>
          <w:rFonts w:ascii="宋体" w:hAnsi="宋体" w:eastAsia="宋体"/>
          <w:color w:val="auto"/>
          <w:szCs w:val="24"/>
          <w:highlight w:val="none"/>
        </w:rPr>
        <w:fldChar w:fldCharType="end"/>
      </w:r>
    </w:p>
    <w:p w14:paraId="5D664A74">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_Toc18131 </w:instrText>
      </w:r>
      <w:r>
        <w:rPr>
          <w:rFonts w:ascii="宋体" w:hAnsi="宋体" w:eastAsia="宋体"/>
          <w:szCs w:val="24"/>
          <w:highlight w:val="none"/>
        </w:rPr>
        <w:fldChar w:fldCharType="separate"/>
      </w:r>
      <w:r>
        <w:rPr>
          <w:rFonts w:hint="eastAsia" w:ascii="宋体" w:hAnsi="宋体" w:eastAsia="宋体"/>
          <w:highlight w:val="none"/>
        </w:rPr>
        <w:t>第</w:t>
      </w:r>
      <w:r>
        <w:rPr>
          <w:rFonts w:hint="eastAsia" w:ascii="宋体" w:hAnsi="宋体" w:eastAsia="宋体"/>
          <w:highlight w:val="none"/>
          <w:lang w:val="en-US" w:eastAsia="zh-CN"/>
        </w:rPr>
        <w:t>七</w:t>
      </w:r>
      <w:r>
        <w:rPr>
          <w:rFonts w:hint="eastAsia" w:ascii="宋体" w:hAnsi="宋体" w:eastAsia="宋体"/>
          <w:highlight w:val="none"/>
        </w:rPr>
        <w:t>章</w:t>
      </w:r>
      <w:r>
        <w:rPr>
          <w:rFonts w:hint="eastAsia" w:ascii="宋体" w:hAnsi="宋体" w:eastAsia="宋体"/>
          <w:bCs/>
          <w:highlight w:val="none"/>
        </w:rPr>
        <w:t xml:space="preserve">  政府采购</w:t>
      </w:r>
      <w:r>
        <w:rPr>
          <w:rFonts w:hint="eastAsia" w:ascii="宋体" w:hAnsi="宋体" w:eastAsia="宋体"/>
          <w:highlight w:val="none"/>
        </w:rPr>
        <w:t>供应</w:t>
      </w:r>
      <w:r>
        <w:rPr>
          <w:rFonts w:hint="eastAsia" w:ascii="宋体" w:hAnsi="宋体" w:eastAsia="宋体"/>
          <w:bCs/>
          <w:highlight w:val="none"/>
        </w:rPr>
        <w:t>商询问函和质疑函范本</w:t>
      </w:r>
      <w:r>
        <w:rPr>
          <w:highlight w:val="none"/>
        </w:rPr>
        <w:tab/>
      </w:r>
      <w:r>
        <w:rPr>
          <w:highlight w:val="none"/>
        </w:rPr>
        <w:fldChar w:fldCharType="begin"/>
      </w:r>
      <w:r>
        <w:rPr>
          <w:highlight w:val="none"/>
        </w:rPr>
        <w:instrText xml:space="preserve"> PAGEREF _Toc18131 \h </w:instrText>
      </w:r>
      <w:r>
        <w:rPr>
          <w:highlight w:val="none"/>
        </w:rPr>
        <w:fldChar w:fldCharType="separate"/>
      </w:r>
      <w:r>
        <w:rPr>
          <w:highlight w:val="none"/>
        </w:rPr>
        <w:t>53</w:t>
      </w:r>
      <w:r>
        <w:rPr>
          <w:highlight w:val="none"/>
        </w:rPr>
        <w:fldChar w:fldCharType="end"/>
      </w:r>
      <w:r>
        <w:rPr>
          <w:rFonts w:ascii="宋体" w:hAnsi="宋体" w:eastAsia="宋体"/>
          <w:color w:val="auto"/>
          <w:szCs w:val="24"/>
          <w:highlight w:val="none"/>
        </w:rPr>
        <w:fldChar w:fldCharType="end"/>
      </w:r>
    </w:p>
    <w:p w14:paraId="7114F32D">
      <w:pPr>
        <w:spacing w:line="360" w:lineRule="auto"/>
        <w:rPr>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ascii="宋体" w:hAnsi="宋体" w:eastAsia="宋体"/>
          <w:color w:val="auto"/>
          <w:szCs w:val="24"/>
          <w:highlight w:val="none"/>
        </w:rPr>
        <w:fldChar w:fldCharType="end"/>
      </w:r>
    </w:p>
    <w:p w14:paraId="798B8536">
      <w:pPr>
        <w:spacing w:line="360" w:lineRule="auto"/>
        <w:jc w:val="center"/>
        <w:outlineLvl w:val="0"/>
        <w:rPr>
          <w:rFonts w:hint="eastAsia" w:ascii="宋体" w:hAnsi="宋体" w:eastAsia="宋体"/>
          <w:b/>
          <w:color w:val="auto"/>
          <w:sz w:val="28"/>
          <w:highlight w:val="none"/>
        </w:rPr>
      </w:pPr>
      <w:bookmarkStart w:id="1" w:name="_Toc23443"/>
      <w:r>
        <w:rPr>
          <w:rFonts w:hint="eastAsia" w:ascii="宋体" w:hAnsi="宋体" w:eastAsia="宋体"/>
          <w:b/>
          <w:color w:val="auto"/>
          <w:sz w:val="28"/>
          <w:highlight w:val="none"/>
          <w:lang w:val="en-US" w:eastAsia="zh-CN"/>
        </w:rPr>
        <w:t xml:space="preserve">第一章 </w:t>
      </w:r>
      <w:r>
        <w:rPr>
          <w:rFonts w:hint="eastAsia" w:ascii="宋体" w:hAnsi="宋体" w:eastAsia="宋体"/>
          <w:b/>
          <w:color w:val="auto"/>
          <w:sz w:val="28"/>
          <w:highlight w:val="none"/>
        </w:rPr>
        <w:t>投标邀请</w:t>
      </w:r>
      <w:bookmarkEnd w:id="1"/>
    </w:p>
    <w:p w14:paraId="1A65579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项目概况</w:t>
      </w:r>
    </w:p>
    <w:p w14:paraId="31EF59B2">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宋体" w:hAnsi="宋体" w:eastAsia="宋体"/>
          <w:b/>
          <w:color w:val="auto"/>
          <w:sz w:val="28"/>
          <w:highlight w:val="none"/>
        </w:rPr>
      </w:pPr>
      <w:r>
        <w:rPr>
          <w:rFonts w:hint="eastAsia" w:ascii="宋体" w:hAnsi="宋体" w:eastAsia="宋体"/>
          <w:color w:val="auto"/>
          <w:sz w:val="24"/>
          <w:highlight w:val="none"/>
          <w:u w:val="single"/>
          <w:lang w:eastAsia="zh-CN"/>
        </w:rPr>
        <w:t>滁州市第二人民医院被服洗涤服务采购项目</w:t>
      </w:r>
      <w:r>
        <w:rPr>
          <w:rFonts w:hint="eastAsia" w:ascii="宋体" w:hAnsi="宋体" w:eastAsia="宋体"/>
          <w:color w:val="auto"/>
          <w:sz w:val="24"/>
          <w:highlight w:val="none"/>
        </w:rPr>
        <w:t>招标项目的潜在投标人应在</w:t>
      </w:r>
      <w:r>
        <w:rPr>
          <w:rFonts w:hint="eastAsia" w:ascii="宋体" w:hAnsi="宋体" w:eastAsia="宋体"/>
          <w:color w:val="auto"/>
          <w:sz w:val="24"/>
          <w:highlight w:val="none"/>
          <w:u w:val="single"/>
          <w:lang w:eastAsia="zh-CN"/>
        </w:rPr>
        <w:t>滁州市第二人民医院</w:t>
      </w:r>
      <w:r>
        <w:rPr>
          <w:rFonts w:hint="eastAsia" w:ascii="宋体" w:hAnsi="宋体" w:eastAsia="宋体"/>
          <w:color w:val="auto"/>
          <w:sz w:val="24"/>
          <w:highlight w:val="none"/>
          <w:u w:val="single"/>
        </w:rPr>
        <w:t>网（</w:t>
      </w:r>
      <w:r>
        <w:rPr>
          <w:rFonts w:hint="eastAsia" w:ascii="宋体" w:hAnsi="宋体" w:eastAsia="宋体"/>
          <w:color w:val="auto"/>
          <w:sz w:val="24"/>
          <w:highlight w:val="none"/>
          <w:u w:val="single"/>
          <w:lang w:eastAsia="zh-CN"/>
        </w:rPr>
        <w:t>https://www.czsey.com/</w:t>
      </w:r>
      <w:r>
        <w:rPr>
          <w:rFonts w:hint="eastAsia" w:ascii="宋体" w:hAnsi="宋体" w:eastAsia="宋体"/>
          <w:color w:val="auto"/>
          <w:sz w:val="24"/>
          <w:highlight w:val="none"/>
          <w:u w:val="single"/>
        </w:rPr>
        <w:t>）</w:t>
      </w:r>
      <w:r>
        <w:rPr>
          <w:rFonts w:hint="eastAsia" w:ascii="宋体" w:hAnsi="宋体" w:eastAsia="宋体"/>
          <w:color w:val="auto"/>
          <w:sz w:val="24"/>
          <w:highlight w:val="none"/>
        </w:rPr>
        <w:t>获取招标文件，并于</w:t>
      </w:r>
      <w:r>
        <w:rPr>
          <w:rFonts w:hint="eastAsia" w:ascii="宋体" w:hAnsi="宋体" w:eastAsia="宋体"/>
          <w:color w:val="auto"/>
          <w:sz w:val="24"/>
          <w:highlight w:val="none"/>
          <w:u w:val="single"/>
          <w:lang w:eastAsia="zh-CN"/>
        </w:rPr>
        <w:t>2025</w:t>
      </w:r>
      <w:r>
        <w:rPr>
          <w:rFonts w:hint="eastAsia" w:ascii="宋体" w:hAnsi="宋体" w:eastAsia="宋体"/>
          <w:color w:val="auto"/>
          <w:sz w:val="24"/>
          <w:highlight w:val="none"/>
          <w:u w:val="single"/>
        </w:rPr>
        <w:t>年</w:t>
      </w:r>
      <w:r>
        <w:rPr>
          <w:rFonts w:hint="eastAsia" w:ascii="宋体" w:hAnsi="宋体" w:eastAsia="宋体"/>
          <w:color w:val="auto"/>
          <w:sz w:val="24"/>
          <w:highlight w:val="none"/>
          <w:u w:val="single"/>
          <w:lang w:val="en-US" w:eastAsia="zh-CN"/>
        </w:rPr>
        <w:t>3</w:t>
      </w:r>
      <w:r>
        <w:rPr>
          <w:rFonts w:hint="eastAsia" w:ascii="宋体" w:hAnsi="宋体" w:eastAsia="宋体"/>
          <w:color w:val="auto"/>
          <w:sz w:val="24"/>
          <w:highlight w:val="none"/>
          <w:u w:val="single"/>
        </w:rPr>
        <w:t>月</w:t>
      </w:r>
      <w:r>
        <w:rPr>
          <w:rFonts w:hint="eastAsia" w:ascii="宋体" w:hAnsi="宋体" w:eastAsia="宋体"/>
          <w:color w:val="auto"/>
          <w:sz w:val="24"/>
          <w:highlight w:val="none"/>
          <w:u w:val="single"/>
          <w:lang w:val="en-US" w:eastAsia="zh-CN"/>
        </w:rPr>
        <w:t>10</w:t>
      </w:r>
      <w:r>
        <w:rPr>
          <w:rFonts w:hint="eastAsia" w:ascii="宋体" w:hAnsi="宋体" w:eastAsia="宋体"/>
          <w:color w:val="auto"/>
          <w:sz w:val="24"/>
          <w:highlight w:val="none"/>
          <w:u w:val="single"/>
        </w:rPr>
        <w:t>日</w:t>
      </w:r>
      <w:r>
        <w:rPr>
          <w:rFonts w:hint="eastAsia" w:ascii="宋体" w:hAnsi="宋体" w:eastAsia="宋体"/>
          <w:color w:val="auto"/>
          <w:sz w:val="24"/>
          <w:highlight w:val="none"/>
          <w:u w:val="single"/>
          <w:lang w:val="en-US" w:eastAsia="zh-CN"/>
        </w:rPr>
        <w:t>11</w:t>
      </w:r>
      <w:r>
        <w:rPr>
          <w:rFonts w:hint="eastAsia" w:ascii="宋体" w:hAnsi="宋体" w:eastAsia="宋体"/>
          <w:color w:val="auto"/>
          <w:sz w:val="24"/>
          <w:highlight w:val="none"/>
          <w:u w:val="single"/>
        </w:rPr>
        <w:t>点</w:t>
      </w:r>
      <w:r>
        <w:rPr>
          <w:rFonts w:hint="eastAsia" w:ascii="宋体" w:hAnsi="宋体" w:eastAsia="宋体"/>
          <w:color w:val="auto"/>
          <w:sz w:val="24"/>
          <w:highlight w:val="none"/>
          <w:u w:val="single"/>
          <w:lang w:val="en-US" w:eastAsia="zh-CN"/>
        </w:rPr>
        <w:t>3</w:t>
      </w:r>
      <w:r>
        <w:rPr>
          <w:rFonts w:hint="eastAsia" w:ascii="宋体" w:hAnsi="宋体" w:eastAsia="宋体"/>
          <w:color w:val="auto"/>
          <w:sz w:val="24"/>
          <w:highlight w:val="none"/>
          <w:u w:val="single"/>
        </w:rPr>
        <w:t>0分</w:t>
      </w:r>
      <w:r>
        <w:rPr>
          <w:rFonts w:hint="eastAsia" w:ascii="宋体" w:hAnsi="宋体" w:eastAsia="宋体"/>
          <w:color w:val="auto"/>
          <w:sz w:val="24"/>
          <w:highlight w:val="none"/>
        </w:rPr>
        <w:t>（北京时间）前递交投标文件。</w:t>
      </w:r>
    </w:p>
    <w:p w14:paraId="5B2774EC">
      <w:pPr>
        <w:spacing w:line="360" w:lineRule="auto"/>
        <w:ind w:firstLine="437"/>
        <w:outlineLvl w:val="1"/>
        <w:rPr>
          <w:rFonts w:hint="eastAsia" w:ascii="宋体" w:hAnsi="宋体" w:eastAsia="宋体"/>
          <w:b/>
          <w:bCs/>
          <w:color w:val="auto"/>
          <w:sz w:val="24"/>
          <w:szCs w:val="18"/>
          <w:highlight w:val="none"/>
        </w:rPr>
      </w:pPr>
      <w:bookmarkStart w:id="2" w:name="_Toc1381"/>
      <w:bookmarkStart w:id="3" w:name="_Toc5842"/>
      <w:r>
        <w:rPr>
          <w:rFonts w:hint="eastAsia" w:ascii="宋体" w:hAnsi="宋体" w:eastAsia="宋体"/>
          <w:b/>
          <w:bCs/>
          <w:color w:val="auto"/>
          <w:sz w:val="24"/>
          <w:szCs w:val="18"/>
          <w:highlight w:val="none"/>
        </w:rPr>
        <w:t>一、</w:t>
      </w:r>
      <w:bookmarkEnd w:id="2"/>
      <w:r>
        <w:rPr>
          <w:rFonts w:hint="eastAsia" w:ascii="宋体" w:hAnsi="宋体" w:eastAsia="宋体"/>
          <w:b/>
          <w:bCs/>
          <w:color w:val="auto"/>
          <w:sz w:val="24"/>
          <w:szCs w:val="18"/>
          <w:highlight w:val="none"/>
        </w:rPr>
        <w:t>项目基本情况</w:t>
      </w:r>
      <w:bookmarkEnd w:id="3"/>
    </w:p>
    <w:p w14:paraId="0825870C">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lang w:val="en-US" w:eastAsia="zh-CN"/>
        </w:rPr>
        <w:t>项目编号：</w:t>
      </w:r>
      <w:r>
        <w:rPr>
          <w:rFonts w:hint="eastAsia" w:ascii="宋体" w:hAnsi="宋体" w:eastAsia="宋体"/>
          <w:color w:val="auto"/>
          <w:sz w:val="24"/>
          <w:highlight w:val="none"/>
          <w:u w:val="single"/>
          <w:lang w:val="en-US" w:eastAsia="zh-CN"/>
        </w:rPr>
        <w:t>CZEY-2025001</w:t>
      </w:r>
    </w:p>
    <w:p w14:paraId="1AD137B4">
      <w:pPr>
        <w:spacing w:line="360" w:lineRule="auto"/>
        <w:ind w:firstLine="240" w:firstLineChars="10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项目名称：</w:t>
      </w:r>
      <w:r>
        <w:rPr>
          <w:rFonts w:hint="eastAsia" w:ascii="宋体" w:hAnsi="宋体" w:eastAsia="宋体"/>
          <w:color w:val="auto"/>
          <w:sz w:val="24"/>
          <w:highlight w:val="none"/>
          <w:u w:val="single"/>
          <w:lang w:val="en-US" w:eastAsia="zh-CN"/>
        </w:rPr>
        <w:t>滁州市第二人民医院被服洗涤服务采购项目</w:t>
      </w:r>
    </w:p>
    <w:p w14:paraId="2B02D3C0">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预算金额：</w:t>
      </w:r>
      <w:r>
        <w:rPr>
          <w:rFonts w:hint="eastAsia" w:ascii="宋体" w:hAnsi="宋体" w:eastAsia="宋体"/>
          <w:color w:val="auto"/>
          <w:sz w:val="24"/>
          <w:highlight w:val="none"/>
          <w:u w:val="single"/>
          <w:lang w:val="en-US" w:eastAsia="zh-CN"/>
        </w:rPr>
        <w:t>16万元/年</w:t>
      </w:r>
    </w:p>
    <w:p w14:paraId="4F2D55F0">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rPr>
        <w:t>最高限价：</w:t>
      </w:r>
      <w:r>
        <w:rPr>
          <w:rFonts w:hint="eastAsia" w:ascii="宋体" w:hAnsi="宋体" w:eastAsia="宋体"/>
          <w:color w:val="auto"/>
          <w:sz w:val="24"/>
          <w:highlight w:val="none"/>
          <w:u w:val="single"/>
          <w:lang w:val="en-US" w:eastAsia="zh-CN"/>
        </w:rPr>
        <w:t>2.2元/件，高于最高限价其投标文件按无效投标处理</w:t>
      </w:r>
    </w:p>
    <w:p w14:paraId="144E45DD">
      <w:pPr>
        <w:spacing w:line="360" w:lineRule="auto"/>
        <w:ind w:firstLine="240" w:firstLineChars="100"/>
        <w:jc w:val="left"/>
        <w:rPr>
          <w:rFonts w:hint="eastAsia" w:ascii="宋体" w:hAnsi="宋体" w:eastAsia="宋体"/>
          <w:color w:val="auto"/>
          <w:sz w:val="24"/>
          <w:highlight w:val="none"/>
          <w:lang w:val="en-US" w:eastAsia="zh-CN"/>
        </w:rPr>
      </w:pPr>
      <w:r>
        <w:rPr>
          <w:rFonts w:hint="eastAsia" w:ascii="宋体" w:hAnsi="宋体" w:eastAsia="宋体"/>
          <w:color w:val="auto"/>
          <w:sz w:val="24"/>
          <w:highlight w:val="none"/>
        </w:rPr>
        <w:t>采购需求：</w:t>
      </w:r>
      <w:r>
        <w:rPr>
          <w:rFonts w:hint="eastAsia" w:ascii="宋体" w:hAnsi="宋体" w:eastAsia="宋体"/>
          <w:color w:val="auto"/>
          <w:sz w:val="24"/>
          <w:highlight w:val="none"/>
          <w:u w:val="single"/>
          <w:lang w:val="en-US" w:eastAsia="zh-CN"/>
        </w:rPr>
        <w:t>为加强本院床单元和手术室纺织品的洗涤管理，更好地满足临床需要，现就医院院区的洗涤服务对外进行招标，包括医护人员工作服（医生服、护士服、工勤服等）、床单元纺织品（床单、被套、枕套、病员衣裤）、絮类产品（包括垫被、盖被、毛毯、枕芯、棉衣棉裤等絮类产品）、窗帘、医用隔离帘类等，所有纺织品的全年洗涤总件数约8万件左右（具体数量以实际为准）；</w:t>
      </w:r>
    </w:p>
    <w:p w14:paraId="0666849D">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合同履行期限：</w:t>
      </w:r>
      <w:r>
        <w:rPr>
          <w:rFonts w:hint="eastAsia" w:ascii="宋体" w:hAnsi="宋体" w:eastAsia="宋体"/>
          <w:color w:val="auto"/>
          <w:sz w:val="24"/>
          <w:highlight w:val="none"/>
          <w:u w:val="single"/>
          <w:lang w:val="en-US" w:eastAsia="zh-CN"/>
        </w:rPr>
        <w:t>三年，合同一年一签</w:t>
      </w:r>
    </w:p>
    <w:p w14:paraId="5A97D3C0">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不</w:t>
      </w:r>
      <w:r>
        <w:rPr>
          <w:rFonts w:hint="eastAsia" w:ascii="宋体" w:hAnsi="宋体" w:eastAsia="宋体"/>
          <w:color w:val="auto"/>
          <w:sz w:val="24"/>
          <w:highlight w:val="none"/>
        </w:rPr>
        <w:t>接受联合体投标。</w:t>
      </w:r>
    </w:p>
    <w:p w14:paraId="55155D8C">
      <w:pPr>
        <w:spacing w:line="360" w:lineRule="auto"/>
        <w:ind w:firstLine="437"/>
        <w:outlineLvl w:val="1"/>
        <w:rPr>
          <w:rFonts w:hint="eastAsia" w:ascii="宋体" w:hAnsi="宋体" w:eastAsia="宋体"/>
          <w:b/>
          <w:bCs/>
          <w:color w:val="auto"/>
          <w:sz w:val="24"/>
          <w:szCs w:val="18"/>
          <w:highlight w:val="none"/>
        </w:rPr>
      </w:pPr>
      <w:bookmarkStart w:id="4" w:name="_Toc13530"/>
      <w:bookmarkStart w:id="5" w:name="_Toc26178"/>
      <w:r>
        <w:rPr>
          <w:rFonts w:hint="eastAsia" w:ascii="宋体" w:hAnsi="宋体" w:eastAsia="宋体"/>
          <w:b/>
          <w:bCs/>
          <w:color w:val="auto"/>
          <w:sz w:val="24"/>
          <w:szCs w:val="18"/>
          <w:highlight w:val="none"/>
        </w:rPr>
        <w:t>二、</w:t>
      </w:r>
      <w:bookmarkEnd w:id="4"/>
      <w:r>
        <w:rPr>
          <w:rFonts w:hint="eastAsia" w:ascii="宋体" w:hAnsi="宋体" w:eastAsia="宋体"/>
          <w:b/>
          <w:bCs/>
          <w:color w:val="auto"/>
          <w:sz w:val="24"/>
          <w:szCs w:val="18"/>
          <w:highlight w:val="none"/>
        </w:rPr>
        <w:t>申请人的资格要求</w:t>
      </w:r>
      <w:bookmarkEnd w:id="5"/>
    </w:p>
    <w:p w14:paraId="666021CF">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1.满足《中华人民共和国政府采购法》第二十二条规定； </w:t>
      </w:r>
    </w:p>
    <w:p w14:paraId="1550F6E1">
      <w:pPr>
        <w:spacing w:line="360" w:lineRule="auto"/>
        <w:ind w:firstLine="435"/>
        <w:outlineLvl w:val="9"/>
        <w:rPr>
          <w:rFonts w:hint="default" w:ascii="宋体" w:hAnsi="宋体" w:eastAsia="宋体"/>
          <w:color w:val="auto"/>
          <w:sz w:val="24"/>
          <w:highlight w:val="none"/>
          <w:lang w:val="en-US"/>
        </w:rPr>
      </w:pPr>
      <w:r>
        <w:rPr>
          <w:rFonts w:hint="eastAsia" w:ascii="宋体" w:hAnsi="宋体" w:eastAsia="宋体"/>
          <w:color w:val="auto"/>
          <w:sz w:val="24"/>
          <w:highlight w:val="none"/>
          <w:lang w:val="en-US" w:eastAsia="zh-CN"/>
        </w:rPr>
        <w:t>2.落实政府采购政策需满足的资格要求：</w:t>
      </w:r>
      <w:r>
        <w:rPr>
          <w:rFonts w:hint="eastAsia" w:ascii="宋体" w:hAnsi="宋体" w:eastAsia="宋体" w:cs="宋体"/>
          <w:sz w:val="24"/>
          <w:szCs w:val="24"/>
          <w:highlight w:val="none"/>
          <w:u w:val="single"/>
          <w:shd w:val="clear" w:color="auto" w:fill="FFFFFF"/>
          <w:lang w:val="en-US" w:eastAsia="zh-CN"/>
        </w:rPr>
        <w:t>无</w:t>
      </w:r>
      <w:r>
        <w:rPr>
          <w:rFonts w:hint="eastAsia" w:ascii="宋体" w:hAnsi="宋体" w:eastAsia="宋体"/>
          <w:color w:val="auto"/>
          <w:sz w:val="24"/>
          <w:highlight w:val="none"/>
          <w:lang w:val="en-US" w:eastAsia="zh-CN"/>
        </w:rPr>
        <w:t>；</w:t>
      </w:r>
    </w:p>
    <w:p w14:paraId="07497B5C">
      <w:pPr>
        <w:spacing w:line="360" w:lineRule="auto"/>
        <w:ind w:firstLine="435"/>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3.本项目的特定资格要求：</w:t>
      </w:r>
      <w:r>
        <w:rPr>
          <w:rFonts w:hint="eastAsia" w:ascii="宋体" w:hAnsi="宋体" w:eastAsia="宋体"/>
          <w:color w:val="auto"/>
          <w:sz w:val="24"/>
          <w:highlight w:val="none"/>
          <w:u w:val="single"/>
          <w:lang w:val="en-US" w:eastAsia="zh-CN"/>
        </w:rPr>
        <w:t>供应商须具有有效的营业执照、税务登记证、组织机构代码证（或三证合一的证书）；</w:t>
      </w:r>
    </w:p>
    <w:p w14:paraId="6007F5CA">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4.信誉要求：投标人不得存在以下情形： </w:t>
      </w:r>
    </w:p>
    <w:p w14:paraId="6E519696">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①投标人被人民法院列入失信被执行人的； </w:t>
      </w:r>
    </w:p>
    <w:p w14:paraId="3411EFE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②投标人或其法定代表人或拟派项目经理（项目负责人）前三年有行贿犯罪行为的； </w:t>
      </w:r>
    </w:p>
    <w:p w14:paraId="6A8DA32B">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③投标人被市场监督管理部门列入经营异常名录或者严重违法企业名单，且未被移除的； </w:t>
      </w:r>
    </w:p>
    <w:p w14:paraId="69D442E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④投标人被税务部门列入重大税收违法案件当事人的； </w:t>
      </w:r>
    </w:p>
    <w:p w14:paraId="102AFF1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⑤投标人被政府采购监管部门列入政府采购严重违法失信行为记录名单的； </w:t>
      </w:r>
    </w:p>
    <w:p w14:paraId="257BAE66">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⑥在“信用中国”网站上披露仍在公示期的严重失信行为的。 </w:t>
      </w:r>
    </w:p>
    <w:p w14:paraId="50467E67">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5.投标人所属分公司、办事处等分支机构存在第 4 款信誉要求①-⑥项 情形之一的，接受投标人参加本项目。 </w:t>
      </w:r>
    </w:p>
    <w:p w14:paraId="17AC7957">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备注：第 4、5 条按照“关于联合惩戒失信行为加强信用查询管理的通知”查询或承诺。</w:t>
      </w:r>
    </w:p>
    <w:p w14:paraId="2F0ADDD5">
      <w:pPr>
        <w:spacing w:line="360" w:lineRule="auto"/>
        <w:ind w:firstLine="437"/>
        <w:outlineLvl w:val="1"/>
        <w:rPr>
          <w:rFonts w:hint="eastAsia" w:ascii="宋体" w:hAnsi="宋体" w:eastAsia="宋体"/>
          <w:b/>
          <w:bCs/>
          <w:color w:val="auto"/>
          <w:sz w:val="24"/>
          <w:szCs w:val="18"/>
          <w:highlight w:val="none"/>
        </w:rPr>
      </w:pPr>
      <w:bookmarkStart w:id="6" w:name="_Toc30110"/>
      <w:bookmarkStart w:id="7" w:name="_Toc32089"/>
      <w:r>
        <w:rPr>
          <w:rFonts w:hint="eastAsia" w:ascii="宋体" w:hAnsi="宋体" w:eastAsia="宋体"/>
          <w:b/>
          <w:bCs/>
          <w:color w:val="auto"/>
          <w:sz w:val="24"/>
          <w:szCs w:val="18"/>
          <w:highlight w:val="none"/>
        </w:rPr>
        <w:t>三、</w:t>
      </w:r>
      <w:bookmarkEnd w:id="6"/>
      <w:r>
        <w:rPr>
          <w:rFonts w:hint="eastAsia" w:ascii="宋体" w:hAnsi="宋体" w:eastAsia="宋体"/>
          <w:b/>
          <w:bCs/>
          <w:color w:val="auto"/>
          <w:sz w:val="24"/>
          <w:szCs w:val="18"/>
          <w:highlight w:val="none"/>
        </w:rPr>
        <w:t>获取招标文件</w:t>
      </w:r>
      <w:bookmarkEnd w:id="7"/>
    </w:p>
    <w:p w14:paraId="4CFCF87F">
      <w:pPr>
        <w:spacing w:line="360" w:lineRule="auto"/>
        <w:ind w:firstLine="540"/>
        <w:rPr>
          <w:rFonts w:hint="eastAsia" w:ascii="宋体" w:hAnsi="宋体" w:eastAsia="宋体" w:cs="宋体"/>
          <w:i/>
          <w:iCs/>
          <w:sz w:val="24"/>
          <w:szCs w:val="24"/>
          <w:highlight w:val="none"/>
        </w:rPr>
      </w:pPr>
      <w:bookmarkStart w:id="8" w:name="_Toc7957"/>
      <w:r>
        <w:rPr>
          <w:rFonts w:hint="eastAsia" w:ascii="宋体" w:hAnsi="宋体" w:eastAsia="宋体" w:cs="宋体"/>
          <w:sz w:val="24"/>
          <w:szCs w:val="24"/>
          <w:highlight w:val="none"/>
        </w:rPr>
        <w:t>时间：</w:t>
      </w:r>
      <w:r>
        <w:rPr>
          <w:rFonts w:hint="eastAsia" w:ascii="宋体" w:hAnsi="宋体" w:eastAsia="宋体" w:cs="宋体"/>
          <w:sz w:val="24"/>
          <w:szCs w:val="24"/>
          <w:highlight w:val="none"/>
          <w:u w:val="single"/>
          <w:lang w:val="en-US" w:eastAsia="zh-CN"/>
        </w:rPr>
        <w:t>2025</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3</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3</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2025</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3</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u w:val="none"/>
        </w:rPr>
        <w:t>日</w:t>
      </w:r>
    </w:p>
    <w:p w14:paraId="260E6431">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hint="default" w:ascii="宋体" w:hAnsi="宋体" w:eastAsia="宋体"/>
          <w:color w:val="auto"/>
          <w:sz w:val="24"/>
          <w:szCs w:val="18"/>
          <w:highlight w:val="none"/>
          <w:u w:val="single"/>
          <w:lang w:val="en-US" w:eastAsia="zh-CN"/>
        </w:rPr>
      </w:pPr>
      <w:r>
        <w:rPr>
          <w:rFonts w:hint="eastAsia" w:ascii="宋体" w:hAnsi="宋体" w:eastAsia="宋体" w:cs="宋体"/>
          <w:sz w:val="24"/>
          <w:szCs w:val="24"/>
          <w:highlight w:val="none"/>
        </w:rPr>
        <w:t>地点：</w:t>
      </w:r>
      <w:r>
        <w:rPr>
          <w:rFonts w:hint="eastAsia" w:ascii="宋体" w:hAnsi="宋体" w:eastAsia="宋体"/>
          <w:color w:val="auto"/>
          <w:sz w:val="24"/>
          <w:szCs w:val="18"/>
          <w:highlight w:val="none"/>
          <w:u w:val="single"/>
          <w:lang w:val="en-US" w:eastAsia="zh-CN"/>
        </w:rPr>
        <w:t>滁州市第二人民医院官网</w:t>
      </w:r>
    </w:p>
    <w:p w14:paraId="56FB2AAB">
      <w:pPr>
        <w:spacing w:line="360" w:lineRule="auto"/>
        <w:ind w:firstLine="54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方式：</w:t>
      </w:r>
      <w:r>
        <w:rPr>
          <w:rFonts w:hint="eastAsia" w:ascii="宋体" w:hAnsi="宋体" w:eastAsia="宋体" w:cs="宋体"/>
          <w:sz w:val="24"/>
          <w:szCs w:val="24"/>
          <w:highlight w:val="none"/>
          <w:u w:val="single"/>
          <w:lang w:val="en-US" w:eastAsia="zh-CN"/>
        </w:rPr>
        <w:t>网上自行下载</w:t>
      </w:r>
    </w:p>
    <w:p w14:paraId="0F72B22C">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9" w:name="_Toc19726"/>
      <w:r>
        <w:rPr>
          <w:rFonts w:hint="eastAsia" w:ascii="宋体" w:hAnsi="宋体" w:eastAsia="宋体"/>
          <w:b/>
          <w:bCs/>
          <w:color w:val="auto"/>
          <w:sz w:val="24"/>
          <w:szCs w:val="18"/>
          <w:highlight w:val="none"/>
        </w:rPr>
        <w:t>四、</w:t>
      </w:r>
      <w:bookmarkEnd w:id="8"/>
      <w:r>
        <w:rPr>
          <w:rFonts w:hint="eastAsia" w:ascii="宋体" w:hAnsi="宋体" w:eastAsia="宋体"/>
          <w:b/>
          <w:bCs/>
          <w:color w:val="auto"/>
          <w:sz w:val="24"/>
          <w:szCs w:val="18"/>
          <w:highlight w:val="none"/>
        </w:rPr>
        <w:t>提交投标文件截止时间、开标时间和地点</w:t>
      </w:r>
      <w:bookmarkEnd w:id="9"/>
    </w:p>
    <w:p w14:paraId="49DBF1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bookmarkStart w:id="10" w:name="_Toc5082"/>
      <w:r>
        <w:rPr>
          <w:rFonts w:hint="eastAsia" w:ascii="宋体" w:hAnsi="宋体" w:eastAsia="宋体" w:cs="宋体"/>
          <w:sz w:val="24"/>
          <w:szCs w:val="24"/>
          <w:highlight w:val="none"/>
          <w:lang w:val="en-US" w:eastAsia="zh-CN"/>
        </w:rPr>
        <w:t>投标截止时间：2025年3月10日11点30分（北京时间）</w:t>
      </w:r>
    </w:p>
    <w:p w14:paraId="16796D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地点：滁州市第二人民医院西区至善楼三楼招标办</w:t>
      </w:r>
    </w:p>
    <w:p w14:paraId="5B41C7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注：各投标人可以采用直接送达或邮寄的方式，递交时间以直接送达或快递送达的时间为准，逾期不予接收</w:t>
      </w:r>
    </w:p>
    <w:p w14:paraId="268C345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1" w:name="_Toc28531"/>
      <w:r>
        <w:rPr>
          <w:rFonts w:hint="eastAsia" w:ascii="宋体" w:hAnsi="宋体" w:eastAsia="宋体"/>
          <w:b/>
          <w:bCs/>
          <w:color w:val="auto"/>
          <w:sz w:val="24"/>
          <w:szCs w:val="18"/>
          <w:highlight w:val="none"/>
        </w:rPr>
        <w:t>五、</w:t>
      </w:r>
      <w:bookmarkEnd w:id="10"/>
      <w:r>
        <w:rPr>
          <w:rFonts w:hint="eastAsia" w:ascii="宋体" w:hAnsi="宋体" w:eastAsia="宋体"/>
          <w:b/>
          <w:bCs/>
          <w:color w:val="auto"/>
          <w:sz w:val="24"/>
          <w:szCs w:val="18"/>
          <w:highlight w:val="none"/>
        </w:rPr>
        <w:t>公告期限</w:t>
      </w:r>
      <w:bookmarkEnd w:id="11"/>
    </w:p>
    <w:p w14:paraId="013AE3E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rPr>
      </w:pPr>
      <w:bookmarkStart w:id="12" w:name="_Toc1215"/>
      <w:r>
        <w:rPr>
          <w:rFonts w:hint="eastAsia" w:ascii="宋体" w:hAnsi="宋体" w:eastAsia="宋体"/>
          <w:b w:val="0"/>
          <w:bCs w:val="0"/>
          <w:color w:val="auto"/>
          <w:sz w:val="24"/>
          <w:szCs w:val="18"/>
          <w:highlight w:val="none"/>
        </w:rPr>
        <w:t>自本公告发布之日起5个工作日。</w:t>
      </w:r>
    </w:p>
    <w:p w14:paraId="1DCE150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3" w:name="_Toc8807"/>
      <w:bookmarkStart w:id="14" w:name="_Toc35393626"/>
      <w:bookmarkStart w:id="15" w:name="_Toc35393795"/>
      <w:r>
        <w:rPr>
          <w:rFonts w:hint="eastAsia" w:ascii="宋体" w:hAnsi="宋体" w:eastAsia="宋体"/>
          <w:b/>
          <w:bCs/>
          <w:color w:val="auto"/>
          <w:sz w:val="24"/>
          <w:szCs w:val="18"/>
          <w:highlight w:val="none"/>
        </w:rPr>
        <w:t>六、其他补充事宜</w:t>
      </w:r>
      <w:bookmarkEnd w:id="13"/>
      <w:bookmarkEnd w:id="14"/>
      <w:bookmarkEnd w:id="15"/>
    </w:p>
    <w:bookmarkEnd w:id="12"/>
    <w:p w14:paraId="3120789B">
      <w:pPr>
        <w:spacing w:line="360" w:lineRule="auto"/>
        <w:ind w:firstLine="437"/>
        <w:outlineLvl w:val="1"/>
        <w:rPr>
          <w:rFonts w:hint="eastAsia" w:ascii="宋体" w:hAnsi="宋体" w:eastAsia="宋体"/>
          <w:color w:val="auto"/>
          <w:sz w:val="24"/>
          <w:szCs w:val="18"/>
          <w:highlight w:val="none"/>
          <w:lang w:val="en-US" w:eastAsia="zh-CN"/>
        </w:rPr>
      </w:pPr>
      <w:bookmarkStart w:id="16" w:name="_Toc7265"/>
      <w:bookmarkStart w:id="17" w:name="_Toc3854"/>
      <w:r>
        <w:rPr>
          <w:rFonts w:hint="eastAsia" w:ascii="宋体" w:hAnsi="宋体" w:eastAsia="宋体"/>
          <w:color w:val="auto"/>
          <w:sz w:val="24"/>
          <w:szCs w:val="18"/>
          <w:highlight w:val="none"/>
          <w:lang w:val="en-US" w:eastAsia="zh-CN"/>
        </w:rPr>
        <w:t>无</w:t>
      </w:r>
    </w:p>
    <w:p w14:paraId="52F6A0D7">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七、</w:t>
      </w:r>
      <w:bookmarkEnd w:id="16"/>
      <w:r>
        <w:rPr>
          <w:rFonts w:hint="eastAsia" w:ascii="宋体" w:hAnsi="宋体" w:eastAsia="宋体"/>
          <w:b/>
          <w:bCs/>
          <w:color w:val="auto"/>
          <w:sz w:val="24"/>
          <w:szCs w:val="18"/>
          <w:highlight w:val="none"/>
        </w:rPr>
        <w:t>对本次招标提出询问，请按以下方式联系</w:t>
      </w:r>
      <w:bookmarkEnd w:id="17"/>
    </w:p>
    <w:p w14:paraId="3E7AA98A">
      <w:pPr>
        <w:spacing w:line="360" w:lineRule="auto"/>
        <w:ind w:firstLine="437"/>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0CCA4FBF">
      <w:pP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lang w:eastAsia="zh-CN"/>
        </w:rPr>
        <w:t>滁州市第二人民医院（市传染病医院、市精神病医院）</w:t>
      </w:r>
    </w:p>
    <w:p w14:paraId="72357814">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lang w:eastAsia="zh-CN"/>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s="宋体"/>
          <w:i w:val="0"/>
          <w:iCs w:val="0"/>
          <w:caps w:val="0"/>
          <w:color w:val="333333"/>
          <w:spacing w:val="0"/>
          <w:sz w:val="24"/>
          <w:szCs w:val="24"/>
          <w:highlight w:val="none"/>
          <w:u w:val="single"/>
          <w:shd w:val="clear" w:color="auto" w:fill="FFFFFF"/>
          <w:lang w:eastAsia="zh-CN"/>
        </w:rPr>
        <w:t>滁州市清流中路1401号</w:t>
      </w:r>
    </w:p>
    <w:p w14:paraId="1BF948D0">
      <w:pPr>
        <w:spacing w:line="360" w:lineRule="auto"/>
        <w:ind w:firstLine="435"/>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highlight w:val="none"/>
          <w:u w:val="single"/>
          <w:shd w:val="clear" w:color="auto" w:fill="FFFFFF"/>
        </w:rPr>
        <w:t>招标办</w:t>
      </w:r>
    </w:p>
    <w:p w14:paraId="636452E9">
      <w:pPr>
        <w:spacing w:line="360" w:lineRule="auto"/>
        <w:ind w:firstLine="435"/>
        <w:rPr>
          <w:rFonts w:hint="eastAsia" w:ascii="宋体" w:hAnsi="宋体" w:eastAsia="宋体"/>
          <w:color w:val="auto"/>
          <w:sz w:val="24"/>
          <w:szCs w:val="18"/>
          <w:highlight w:val="none"/>
          <w:lang w:eastAsia="zh-CN"/>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lang w:eastAsia="zh-CN"/>
        </w:rPr>
        <w:t>0550-3523822</w:t>
      </w:r>
    </w:p>
    <w:p w14:paraId="35F25353">
      <w:pPr>
        <w:spacing w:line="360" w:lineRule="auto"/>
        <w:ind w:firstLine="437"/>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6C69A8B8">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rPr>
        <w:t>江苏川页工程项目管理有限公司</w:t>
      </w:r>
    </w:p>
    <w:p w14:paraId="57287162">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s="宋体"/>
          <w:i w:val="0"/>
          <w:iCs w:val="0"/>
          <w:caps w:val="0"/>
          <w:color w:val="333333"/>
          <w:spacing w:val="0"/>
          <w:sz w:val="24"/>
          <w:szCs w:val="24"/>
          <w:highlight w:val="none"/>
          <w:u w:val="single"/>
          <w:shd w:val="clear" w:color="auto" w:fill="FFFFFF"/>
        </w:rPr>
        <w:t>滁州市世贸大厦A座18楼1818</w:t>
      </w:r>
    </w:p>
    <w:p w14:paraId="13FE259C">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highlight w:val="none"/>
          <w:u w:val="single"/>
          <w:shd w:val="clear" w:color="auto" w:fill="FFFFFF"/>
        </w:rPr>
        <w:t>赵建飞</w:t>
      </w:r>
    </w:p>
    <w:p w14:paraId="2D4B14C3">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rPr>
        <w:t>18755018236</w:t>
      </w:r>
    </w:p>
    <w:p w14:paraId="7D72CDF4">
      <w:pPr>
        <w:widowControl/>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2FA36E1C">
      <w:pPr>
        <w:spacing w:line="360" w:lineRule="auto"/>
        <w:jc w:val="center"/>
        <w:outlineLvl w:val="0"/>
        <w:rPr>
          <w:rFonts w:ascii="宋体" w:hAnsi="宋体" w:eastAsia="宋体"/>
          <w:b/>
          <w:color w:val="auto"/>
          <w:sz w:val="28"/>
          <w:highlight w:val="none"/>
        </w:rPr>
      </w:pPr>
      <w:bookmarkStart w:id="18" w:name="_Toc31935"/>
      <w:r>
        <w:rPr>
          <w:rFonts w:hint="eastAsia" w:ascii="宋体" w:hAnsi="宋体" w:eastAsia="宋体"/>
          <w:b/>
          <w:color w:val="auto"/>
          <w:sz w:val="28"/>
          <w:highlight w:val="none"/>
        </w:rPr>
        <w:t>第二章</w:t>
      </w:r>
      <w:r>
        <w:rPr>
          <w:rFonts w:ascii="宋体" w:hAnsi="宋体" w:eastAsia="宋体"/>
          <w:b/>
          <w:color w:val="auto"/>
          <w:sz w:val="28"/>
          <w:highlight w:val="none"/>
        </w:rPr>
        <w:t xml:space="preserve"> </w:t>
      </w:r>
      <w:r>
        <w:rPr>
          <w:rFonts w:hint="eastAsia" w:ascii="宋体" w:hAnsi="宋体" w:eastAsia="宋体"/>
          <w:b/>
          <w:color w:val="auto"/>
          <w:sz w:val="28"/>
          <w:highlight w:val="none"/>
        </w:rPr>
        <w:t xml:space="preserve"> </w:t>
      </w:r>
      <w:r>
        <w:rPr>
          <w:rFonts w:ascii="宋体" w:hAnsi="宋体" w:eastAsia="宋体"/>
          <w:b/>
          <w:color w:val="auto"/>
          <w:sz w:val="28"/>
          <w:highlight w:val="none"/>
        </w:rPr>
        <w:t>投标人须知</w:t>
      </w:r>
      <w:bookmarkEnd w:id="18"/>
    </w:p>
    <w:p w14:paraId="1EED2853">
      <w:pPr>
        <w:spacing w:line="360" w:lineRule="auto"/>
        <w:jc w:val="center"/>
        <w:outlineLvl w:val="1"/>
        <w:rPr>
          <w:rFonts w:ascii="宋体" w:hAnsi="宋体" w:eastAsia="宋体"/>
          <w:b/>
          <w:color w:val="auto"/>
          <w:sz w:val="24"/>
          <w:highlight w:val="none"/>
        </w:rPr>
      </w:pPr>
      <w:bookmarkStart w:id="19" w:name="_Toc3114"/>
      <w:bookmarkStart w:id="20" w:name="_Toc7178"/>
      <w:r>
        <w:rPr>
          <w:rFonts w:hint="eastAsia" w:ascii="宋体" w:hAnsi="宋体" w:eastAsia="宋体"/>
          <w:b/>
          <w:color w:val="auto"/>
          <w:sz w:val="24"/>
          <w:highlight w:val="none"/>
        </w:rPr>
        <w:t>一、</w:t>
      </w:r>
      <w:r>
        <w:rPr>
          <w:rFonts w:ascii="宋体" w:hAnsi="宋体" w:eastAsia="宋体"/>
          <w:b/>
          <w:color w:val="auto"/>
          <w:sz w:val="24"/>
          <w:highlight w:val="none"/>
        </w:rPr>
        <w:t>投标人须知前附表</w:t>
      </w:r>
      <w:bookmarkEnd w:id="19"/>
      <w:bookmarkEnd w:id="20"/>
    </w:p>
    <w:p w14:paraId="02B5E420">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2"/>
        <w:tblW w:w="53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032"/>
        <w:gridCol w:w="6040"/>
      </w:tblGrid>
      <w:tr w14:paraId="26DC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6CF62EFF">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19" w:type="pct"/>
            <w:vAlign w:val="center"/>
          </w:tcPr>
          <w:p w14:paraId="1CA214A0">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326" w:type="pct"/>
            <w:vAlign w:val="center"/>
          </w:tcPr>
          <w:p w14:paraId="17C6ECB3">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784A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10D3D48D">
            <w:pPr>
              <w:pStyle w:val="31"/>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119" w:type="pct"/>
            <w:vAlign w:val="center"/>
          </w:tcPr>
          <w:p w14:paraId="1A58A27B">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326" w:type="pct"/>
            <w:vAlign w:val="center"/>
          </w:tcPr>
          <w:p w14:paraId="355F9FB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542AF5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6A7C544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59FBBB7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37FB55D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3E53C0F0">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如投标人未参加采购人统一组织的现场考察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，由此引起的一切责任由投标人自行承担。</w:t>
            </w:r>
          </w:p>
        </w:tc>
      </w:tr>
      <w:tr w14:paraId="7578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3FAF453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1119" w:type="pct"/>
            <w:vAlign w:val="center"/>
          </w:tcPr>
          <w:p w14:paraId="0DC847CB">
            <w:pPr>
              <w:pStyle w:val="30"/>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326" w:type="pct"/>
            <w:vAlign w:val="center"/>
          </w:tcPr>
          <w:p w14:paraId="1C949E3E">
            <w:pPr>
              <w:pStyle w:val="30"/>
              <w:widowControl w:val="0"/>
              <w:spacing w:before="0" w:beforeAutospacing="0" w:after="0" w:afterAutospacing="0"/>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2025</w:t>
            </w:r>
            <w:r>
              <w:rPr>
                <w:rFonts w:ascii="宋体" w:hAnsi="宋体" w:eastAsia="宋体"/>
                <w:b w:val="0"/>
                <w:color w:val="auto"/>
                <w:sz w:val="24"/>
                <w:highlight w:val="none"/>
              </w:rPr>
              <w:t>年</w:t>
            </w:r>
            <w:r>
              <w:rPr>
                <w:rFonts w:hint="eastAsia" w:ascii="宋体" w:hAnsi="宋体" w:eastAsia="宋体"/>
                <w:b w:val="0"/>
                <w:color w:val="auto"/>
                <w:sz w:val="24"/>
                <w:highlight w:val="none"/>
                <w:u w:val="single"/>
                <w:lang w:val="en-US" w:eastAsia="zh-CN"/>
              </w:rPr>
              <w:t>3</w:t>
            </w:r>
            <w:r>
              <w:rPr>
                <w:rFonts w:ascii="宋体" w:hAnsi="宋体" w:eastAsia="宋体"/>
                <w:b w:val="0"/>
                <w:color w:val="auto"/>
                <w:sz w:val="24"/>
                <w:highlight w:val="none"/>
              </w:rPr>
              <w:t>月</w:t>
            </w:r>
            <w:bookmarkStart w:id="88" w:name="_GoBack"/>
            <w:bookmarkEnd w:id="88"/>
            <w:r>
              <w:rPr>
                <w:rFonts w:hint="eastAsia" w:ascii="宋体" w:hAnsi="宋体" w:eastAsia="宋体"/>
                <w:b w:val="0"/>
                <w:color w:val="auto"/>
                <w:sz w:val="24"/>
                <w:highlight w:val="none"/>
                <w:u w:val="single"/>
                <w:lang w:val="en-US" w:eastAsia="zh-CN"/>
              </w:rPr>
              <w:t>6</w:t>
            </w:r>
            <w:r>
              <w:rPr>
                <w:rFonts w:ascii="宋体" w:hAnsi="宋体" w:eastAsia="宋体"/>
                <w:b w:val="0"/>
                <w:color w:val="auto"/>
                <w:sz w:val="24"/>
                <w:highlight w:val="none"/>
              </w:rPr>
              <w:t>日</w:t>
            </w:r>
            <w:r>
              <w:rPr>
                <w:rFonts w:hint="eastAsia" w:ascii="宋体" w:hAnsi="宋体" w:eastAsia="宋体"/>
                <w:b w:val="0"/>
                <w:color w:val="auto"/>
                <w:sz w:val="24"/>
                <w:highlight w:val="none"/>
                <w:u w:val="single"/>
                <w:lang w:val="en-US" w:eastAsia="zh-CN"/>
              </w:rPr>
              <w:t>17</w:t>
            </w:r>
            <w:r>
              <w:rPr>
                <w:rFonts w:ascii="宋体" w:hAnsi="宋体" w:eastAsia="宋体"/>
                <w:b w:val="0"/>
                <w:color w:val="auto"/>
                <w:sz w:val="24"/>
                <w:highlight w:val="none"/>
              </w:rPr>
              <w:t>时</w:t>
            </w:r>
            <w:r>
              <w:rPr>
                <w:rFonts w:hint="eastAsia" w:ascii="宋体" w:hAnsi="宋体" w:eastAsia="宋体"/>
                <w:b w:val="0"/>
                <w:color w:val="auto"/>
                <w:sz w:val="24"/>
                <w:highlight w:val="none"/>
                <w:u w:val="single"/>
                <w:lang w:val="en-US" w:eastAsia="zh-CN"/>
              </w:rPr>
              <w:t>00</w:t>
            </w:r>
            <w:r>
              <w:rPr>
                <w:rFonts w:hint="eastAsia" w:ascii="宋体" w:hAnsi="宋体" w:eastAsia="宋体"/>
                <w:b w:val="0"/>
                <w:color w:val="auto"/>
                <w:sz w:val="24"/>
                <w:highlight w:val="none"/>
              </w:rPr>
              <w:t>分</w:t>
            </w:r>
          </w:p>
        </w:tc>
      </w:tr>
      <w:tr w14:paraId="372C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21CD7F9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119" w:type="pct"/>
            <w:vAlign w:val="center"/>
          </w:tcPr>
          <w:p w14:paraId="4CFCE116">
            <w:pPr>
              <w:pStyle w:val="30"/>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326" w:type="pct"/>
            <w:vAlign w:val="center"/>
          </w:tcPr>
          <w:p w14:paraId="6900DCBA">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 xml:space="preserve">不分包     </w:t>
            </w:r>
            <w:r>
              <w:rPr>
                <w:rFonts w:hint="eastAsia" w:ascii="宋体" w:hAnsi="宋体" w:eastAsia="宋体"/>
                <w:b w:val="0"/>
                <w:color w:val="auto"/>
                <w:sz w:val="24"/>
                <w:highlight w:val="none"/>
                <w:lang w:eastAsia="zh-CN"/>
              </w:rPr>
              <w:t>□</w:t>
            </w:r>
            <w:r>
              <w:rPr>
                <w:rFonts w:ascii="宋体" w:hAnsi="宋体" w:eastAsia="宋体"/>
                <w:b w:val="0"/>
                <w:color w:val="auto"/>
                <w:sz w:val="24"/>
                <w:highlight w:val="none"/>
              </w:rPr>
              <w:t>分为  个包</w:t>
            </w:r>
          </w:p>
          <w:p w14:paraId="3FA6F381">
            <w:pPr>
              <w:pStyle w:val="30"/>
              <w:widowControl w:val="0"/>
              <w:spacing w:before="0" w:beforeAutospacing="0" w:after="0" w:afterAutospacing="0"/>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p>
        </w:tc>
      </w:tr>
      <w:tr w14:paraId="2928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53" w:type="pct"/>
            <w:vAlign w:val="center"/>
          </w:tcPr>
          <w:p w14:paraId="6DC3F7B1">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1119" w:type="pct"/>
            <w:vAlign w:val="center"/>
          </w:tcPr>
          <w:p w14:paraId="739FEC8A">
            <w:pPr>
              <w:pStyle w:val="30"/>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326" w:type="pct"/>
            <w:vAlign w:val="center"/>
          </w:tcPr>
          <w:p w14:paraId="1BFA8CAF">
            <w:pPr>
              <w:spacing w:line="360" w:lineRule="auto"/>
              <w:rPr>
                <w:color w:val="auto"/>
                <w:highlight w:val="none"/>
              </w:rPr>
            </w:pPr>
            <w:r>
              <w:rPr>
                <w:rFonts w:hint="eastAsia" w:ascii="宋体" w:hAnsi="宋体" w:eastAsia="宋体"/>
                <w:bCs/>
                <w:color w:val="auto"/>
                <w:kern w:val="0"/>
                <w:sz w:val="24"/>
                <w:szCs w:val="28"/>
                <w:highlight w:val="none"/>
              </w:rPr>
              <w:t>不收取</w:t>
            </w:r>
          </w:p>
        </w:tc>
      </w:tr>
      <w:tr w14:paraId="6FA8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4ED92752">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1119" w:type="pct"/>
            <w:vAlign w:val="center"/>
          </w:tcPr>
          <w:p w14:paraId="00F7B87B">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326" w:type="pct"/>
            <w:vAlign w:val="center"/>
          </w:tcPr>
          <w:p w14:paraId="43E29C24">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60</w:t>
            </w:r>
            <w:r>
              <w:rPr>
                <w:rFonts w:hint="eastAsia" w:ascii="宋体" w:hAnsi="宋体" w:eastAsia="宋体"/>
                <w:b w:val="0"/>
                <w:color w:val="auto"/>
                <w:sz w:val="24"/>
                <w:highlight w:val="none"/>
              </w:rPr>
              <w:t>日历日</w:t>
            </w:r>
          </w:p>
        </w:tc>
      </w:tr>
      <w:tr w14:paraId="12DD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336F02BD">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1119" w:type="pct"/>
            <w:vAlign w:val="center"/>
          </w:tcPr>
          <w:p w14:paraId="0A32A12D">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326" w:type="pct"/>
            <w:vAlign w:val="center"/>
          </w:tcPr>
          <w:p w14:paraId="45E6257F">
            <w:pPr>
              <w:pStyle w:val="30"/>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highlight w:val="none"/>
              </w:rPr>
              <w:t>采购人审查</w:t>
            </w:r>
          </w:p>
          <w:p w14:paraId="3A2035D9">
            <w:pPr>
              <w:pStyle w:val="30"/>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1DED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7144B46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.2</w:t>
            </w:r>
          </w:p>
        </w:tc>
        <w:tc>
          <w:tcPr>
            <w:tcW w:w="1119" w:type="pct"/>
            <w:vAlign w:val="center"/>
          </w:tcPr>
          <w:p w14:paraId="1677AFE4">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326" w:type="pct"/>
            <w:vAlign w:val="center"/>
          </w:tcPr>
          <w:p w14:paraId="45B98FA6">
            <w:pPr>
              <w:pStyle w:val="30"/>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最低评标价法</w:t>
            </w:r>
          </w:p>
          <w:p w14:paraId="5DBBDEF4">
            <w:pPr>
              <w:pStyle w:val="30"/>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lang w:val="en-US" w:eastAsia="zh-CN"/>
              </w:rPr>
              <w:t>综合评分</w:t>
            </w:r>
            <w:r>
              <w:rPr>
                <w:rFonts w:hint="eastAsia" w:ascii="宋体" w:hAnsi="宋体" w:eastAsia="宋体"/>
                <w:b w:val="0"/>
                <w:color w:val="auto"/>
                <w:sz w:val="24"/>
                <w:highlight w:val="none"/>
                <w:u w:val="none"/>
                <w:lang w:eastAsia="zh-CN"/>
              </w:rPr>
              <w:t>法</w:t>
            </w:r>
          </w:p>
        </w:tc>
      </w:tr>
      <w:tr w14:paraId="476E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4A3A849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119" w:type="pct"/>
            <w:vAlign w:val="center"/>
          </w:tcPr>
          <w:p w14:paraId="3C9EEFD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3326" w:type="pct"/>
            <w:vAlign w:val="center"/>
          </w:tcPr>
          <w:p w14:paraId="126EA0E6">
            <w:pPr>
              <w:keepNext w:val="0"/>
              <w:keepLines w:val="0"/>
              <w:widowControl/>
              <w:suppressLineNumbers w:val="0"/>
              <w:jc w:val="left"/>
              <w:rPr>
                <w:rFonts w:ascii="宋体" w:hAnsi="宋体" w:eastAsia="宋体"/>
                <w:b w:val="0"/>
                <w:color w:val="auto"/>
                <w:sz w:val="24"/>
                <w:highlight w:val="none"/>
                <w:u w:val="single"/>
              </w:rPr>
            </w:pPr>
            <w:r>
              <w:rPr>
                <w:rFonts w:hint="eastAsia" w:ascii="宋体" w:hAnsi="宋体" w:eastAsia="宋体" w:cs="宋体"/>
                <w:color w:val="000000"/>
                <w:kern w:val="0"/>
                <w:sz w:val="24"/>
                <w:szCs w:val="24"/>
                <w:highlight w:val="none"/>
                <w:lang w:val="en-US" w:eastAsia="zh-CN"/>
              </w:rPr>
              <w:t>评标委员会推荐 3 名中标候选人</w:t>
            </w:r>
          </w:p>
        </w:tc>
      </w:tr>
      <w:tr w14:paraId="3A2B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14F14C53">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19" w:type="pct"/>
            <w:vAlign w:val="center"/>
          </w:tcPr>
          <w:p w14:paraId="7E85FE1B">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326" w:type="pct"/>
            <w:vAlign w:val="center"/>
          </w:tcPr>
          <w:p w14:paraId="20FAFD3A">
            <w:pPr>
              <w:spacing w:line="360" w:lineRule="auto"/>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sym w:font="Wingdings" w:char="00FE"/>
            </w:r>
            <w:r>
              <w:rPr>
                <w:rFonts w:hint="eastAsia" w:ascii="宋体" w:hAnsi="宋体" w:eastAsia="宋体"/>
                <w:color w:val="auto"/>
                <w:kern w:val="0"/>
                <w:sz w:val="24"/>
                <w:szCs w:val="24"/>
                <w:highlight w:val="none"/>
              </w:rPr>
              <w:t>采购人委托评标委员会确定</w:t>
            </w:r>
          </w:p>
          <w:p w14:paraId="5D54DC98">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kern w:val="2"/>
                <w:sz w:val="24"/>
                <w:szCs w:val="24"/>
                <w:highlight w:val="none"/>
                <w:lang w:eastAsia="zh-CN"/>
              </w:rPr>
              <w:t>□</w:t>
            </w:r>
            <w:r>
              <w:rPr>
                <w:rFonts w:hint="eastAsia" w:ascii="宋体" w:hAnsi="宋体" w:eastAsia="宋体"/>
                <w:b w:val="0"/>
                <w:bCs w:val="0"/>
                <w:color w:val="auto"/>
                <w:kern w:val="2"/>
                <w:sz w:val="24"/>
                <w:szCs w:val="24"/>
                <w:highlight w:val="none"/>
              </w:rPr>
              <w:t>采购人确定</w:t>
            </w:r>
          </w:p>
        </w:tc>
      </w:tr>
      <w:tr w14:paraId="5B05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6CA73637">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ascii="宋体" w:hAnsi="宋体" w:eastAsia="宋体"/>
                <w:bCs/>
                <w:color w:val="auto"/>
                <w:kern w:val="2"/>
                <w:highlight w:val="none"/>
              </w:rPr>
              <w:t>.1</w:t>
            </w:r>
          </w:p>
        </w:tc>
        <w:tc>
          <w:tcPr>
            <w:tcW w:w="1119" w:type="pct"/>
            <w:vAlign w:val="center"/>
          </w:tcPr>
          <w:p w14:paraId="217540ED">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326" w:type="pct"/>
            <w:vAlign w:val="center"/>
          </w:tcPr>
          <w:p w14:paraId="050FCD59">
            <w:pPr>
              <w:pStyle w:val="30"/>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数据电文</w:t>
            </w:r>
          </w:p>
        </w:tc>
      </w:tr>
      <w:tr w14:paraId="739E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02CE948E">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119" w:type="pct"/>
            <w:vAlign w:val="center"/>
          </w:tcPr>
          <w:p w14:paraId="55EEC46F">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326" w:type="pct"/>
            <w:vAlign w:val="center"/>
          </w:tcPr>
          <w:p w14:paraId="1B64141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val="0"/>
                <w:bCs w:val="0"/>
                <w:color w:val="auto"/>
                <w:kern w:val="2"/>
                <w:sz w:val="24"/>
                <w:szCs w:val="24"/>
                <w:highlight w:val="none"/>
                <w:lang w:val="en-US" w:eastAsia="zh-CN"/>
              </w:rPr>
            </w:pPr>
            <w:r>
              <w:rPr>
                <w:rFonts w:hint="eastAsia" w:ascii="宋体" w:hAnsi="宋体" w:eastAsia="宋体"/>
                <w:color w:val="auto"/>
                <w:kern w:val="0"/>
                <w:sz w:val="24"/>
                <w:szCs w:val="24"/>
                <w:highlight w:val="none"/>
              </w:rPr>
              <w:t>投标人自行</w:t>
            </w:r>
            <w:r>
              <w:rPr>
                <w:rFonts w:hint="eastAsia" w:ascii="宋体" w:hAnsi="宋体" w:eastAsia="宋体"/>
                <w:color w:val="auto"/>
                <w:kern w:val="0"/>
                <w:sz w:val="24"/>
                <w:szCs w:val="24"/>
                <w:highlight w:val="none"/>
                <w:lang w:val="en-US" w:eastAsia="zh-CN"/>
              </w:rPr>
              <w:t>在滁州市第二人民医院官网</w:t>
            </w:r>
            <w:r>
              <w:rPr>
                <w:rFonts w:hint="eastAsia" w:ascii="宋体" w:hAnsi="宋体" w:eastAsia="宋体"/>
                <w:color w:val="auto"/>
                <w:kern w:val="0"/>
                <w:sz w:val="24"/>
                <w:szCs w:val="24"/>
                <w:highlight w:val="none"/>
              </w:rPr>
              <w:t>查看</w:t>
            </w:r>
          </w:p>
        </w:tc>
      </w:tr>
      <w:tr w14:paraId="0BE2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53" w:type="pct"/>
            <w:vAlign w:val="center"/>
          </w:tcPr>
          <w:p w14:paraId="7BAD89EB">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119" w:type="pct"/>
            <w:vAlign w:val="center"/>
          </w:tcPr>
          <w:p w14:paraId="420AC3E6">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326" w:type="pct"/>
          </w:tcPr>
          <w:p w14:paraId="2D1B9397">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1B987C42">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7028D97C">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492B3D23">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1872FE12">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5C9DD1A4">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31200E21">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28536895">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w:t>
            </w:r>
          </w:p>
          <w:p w14:paraId="4F27666C">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p>
          <w:p w14:paraId="0B79F3D9">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7E207176">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59C1FFD7">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225F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53" w:type="pct"/>
            <w:vAlign w:val="center"/>
          </w:tcPr>
          <w:p w14:paraId="71FD118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ascii="宋体" w:hAnsi="宋体" w:eastAsia="宋体"/>
                <w:bCs/>
                <w:color w:val="auto"/>
                <w:kern w:val="2"/>
                <w:highlight w:val="none"/>
              </w:rPr>
              <w:t>.1</w:t>
            </w:r>
          </w:p>
        </w:tc>
        <w:tc>
          <w:tcPr>
            <w:tcW w:w="1119" w:type="pct"/>
            <w:vAlign w:val="center"/>
          </w:tcPr>
          <w:p w14:paraId="43FC3496">
            <w:pPr>
              <w:pStyle w:val="30"/>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326" w:type="pct"/>
          </w:tcPr>
          <w:p w14:paraId="6A2B0108">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w:t>
            </w:r>
          </w:p>
          <w:p w14:paraId="68981EA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w:t>
            </w:r>
            <w:r>
              <w:rPr>
                <w:rFonts w:hint="eastAsia" w:ascii="宋体" w:hAnsi="宋体" w:eastAsia="宋体" w:cs="宋体"/>
                <w:b w:val="0"/>
                <w:bCs w:val="0"/>
                <w:color w:val="auto"/>
                <w:sz w:val="24"/>
                <w:szCs w:val="24"/>
                <w:highlight w:val="none"/>
                <w:lang w:val="en-US" w:eastAsia="zh-CN"/>
              </w:rPr>
              <w:t>。</w:t>
            </w:r>
          </w:p>
        </w:tc>
      </w:tr>
      <w:tr w14:paraId="1324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2D957F3E">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ascii="宋体" w:hAnsi="宋体" w:eastAsia="宋体"/>
                <w:bCs/>
                <w:color w:val="auto"/>
                <w:kern w:val="2"/>
                <w:highlight w:val="none"/>
              </w:rPr>
              <w:t>.1</w:t>
            </w:r>
          </w:p>
        </w:tc>
        <w:tc>
          <w:tcPr>
            <w:tcW w:w="1119" w:type="pct"/>
            <w:vAlign w:val="center"/>
          </w:tcPr>
          <w:p w14:paraId="1EB92F0B">
            <w:pPr>
              <w:pStyle w:val="30"/>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w:t>
            </w:r>
            <w:r>
              <w:rPr>
                <w:rFonts w:hint="default" w:ascii="宋体" w:hAnsi="宋体" w:eastAsia="宋体"/>
                <w:b w:val="0"/>
                <w:color w:val="auto"/>
                <w:sz w:val="24"/>
                <w:highlight w:val="none"/>
                <w:lang w:val="en-US" w:eastAsia="zh-CN"/>
              </w:rPr>
              <w:t>及评审</w:t>
            </w:r>
            <w:r>
              <w:rPr>
                <w:rFonts w:hint="eastAsia" w:ascii="宋体" w:hAnsi="宋体" w:eastAsia="宋体"/>
                <w:b w:val="0"/>
                <w:color w:val="auto"/>
                <w:sz w:val="24"/>
                <w:highlight w:val="none"/>
                <w:lang w:val="en-US" w:eastAsia="zh-CN"/>
              </w:rPr>
              <w:t>费用</w:t>
            </w:r>
          </w:p>
        </w:tc>
        <w:tc>
          <w:tcPr>
            <w:tcW w:w="3326" w:type="pct"/>
            <w:vAlign w:val="center"/>
          </w:tcPr>
          <w:p w14:paraId="531F2335">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ascii="宋体" w:hAnsi="宋体" w:eastAsia="宋体" w:cs="宋体"/>
                <w:sz w:val="24"/>
                <w:szCs w:val="24"/>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spacing w:val="14"/>
                <w:sz w:val="24"/>
                <w:szCs w:val="24"/>
                <w:highlight w:val="none"/>
              </w:rPr>
              <w:t>采购人</w:t>
            </w:r>
            <w:r>
              <w:rPr>
                <w:rFonts w:hint="eastAsia" w:ascii="宋体" w:hAnsi="宋体" w:eastAsia="宋体" w:cs="宋体"/>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ascii="宋体" w:hAnsi="宋体" w:eastAsia="宋体" w:cs="宋体"/>
                <w:spacing w:val="14"/>
                <w:sz w:val="24"/>
                <w:szCs w:val="24"/>
                <w:highlight w:val="none"/>
              </w:rPr>
              <w:t>中标人</w:t>
            </w:r>
          </w:p>
          <w:p w14:paraId="7256C3A0">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现金或转账</w:t>
            </w:r>
          </w:p>
          <w:p w14:paraId="078947A0">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sz w:val="24"/>
                <w:szCs w:val="24"/>
                <w:highlight w:val="none"/>
                <w:u w:val="single" w:color="auto"/>
                <w:lang w:val="en-US" w:eastAsia="zh-CN"/>
              </w:rPr>
              <w:t>3000元</w:t>
            </w:r>
            <w:r>
              <w:rPr>
                <w:rFonts w:hint="default" w:ascii="宋体" w:hAnsi="宋体" w:cs="宋体"/>
                <w:sz w:val="24"/>
                <w:szCs w:val="24"/>
                <w:highlight w:val="none"/>
                <w:u w:val="single" w:color="auto"/>
                <w:lang w:val="en-US" w:eastAsia="zh-CN"/>
              </w:rPr>
              <w:t>（</w:t>
            </w:r>
            <w:r>
              <w:rPr>
                <w:rFonts w:hint="default" w:ascii="宋体" w:hAnsi="宋体" w:eastAsia="宋体" w:cs="宋体"/>
                <w:b w:val="0"/>
                <w:bCs w:val="0"/>
                <w:kern w:val="2"/>
                <w:sz w:val="24"/>
                <w:szCs w:val="24"/>
                <w:highlight w:val="none"/>
                <w:u w:val="single"/>
                <w:lang w:val="en-US" w:eastAsia="zh-CN" w:bidi="ar-SA"/>
              </w:rPr>
              <w:t>评审费另计，以实际发生为准）</w:t>
            </w:r>
            <w:r>
              <w:rPr>
                <w:rFonts w:hint="eastAsia" w:ascii="宋体" w:hAnsi="宋体" w:eastAsia="宋体" w:cs="宋体"/>
                <w:b w:val="0"/>
                <w:bCs w:val="0"/>
                <w:kern w:val="2"/>
                <w:sz w:val="24"/>
                <w:szCs w:val="24"/>
                <w:highlight w:val="none"/>
                <w:u w:val="single"/>
                <w:lang w:val="en-US" w:eastAsia="zh-CN" w:bidi="ar-SA"/>
              </w:rPr>
              <w:t xml:space="preserve"> </w:t>
            </w:r>
          </w:p>
        </w:tc>
      </w:tr>
      <w:tr w14:paraId="524D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241F9FE7">
            <w:pPr>
              <w:pStyle w:val="31"/>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19" w:type="pct"/>
            <w:vAlign w:val="center"/>
          </w:tcPr>
          <w:p w14:paraId="5821724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326" w:type="pct"/>
            <w:vAlign w:val="center"/>
          </w:tcPr>
          <w:p w14:paraId="5FC0EA00">
            <w:pPr>
              <w:keepNext w:val="0"/>
              <w:keepLines w:val="0"/>
              <w:widowControl/>
              <w:suppressLineNumbers w:val="0"/>
              <w:jc w:val="left"/>
              <w:rPr>
                <w:b w:val="0"/>
                <w:bCs w:val="0"/>
                <w:highlight w:val="none"/>
                <w:u w:val="single"/>
              </w:rPr>
            </w:pPr>
            <w:r>
              <w:rPr>
                <w:rFonts w:hint="eastAsia" w:ascii="宋体" w:hAnsi="宋体" w:eastAsia="宋体"/>
                <w:b w:val="0"/>
                <w:color w:val="auto"/>
                <w:sz w:val="24"/>
                <w:highlight w:val="none"/>
              </w:rPr>
              <w:t>递交方式：</w:t>
            </w:r>
            <w:r>
              <w:rPr>
                <w:rFonts w:hint="eastAsia" w:ascii="宋体" w:hAnsi="宋体" w:eastAsia="宋体" w:cs="宋体"/>
                <w:b w:val="0"/>
                <w:bCs w:val="0"/>
                <w:color w:val="000000"/>
                <w:kern w:val="0"/>
                <w:sz w:val="24"/>
                <w:szCs w:val="24"/>
                <w:highlight w:val="none"/>
                <w:u w:val="single"/>
                <w:lang w:val="en-US" w:eastAsia="zh-CN"/>
              </w:rPr>
              <w:t xml:space="preserve">投标人通过书面形式提出，一份质疑函只能针对一个项目提出质疑，且针对同一采购程序 </w:t>
            </w:r>
          </w:p>
          <w:p w14:paraId="4922C9E8">
            <w:pPr>
              <w:keepNext w:val="0"/>
              <w:keepLines w:val="0"/>
              <w:widowControl/>
              <w:suppressLineNumbers w:val="0"/>
              <w:jc w:val="left"/>
              <w:rPr>
                <w:b w:val="0"/>
                <w:bCs w:val="0"/>
                <w:highlight w:val="none"/>
                <w:u w:val="single"/>
              </w:rPr>
            </w:pPr>
            <w:r>
              <w:rPr>
                <w:rFonts w:hint="eastAsia" w:ascii="宋体" w:hAnsi="宋体" w:eastAsia="宋体" w:cs="宋体"/>
                <w:b w:val="0"/>
                <w:bCs w:val="0"/>
                <w:color w:val="000000"/>
                <w:kern w:val="0"/>
                <w:sz w:val="24"/>
                <w:szCs w:val="24"/>
                <w:highlight w:val="none"/>
                <w:u w:val="single"/>
                <w:lang w:val="en-US" w:eastAsia="zh-CN"/>
              </w:rPr>
              <w:t>环节的质疑应当一次性提出。</w:t>
            </w:r>
          </w:p>
          <w:p w14:paraId="1AE3F721">
            <w:pPr>
              <w:pStyle w:val="30"/>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lang w:val="en-US" w:eastAsia="zh-CN"/>
              </w:rPr>
              <w:t>滁州市第二人民医院或江苏川页工程项目管理有限公司</w:t>
            </w:r>
          </w:p>
          <w:p w14:paraId="74C78483">
            <w:pPr>
              <w:pStyle w:val="30"/>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 w:val="0"/>
                <w:color w:val="auto"/>
                <w:sz w:val="24"/>
                <w:highlight w:val="none"/>
                <w:u w:val="single"/>
                <w:lang w:val="en-US" w:eastAsia="zh-CN"/>
              </w:rPr>
              <w:t>0550-3523822或18755018236</w:t>
            </w:r>
          </w:p>
          <w:p w14:paraId="29923B5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u w:val="single"/>
                <w:lang w:val="en-US" w:eastAsia="zh-CN"/>
              </w:rPr>
              <w:t>滁州市清流中路1401号或滁州市世贸大厦A座18楼1818</w:t>
            </w:r>
          </w:p>
        </w:tc>
      </w:tr>
      <w:tr w14:paraId="5637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7EEDDE0D">
            <w:pPr>
              <w:pStyle w:val="31"/>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32</w:t>
            </w:r>
          </w:p>
        </w:tc>
        <w:tc>
          <w:tcPr>
            <w:tcW w:w="1119" w:type="pct"/>
            <w:vAlign w:val="center"/>
          </w:tcPr>
          <w:p w14:paraId="64C00305">
            <w:pPr>
              <w:pStyle w:val="30"/>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3326" w:type="pct"/>
            <w:vAlign w:val="center"/>
          </w:tcPr>
          <w:p w14:paraId="3D717CA1">
            <w:pPr>
              <w:spacing w:line="360" w:lineRule="auto"/>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1、解释权：</w:t>
            </w:r>
          </w:p>
          <w:p w14:paraId="29C8240A">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构成本招标文件的各个组成文件应互为解释，互为说明；</w:t>
            </w:r>
          </w:p>
          <w:p w14:paraId="5A690ED6">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15D7E672">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2647B544">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除招标文件中有特别规定外，仅适用于招标投标阶段的规定，按招标公告、</w:t>
            </w:r>
            <w:r>
              <w:rPr>
                <w:rFonts w:hint="eastAsia" w:ascii="宋体" w:hAnsi="宋体" w:eastAsia="宋体"/>
                <w:bCs/>
                <w:color w:val="auto"/>
                <w:sz w:val="24"/>
                <w:szCs w:val="24"/>
                <w:highlight w:val="none"/>
              </w:rPr>
              <w:t>投标邀请、</w:t>
            </w:r>
            <w:r>
              <w:rPr>
                <w:rFonts w:ascii="宋体" w:hAnsi="宋体" w:eastAsia="宋体"/>
                <w:bCs/>
                <w:color w:val="auto"/>
                <w:sz w:val="24"/>
                <w:szCs w:val="24"/>
                <w:highlight w:val="none"/>
              </w:rPr>
              <w:t>投标人须知、评标</w:t>
            </w:r>
            <w:r>
              <w:rPr>
                <w:rFonts w:hint="eastAsia" w:ascii="宋体" w:hAnsi="宋体" w:eastAsia="宋体"/>
                <w:bCs/>
                <w:color w:val="auto"/>
                <w:sz w:val="24"/>
                <w:szCs w:val="24"/>
                <w:highlight w:val="none"/>
              </w:rPr>
              <w:t>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、投标文件格式的先后顺序解释；</w:t>
            </w:r>
          </w:p>
          <w:p w14:paraId="3EA279E9">
            <w:pPr>
              <w:spacing w:line="360" w:lineRule="auto"/>
              <w:rPr>
                <w:rFonts w:hint="default"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lang w:val="en-US" w:eastAsia="zh-CN"/>
              </w:rPr>
              <w:t>（5）</w:t>
            </w:r>
            <w:r>
              <w:rPr>
                <w:rFonts w:ascii="宋体" w:hAnsi="宋体" w:eastAsia="宋体"/>
                <w:bCs/>
                <w:color w:val="auto"/>
                <w:sz w:val="24"/>
                <w:szCs w:val="24"/>
                <w:highlight w:val="none"/>
                <w:lang w:val="en-US" w:eastAsia="zh-CN"/>
              </w:rPr>
              <w:t>按本款前述规定仍不能形成结论的，由</w:t>
            </w:r>
            <w:r>
              <w:rPr>
                <w:rFonts w:hint="eastAsia" w:ascii="宋体" w:hAnsi="宋体" w:eastAsia="宋体"/>
                <w:bCs/>
                <w:color w:val="auto"/>
                <w:sz w:val="24"/>
                <w:szCs w:val="24"/>
                <w:highlight w:val="none"/>
                <w:lang w:val="en-US" w:eastAsia="zh-CN"/>
              </w:rPr>
              <w:t>采购</w:t>
            </w:r>
            <w:r>
              <w:rPr>
                <w:rFonts w:ascii="宋体" w:hAnsi="宋体" w:eastAsia="宋体"/>
                <w:bCs/>
                <w:color w:val="auto"/>
                <w:sz w:val="24"/>
                <w:szCs w:val="24"/>
                <w:highlight w:val="none"/>
                <w:lang w:val="en-US" w:eastAsia="zh-CN"/>
              </w:rPr>
              <w:t>人负责解释。</w:t>
            </w:r>
          </w:p>
        </w:tc>
      </w:tr>
      <w:tr w14:paraId="03BA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77F43800">
            <w:pPr>
              <w:pStyle w:val="31"/>
              <w:pBdr>
                <w:bottom w:val="none" w:color="auto" w:sz="0" w:space="0"/>
              </w:pBdr>
              <w:tabs>
                <w:tab w:val="clear" w:pos="4153"/>
                <w:tab w:val="clear" w:pos="8306"/>
              </w:tabs>
              <w:adjustRightInd/>
              <w:spacing w:line="240" w:lineRule="auto"/>
              <w:textAlignment w:val="auto"/>
              <w:rPr>
                <w:rFonts w:hint="default" w:ascii="宋体" w:hAnsi="宋体" w:eastAsia="宋体"/>
                <w:b/>
                <w:bCs w:val="0"/>
                <w:color w:val="auto"/>
                <w:kern w:val="2"/>
                <w:highlight w:val="none"/>
                <w:lang w:val="en-US" w:eastAsia="zh-CN"/>
              </w:rPr>
            </w:pPr>
            <w:r>
              <w:rPr>
                <w:rFonts w:hint="eastAsia" w:ascii="宋体" w:hAnsi="宋体" w:eastAsia="宋体"/>
                <w:b/>
                <w:bCs w:val="0"/>
                <w:color w:val="auto"/>
                <w:kern w:val="2"/>
                <w:highlight w:val="none"/>
                <w:lang w:val="en-US" w:eastAsia="zh-CN"/>
              </w:rPr>
              <w:t>33</w:t>
            </w:r>
          </w:p>
        </w:tc>
        <w:tc>
          <w:tcPr>
            <w:tcW w:w="1119" w:type="pct"/>
            <w:vAlign w:val="center"/>
          </w:tcPr>
          <w:p w14:paraId="6C3C18BA">
            <w:pPr>
              <w:pStyle w:val="30"/>
              <w:widowControl w:val="0"/>
              <w:spacing w:before="0" w:beforeAutospacing="0" w:after="0" w:afterAutospacing="0" w:line="360" w:lineRule="auto"/>
              <w:jc w:val="both"/>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投标文件数量</w:t>
            </w:r>
          </w:p>
        </w:tc>
        <w:tc>
          <w:tcPr>
            <w:tcW w:w="3326" w:type="pct"/>
            <w:vAlign w:val="center"/>
          </w:tcPr>
          <w:p w14:paraId="3EF10F41">
            <w:pPr>
              <w:spacing w:line="360" w:lineRule="auto"/>
              <w:rPr>
                <w:rFonts w:hint="eastAsia" w:ascii="宋体" w:hAnsi="宋体" w:eastAsia="宋体"/>
                <w:b/>
                <w:bCs w:val="0"/>
                <w:color w:val="auto"/>
                <w:sz w:val="24"/>
                <w:szCs w:val="24"/>
                <w:highlight w:val="none"/>
                <w:lang w:val="en-US" w:eastAsia="zh-CN"/>
              </w:rPr>
            </w:pPr>
            <w:r>
              <w:rPr>
                <w:rFonts w:hint="eastAsia" w:ascii="宋体" w:hAnsi="宋体" w:eastAsia="宋体"/>
                <w:b/>
                <w:bCs w:val="0"/>
                <w:color w:val="auto"/>
                <w:sz w:val="24"/>
                <w:szCs w:val="24"/>
                <w:highlight w:val="none"/>
              </w:rPr>
              <w:t>正本</w:t>
            </w:r>
            <w:r>
              <w:rPr>
                <w:rFonts w:hint="eastAsia" w:ascii="宋体" w:hAnsi="宋体" w:eastAsia="宋体"/>
                <w:b/>
                <w:bCs w:val="0"/>
                <w:color w:val="auto"/>
                <w:sz w:val="24"/>
                <w:szCs w:val="24"/>
                <w:highlight w:val="none"/>
                <w:u w:val="single"/>
              </w:rPr>
              <w:t xml:space="preserve"> 1 </w:t>
            </w:r>
            <w:r>
              <w:rPr>
                <w:rFonts w:hint="eastAsia" w:ascii="宋体" w:hAnsi="宋体" w:eastAsia="宋体"/>
                <w:b/>
                <w:bCs w:val="0"/>
                <w:color w:val="auto"/>
                <w:sz w:val="24"/>
                <w:szCs w:val="24"/>
                <w:highlight w:val="none"/>
              </w:rPr>
              <w:t>份，副本</w:t>
            </w:r>
            <w:r>
              <w:rPr>
                <w:rFonts w:hint="eastAsia" w:ascii="宋体" w:hAnsi="宋体" w:eastAsia="宋体"/>
                <w:b/>
                <w:bCs w:val="0"/>
                <w:color w:val="auto"/>
                <w:sz w:val="24"/>
                <w:szCs w:val="24"/>
                <w:highlight w:val="none"/>
                <w:u w:val="single"/>
              </w:rPr>
              <w:t xml:space="preserve"> </w:t>
            </w:r>
            <w:r>
              <w:rPr>
                <w:rFonts w:hint="eastAsia" w:ascii="宋体" w:hAnsi="宋体" w:eastAsia="宋体"/>
                <w:b/>
                <w:bCs w:val="0"/>
                <w:color w:val="auto"/>
                <w:sz w:val="24"/>
                <w:szCs w:val="24"/>
                <w:highlight w:val="none"/>
                <w:u w:val="single"/>
                <w:lang w:val="en-US" w:eastAsia="zh-CN"/>
              </w:rPr>
              <w:t>2</w:t>
            </w:r>
            <w:r>
              <w:rPr>
                <w:rFonts w:hint="eastAsia" w:ascii="宋体" w:hAnsi="宋体" w:eastAsia="宋体"/>
                <w:b/>
                <w:bCs w:val="0"/>
                <w:color w:val="auto"/>
                <w:sz w:val="24"/>
                <w:szCs w:val="24"/>
                <w:highlight w:val="none"/>
                <w:u w:val="single"/>
              </w:rPr>
              <w:t xml:space="preserve"> </w:t>
            </w:r>
            <w:r>
              <w:rPr>
                <w:rFonts w:hint="eastAsia" w:ascii="宋体" w:hAnsi="宋体" w:eastAsia="宋体"/>
                <w:b/>
                <w:bCs w:val="0"/>
                <w:color w:val="auto"/>
                <w:sz w:val="24"/>
                <w:szCs w:val="24"/>
                <w:highlight w:val="none"/>
              </w:rPr>
              <w:t>份</w:t>
            </w:r>
            <w:r>
              <w:rPr>
                <w:rFonts w:hint="eastAsia" w:ascii="宋体" w:hAnsi="宋体" w:eastAsia="宋体"/>
                <w:b/>
                <w:bCs w:val="0"/>
                <w:color w:val="auto"/>
                <w:sz w:val="24"/>
                <w:szCs w:val="24"/>
                <w:highlight w:val="none"/>
                <w:lang w:eastAsia="zh-CN"/>
              </w:rPr>
              <w:t>，</w:t>
            </w:r>
            <w:r>
              <w:rPr>
                <w:rFonts w:hint="eastAsia" w:ascii="宋体" w:hAnsi="宋体" w:eastAsia="宋体"/>
                <w:b/>
                <w:bCs w:val="0"/>
                <w:color w:val="auto"/>
                <w:sz w:val="24"/>
                <w:szCs w:val="24"/>
                <w:highlight w:val="none"/>
                <w:lang w:val="en-US" w:eastAsia="zh-CN"/>
              </w:rPr>
              <w:t>正副本不一致时，以正本为准。</w:t>
            </w:r>
          </w:p>
        </w:tc>
      </w:tr>
      <w:tr w14:paraId="490A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53" w:type="pct"/>
            <w:vAlign w:val="center"/>
          </w:tcPr>
          <w:p w14:paraId="13C699A9">
            <w:pPr>
              <w:pStyle w:val="31"/>
              <w:pBdr>
                <w:bottom w:val="none" w:color="auto" w:sz="0" w:space="0"/>
              </w:pBdr>
              <w:tabs>
                <w:tab w:val="clear" w:pos="4153"/>
                <w:tab w:val="clear" w:pos="8306"/>
              </w:tabs>
              <w:adjustRightInd/>
              <w:spacing w:line="240" w:lineRule="auto"/>
              <w:textAlignment w:val="auto"/>
              <w:rPr>
                <w:rFonts w:hint="default" w:ascii="宋体" w:hAnsi="宋体" w:eastAsia="宋体"/>
                <w:b/>
                <w:bCs w:val="0"/>
                <w:color w:val="auto"/>
                <w:kern w:val="2"/>
                <w:highlight w:val="none"/>
                <w:lang w:val="en-US" w:eastAsia="zh-CN"/>
              </w:rPr>
            </w:pPr>
            <w:r>
              <w:rPr>
                <w:rFonts w:hint="eastAsia" w:ascii="宋体" w:hAnsi="宋体" w:eastAsia="宋体"/>
                <w:b/>
                <w:bCs w:val="0"/>
                <w:color w:val="auto"/>
                <w:kern w:val="2"/>
                <w:highlight w:val="none"/>
                <w:lang w:val="en-US" w:eastAsia="zh-CN"/>
              </w:rPr>
              <w:t>34</w:t>
            </w:r>
          </w:p>
        </w:tc>
        <w:tc>
          <w:tcPr>
            <w:tcW w:w="1119" w:type="pct"/>
            <w:vAlign w:val="center"/>
          </w:tcPr>
          <w:p w14:paraId="622EE39E">
            <w:pPr>
              <w:pStyle w:val="30"/>
              <w:widowControl w:val="0"/>
              <w:spacing w:before="0" w:beforeAutospacing="0" w:after="0" w:afterAutospacing="0" w:line="360" w:lineRule="auto"/>
              <w:jc w:val="both"/>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签字或盖章及密封要求</w:t>
            </w:r>
          </w:p>
        </w:tc>
        <w:tc>
          <w:tcPr>
            <w:tcW w:w="3326" w:type="pct"/>
            <w:vAlign w:val="center"/>
          </w:tcPr>
          <w:p w14:paraId="3D23BF86">
            <w:pPr>
              <w:spacing w:line="360" w:lineRule="auto"/>
              <w:rPr>
                <w:rFonts w:hint="eastAsia" w:ascii="宋体" w:hAnsi="宋体" w:eastAsia="宋体"/>
                <w:b/>
                <w:bCs w:val="0"/>
                <w:color w:val="auto"/>
                <w:sz w:val="24"/>
                <w:szCs w:val="24"/>
                <w:highlight w:val="none"/>
                <w:lang w:val="en-US" w:eastAsia="zh-CN"/>
              </w:rPr>
            </w:pPr>
            <w:r>
              <w:rPr>
                <w:rFonts w:hint="eastAsia" w:ascii="宋体" w:hAnsi="宋体" w:eastAsia="宋体"/>
                <w:b/>
                <w:bCs w:val="0"/>
                <w:color w:val="auto"/>
                <w:sz w:val="24"/>
                <w:szCs w:val="24"/>
                <w:highlight w:val="none"/>
                <w:lang w:val="en-US" w:eastAsia="zh-CN"/>
              </w:rPr>
              <w:t>一正两副装订成册，密封在档案袋中，档案袋封面注明项目名称、单位、联系人及联系方式</w:t>
            </w:r>
          </w:p>
        </w:tc>
      </w:tr>
    </w:tbl>
    <w:p w14:paraId="736255BC">
      <w:pPr>
        <w:spacing w:line="360" w:lineRule="auto"/>
        <w:jc w:val="center"/>
        <w:outlineLvl w:val="1"/>
        <w:rPr>
          <w:rFonts w:asciiTheme="minorEastAsia" w:hAnsiTheme="minorEastAsia" w:eastAsiaTheme="minorEastAsia"/>
          <w:b/>
          <w:color w:val="auto"/>
          <w:sz w:val="24"/>
          <w:highlight w:val="none"/>
        </w:rPr>
      </w:pPr>
      <w:r>
        <w:rPr>
          <w:rFonts w:ascii="宋体" w:hAnsi="宋体" w:eastAsia="宋体"/>
          <w:b/>
          <w:color w:val="auto"/>
          <w:sz w:val="28"/>
          <w:highlight w:val="none"/>
        </w:rPr>
        <w:br w:type="page"/>
      </w:r>
      <w:bookmarkStart w:id="21" w:name="_Toc9427"/>
      <w:bookmarkStart w:id="22" w:name="_Toc24882"/>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投标人须知</w:t>
      </w:r>
      <w:r>
        <w:rPr>
          <w:rFonts w:hint="eastAsia" w:asciiTheme="minorEastAsia" w:hAnsiTheme="minorEastAsia" w:eastAsiaTheme="minorEastAsia"/>
          <w:b/>
          <w:color w:val="auto"/>
          <w:sz w:val="24"/>
          <w:highlight w:val="none"/>
        </w:rPr>
        <w:t>正文</w:t>
      </w:r>
      <w:bookmarkEnd w:id="21"/>
      <w:bookmarkEnd w:id="22"/>
    </w:p>
    <w:p w14:paraId="4610C9AF">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1.采购人、采购代理机构及投标人</w:t>
      </w:r>
    </w:p>
    <w:p w14:paraId="1D304C2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05F85AA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04B57D8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72A4517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295DA2D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6B6F0D6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17B0E20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7C44FE1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19730E5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w:t>
      </w:r>
      <w:r>
        <w:rPr>
          <w:rFonts w:hint="eastAsia" w:ascii="宋体" w:hAnsi="宋体" w:eastAsia="宋体"/>
          <w:color w:val="auto"/>
          <w:sz w:val="24"/>
          <w:highlight w:val="none"/>
        </w:rPr>
        <w:t>若招标公告</w:t>
      </w:r>
      <w:r>
        <w:rPr>
          <w:rFonts w:ascii="宋体" w:hAnsi="宋体" w:eastAsia="宋体"/>
          <w:color w:val="auto"/>
          <w:sz w:val="24"/>
          <w:highlight w:val="none"/>
        </w:rPr>
        <w:t>中允许联合体投标，对联合体规定如下：</w:t>
      </w:r>
    </w:p>
    <w:p w14:paraId="1808BFF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5.1两个以上供应商可以组成一个投标联合体，以一个投标人的身份投标。</w:t>
      </w:r>
      <w:r>
        <w:rPr>
          <w:rFonts w:ascii="宋体" w:hAnsi="宋体" w:eastAsia="宋体"/>
          <w:b w:val="0"/>
          <w:color w:val="auto"/>
          <w:sz w:val="24"/>
          <w:highlight w:val="none"/>
        </w:rPr>
        <w:t>联合体投标的，</w:t>
      </w:r>
      <w:r>
        <w:rPr>
          <w:rFonts w:hint="eastAsia" w:ascii="宋体" w:hAnsi="宋体" w:eastAsia="宋体"/>
          <w:b w:val="0"/>
          <w:color w:val="auto"/>
          <w:sz w:val="24"/>
          <w:highlight w:val="none"/>
        </w:rPr>
        <w:t>招标文件获取</w:t>
      </w:r>
      <w:r>
        <w:rPr>
          <w:rFonts w:ascii="宋体" w:hAnsi="宋体" w:eastAsia="宋体"/>
          <w:b w:val="0"/>
          <w:color w:val="auto"/>
          <w:sz w:val="24"/>
          <w:highlight w:val="none"/>
        </w:rPr>
        <w:t>手续由联合体</w:t>
      </w:r>
      <w:r>
        <w:rPr>
          <w:rFonts w:hint="eastAsia" w:ascii="宋体" w:hAnsi="宋体" w:eastAsia="宋体"/>
          <w:b w:val="0"/>
          <w:color w:val="auto"/>
          <w:sz w:val="24"/>
          <w:highlight w:val="none"/>
        </w:rPr>
        <w:t>中</w:t>
      </w:r>
      <w:r>
        <w:rPr>
          <w:rFonts w:ascii="宋体" w:hAnsi="宋体" w:eastAsia="宋体"/>
          <w:b w:val="0"/>
          <w:color w:val="auto"/>
          <w:sz w:val="24"/>
          <w:highlight w:val="none"/>
        </w:rPr>
        <w:t>任</w:t>
      </w:r>
      <w:r>
        <w:rPr>
          <w:rFonts w:hint="eastAsia" w:ascii="宋体" w:hAnsi="宋体" w:eastAsia="宋体"/>
          <w:b w:val="0"/>
          <w:color w:val="auto"/>
          <w:sz w:val="24"/>
          <w:highlight w:val="none"/>
        </w:rPr>
        <w:t>一成员单位</w:t>
      </w:r>
      <w:r>
        <w:rPr>
          <w:rFonts w:ascii="宋体" w:hAnsi="宋体" w:eastAsia="宋体"/>
          <w:b w:val="0"/>
          <w:color w:val="auto"/>
          <w:sz w:val="24"/>
          <w:highlight w:val="none"/>
        </w:rPr>
        <w:t>办理均可。</w:t>
      </w:r>
    </w:p>
    <w:p w14:paraId="6603BC7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5.2联合体各方均应符合《中华人民共和国政府采购法》第二十二条规定的条件。</w:t>
      </w:r>
    </w:p>
    <w:p w14:paraId="43E10FE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5.3采购人根据采购项目对投标人的特殊要求，联合体中至少应当有一方符合相关规定。</w:t>
      </w:r>
    </w:p>
    <w:p w14:paraId="63A7EBC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作为投标文件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33E82E8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5.5大中型企业、其他自然人、法人或者非法人组织与小型、微型企业组成联合体共同参加投标，</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w:t>
      </w:r>
      <w:r>
        <w:rPr>
          <w:rFonts w:ascii="宋体" w:hAnsi="宋体" w:eastAsia="宋体"/>
          <w:color w:val="auto"/>
          <w:sz w:val="24"/>
          <w:highlight w:val="none"/>
        </w:rPr>
        <w:t>投标总金额的比例。</w:t>
      </w:r>
    </w:p>
    <w:p w14:paraId="02D900B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48D2A59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5.7以联合体形式参加政府采购活动的，联合体各方不得再单独参加或者与其他供应商另外组成联合体参加本项目投标，否则相关投标将被认定为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12CC0FA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5.8对联合体投标的其他资格要求见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rFonts w:ascii="宋体" w:hAnsi="宋体" w:eastAsia="宋体"/>
          <w:color w:val="auto"/>
          <w:sz w:val="24"/>
          <w:highlight w:val="none"/>
        </w:rPr>
        <w:t>。</w:t>
      </w:r>
    </w:p>
    <w:p w14:paraId="7359A7E1">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2.资金落实情况</w:t>
      </w:r>
    </w:p>
    <w:p w14:paraId="52734A1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本</w:t>
      </w:r>
      <w:r>
        <w:rPr>
          <w:rFonts w:hint="eastAsia" w:ascii="宋体" w:hAnsi="宋体" w:eastAsia="宋体"/>
          <w:color w:val="auto"/>
          <w:sz w:val="24"/>
          <w:highlight w:val="none"/>
        </w:rPr>
        <w:t>项目</w:t>
      </w:r>
      <w:r>
        <w:rPr>
          <w:rFonts w:hint="eastAsia" w:asciiTheme="minorEastAsia" w:hAnsiTheme="minorEastAsia" w:eastAsiaTheme="minorEastAsia"/>
          <w:color w:val="auto"/>
          <w:sz w:val="24"/>
          <w:highlight w:val="none"/>
        </w:rPr>
        <w:t>的采购人已获得足以支付本次招标后所签订的合同项下的资金。</w:t>
      </w:r>
    </w:p>
    <w:p w14:paraId="0FBA0FB0">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3.投标费用</w:t>
      </w:r>
    </w:p>
    <w:p w14:paraId="7BC8875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6F32F5D8">
      <w:pPr>
        <w:spacing w:line="360" w:lineRule="auto"/>
        <w:ind w:firstLine="437"/>
        <w:outlineLvl w:val="2"/>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4.适用法律</w:t>
      </w:r>
    </w:p>
    <w:p w14:paraId="70CB8BFD">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rPr>
        <w:t>本项目采购人、采购代理机构、投标人、评标委员会的相关行为均受《中华人民共和国政府采购法》、《中</w:t>
      </w:r>
      <w:r>
        <w:rPr>
          <w:rFonts w:hint="eastAsia" w:ascii="宋体" w:hAnsi="宋体" w:eastAsia="宋体"/>
          <w:color w:val="auto"/>
          <w:sz w:val="24"/>
          <w:szCs w:val="22"/>
          <w:highlight w:val="none"/>
        </w:rPr>
        <w:t>华人民共和国政府采购法实施条例》</w:t>
      </w:r>
      <w:r>
        <w:rPr>
          <w:rFonts w:hint="eastAsia" w:ascii="宋体" w:hAnsi="宋体" w:eastAsia="宋体"/>
          <w:color w:val="auto"/>
          <w:sz w:val="24"/>
          <w:szCs w:val="22"/>
          <w:highlight w:val="none"/>
          <w:lang w:val="en-US" w:eastAsia="zh-CN"/>
        </w:rPr>
        <w:t>及</w:t>
      </w:r>
      <w:r>
        <w:rPr>
          <w:rFonts w:hint="eastAsia" w:ascii="宋体" w:hAnsi="宋体" w:eastAsia="宋体"/>
          <w:color w:val="auto"/>
          <w:sz w:val="24"/>
          <w:szCs w:val="22"/>
          <w:highlight w:val="none"/>
        </w:rPr>
        <w:t>本项目本级和上级财政部门、政府采购监督管理部门的政府采购有关规定的约束，其权利受到上述法律法规的保护。</w:t>
      </w:r>
    </w:p>
    <w:p w14:paraId="56C824C1">
      <w:pPr>
        <w:spacing w:line="360" w:lineRule="auto"/>
        <w:ind w:firstLine="437"/>
        <w:outlineLvl w:val="2"/>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hint="eastAsia" w:asciiTheme="minorEastAsia" w:hAnsiTheme="minorEastAsia" w:eastAsiaTheme="minorEastAsia"/>
          <w:b/>
          <w:color w:val="auto"/>
          <w:sz w:val="24"/>
          <w:highlight w:val="none"/>
        </w:rPr>
        <w:t>.招标文件构成</w:t>
      </w:r>
    </w:p>
    <w:p w14:paraId="11CB048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7616E92E">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投标邀请</w:t>
      </w:r>
    </w:p>
    <w:p w14:paraId="06114D9F">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投标人须知</w:t>
      </w:r>
    </w:p>
    <w:p w14:paraId="37DA5FE9">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2919461B">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评标</w:t>
      </w:r>
      <w:r>
        <w:rPr>
          <w:rFonts w:hint="eastAsia" w:asciiTheme="minorEastAsia" w:hAnsiTheme="minorEastAsia" w:eastAsiaTheme="minorEastAsia"/>
          <w:color w:val="auto"/>
          <w:sz w:val="24"/>
          <w:highlight w:val="none"/>
        </w:rPr>
        <w:t>方法</w:t>
      </w:r>
      <w:r>
        <w:rPr>
          <w:rFonts w:asciiTheme="minorEastAsia" w:hAnsiTheme="minorEastAsia" w:eastAsiaTheme="minorEastAsia"/>
          <w:color w:val="auto"/>
          <w:sz w:val="24"/>
          <w:highlight w:val="none"/>
        </w:rPr>
        <w:t>和标准</w:t>
      </w:r>
    </w:p>
    <w:p w14:paraId="2D97B7DF">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5C427D45">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投标文件格式</w:t>
      </w:r>
    </w:p>
    <w:p w14:paraId="1BC2A02C">
      <w:pPr>
        <w:spacing w:line="360" w:lineRule="auto"/>
        <w:ind w:firstLine="840" w:firstLineChars="350"/>
        <w:outlineLvl w:val="9"/>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494B6E7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hint="eastAsia" w:asciiTheme="minorEastAsia" w:hAnsiTheme="minorEastAsia" w:eastAsiaTheme="minorEastAsia"/>
          <w:color w:val="auto"/>
          <w:sz w:val="24"/>
          <w:highlight w:val="none"/>
          <w:lang w:eastAsia="zh-CN"/>
        </w:rPr>
        <w:t>（</w:t>
      </w:r>
      <w:r>
        <w:rPr>
          <w:rFonts w:hint="eastAsia" w:ascii="宋体" w:hAnsi="宋体" w:eastAsia="宋体" w:cs="@仿宋_GB2312"/>
          <w:b w:val="0"/>
          <w:bCs/>
          <w:color w:val="auto"/>
          <w:kern w:val="2"/>
          <w:sz w:val="24"/>
          <w:szCs w:val="22"/>
          <w:highlight w:val="none"/>
          <w:lang w:val="en-US" w:eastAsia="zh-CN" w:bidi="ar-SA"/>
        </w:rPr>
        <w:t>标前答疑会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w:t>
      </w:r>
    </w:p>
    <w:p w14:paraId="6BEF925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投标人应认真阅读招标文件所有的事项、格式、条款和技术规范等。</w:t>
      </w:r>
    </w:p>
    <w:p w14:paraId="62868EC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招标文件的澄清与修改</w:t>
      </w:r>
    </w:p>
    <w:p w14:paraId="1BBD69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01DE5F5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w:t>
      </w:r>
      <w:r>
        <w:rPr>
          <w:rFonts w:hint="eastAsia" w:asciiTheme="minorEastAsia" w:hAnsiTheme="minorEastAsia" w:eastAsiaTheme="minorEastAsia"/>
          <w:color w:val="auto"/>
          <w:sz w:val="24"/>
          <w:highlight w:val="none"/>
        </w:rPr>
        <w:t>投标人提出的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时对招标文件进行澄清与修改。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lang w:eastAsia="zh-CN"/>
        </w:rPr>
        <w:t>滁州市第二人民医院官网</w:t>
      </w:r>
      <w:r>
        <w:rPr>
          <w:rFonts w:hint="eastAsia" w:asciiTheme="minorEastAsia" w:hAnsiTheme="minorEastAsia" w:eastAsiaTheme="minorEastAsia"/>
          <w:color w:val="auto"/>
          <w:sz w:val="24"/>
          <w:highlight w:val="none"/>
        </w:rPr>
        <w:t>以发布更正公告的方式</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澄清或修改招标文件，更正公告的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为招标文件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组成部分，对投标人起约束作用</w:t>
      </w:r>
      <w:r>
        <w:rPr>
          <w:rFonts w:hint="eastAsia" w:asciiTheme="minorEastAsia" w:hAnsiTheme="minorEastAsia" w:eastAsiaTheme="minorEastAsia"/>
          <w:color w:val="auto"/>
          <w:sz w:val="24"/>
          <w:highlight w:val="none"/>
        </w:rPr>
        <w:t>。投标人应主动上网查询。采购代理机构不承担投标人未及时关注相关信息引发的相关责任。</w:t>
      </w:r>
    </w:p>
    <w:p w14:paraId="7FFF0D2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0A7A2D04">
      <w:pPr>
        <w:spacing w:line="360" w:lineRule="auto"/>
        <w:ind w:firstLine="435"/>
        <w:rPr>
          <w:rFonts w:asciiTheme="minorEastAsia" w:hAnsiTheme="minorEastAsia" w:eastAsiaTheme="minorEastAsia"/>
          <w:i/>
          <w:iCs/>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疑问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项目投标的</w:t>
      </w:r>
      <w:r>
        <w:rPr>
          <w:rFonts w:hint="eastAsia" w:asciiTheme="minorEastAsia" w:hAnsiTheme="minorEastAsia" w:eastAsiaTheme="minorEastAsia"/>
          <w:color w:val="auto"/>
          <w:sz w:val="24"/>
          <w:highlight w:val="none"/>
        </w:rPr>
        <w:t>投标人</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招标文件（含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i/>
          <w:color w:val="auto"/>
          <w:sz w:val="24"/>
          <w:highlight w:val="none"/>
        </w:rPr>
        <w:t>。</w:t>
      </w:r>
    </w:p>
    <w:p w14:paraId="28AAFD5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投标范围及投标文件中标准和计量单位的使用</w:t>
      </w:r>
    </w:p>
    <w:p w14:paraId="7AA7935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w:t>
      </w:r>
      <w:r>
        <w:rPr>
          <w:rFonts w:ascii="宋体" w:hAnsi="宋体" w:eastAsia="宋体"/>
          <w:color w:val="auto"/>
          <w:sz w:val="24"/>
          <w:highlight w:val="none"/>
        </w:rPr>
        <w:t>项目</w:t>
      </w:r>
      <w:r>
        <w:rPr>
          <w:rFonts w:asciiTheme="minorEastAsia" w:hAnsiTheme="minorEastAsia" w:eastAsiaTheme="minorEastAsia"/>
          <w:color w:val="auto"/>
          <w:sz w:val="24"/>
          <w:highlight w:val="none"/>
        </w:rPr>
        <w:t>有分包的，投标人可对招标文件其中某一个或几个分包进行投标，除非在</w:t>
      </w:r>
      <w:r>
        <w:rPr>
          <w:rFonts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中另有规定。</w:t>
      </w:r>
    </w:p>
    <w:p w14:paraId="2267C59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.2投标人应当对所投分包招标文件中“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需求”所列的所有内容进行投标，如仅响应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asciiTheme="minorEastAsia" w:hAnsiTheme="minorEastAsia" w:eastAsiaTheme="minorEastAsia"/>
          <w:color w:val="auto"/>
          <w:sz w:val="24"/>
          <w:highlight w:val="none"/>
        </w:rPr>
        <w:t>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7EE8A2CD">
      <w:pPr>
        <w:spacing w:line="360" w:lineRule="auto"/>
        <w:ind w:firstLine="435"/>
        <w:rPr>
          <w:rFonts w:asciiTheme="minorEastAsia" w:hAnsiTheme="minorEastAsia" w:eastAsiaTheme="minorEastAsia"/>
          <w:color w:val="auto"/>
          <w:sz w:val="24"/>
          <w:highlight w:val="none"/>
        </w:rPr>
      </w:pPr>
      <w:bookmarkStart w:id="23" w:name="_Hlk16458980"/>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.3无论招标文件中是否要求，</w:t>
      </w:r>
      <w:r>
        <w:rPr>
          <w:rFonts w:hint="eastAsia" w:asciiTheme="minorEastAsia" w:hAnsiTheme="minorEastAsia" w:eastAsiaTheme="minorEastAsia"/>
          <w:color w:val="auto"/>
          <w:sz w:val="24"/>
          <w:highlight w:val="none"/>
        </w:rPr>
        <w:t>投标人所投货物</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lang w:val="en-US" w:eastAsia="zh-CN"/>
        </w:rPr>
        <w:t>及</w:t>
      </w:r>
      <w:r>
        <w:rPr>
          <w:rFonts w:hint="eastAsia" w:asciiTheme="minorEastAsia" w:hAnsiTheme="minorEastAsia" w:eastAsiaTheme="minorEastAsia"/>
          <w:color w:val="auto"/>
          <w:sz w:val="24"/>
          <w:highlight w:val="none"/>
        </w:rPr>
        <w:t>工程</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i w:val="0"/>
          <w:iCs w:val="0"/>
          <w:color w:val="auto"/>
          <w:sz w:val="24"/>
          <w:highlight w:val="none"/>
          <w:u w:val="none"/>
          <w:lang w:val="en-US" w:eastAsia="zh-CN"/>
        </w:rPr>
        <w:t>如有</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均应符合国家强制性标准。</w:t>
      </w:r>
    </w:p>
    <w:bookmarkEnd w:id="23"/>
    <w:p w14:paraId="6B8EE3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投标人与采购</w:t>
      </w:r>
      <w:r>
        <w:rPr>
          <w:rFonts w:hint="eastAsia" w:asciiTheme="minorEastAsia" w:hAnsiTheme="minorEastAsia" w:eastAsiaTheme="minorEastAsia"/>
          <w:color w:val="auto"/>
          <w:sz w:val="24"/>
          <w:highlight w:val="none"/>
        </w:rPr>
        <w:t>代理</w:t>
      </w:r>
      <w:r>
        <w:rPr>
          <w:rFonts w:asciiTheme="minorEastAsia" w:hAnsiTheme="minorEastAsia" w:eastAsiaTheme="minorEastAsia"/>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44C6D00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除</w:t>
      </w:r>
      <w:r>
        <w:rPr>
          <w:rFonts w:ascii="宋体" w:hAnsi="宋体" w:eastAsia="宋体"/>
          <w:color w:val="auto"/>
          <w:sz w:val="24"/>
          <w:highlight w:val="none"/>
        </w:rPr>
        <w:t>招标文件</w:t>
      </w:r>
      <w:r>
        <w:rPr>
          <w:rFonts w:asciiTheme="minorEastAsia" w:hAnsiTheme="minorEastAsia" w:eastAsiaTheme="minorEastAsia"/>
          <w:color w:val="auto"/>
          <w:sz w:val="24"/>
          <w:highlight w:val="none"/>
        </w:rPr>
        <w:t>中有特殊要求外，投标文件中所使用的计量单位，应采用中华人民共和国法定计量单位。</w:t>
      </w:r>
    </w:p>
    <w:p w14:paraId="14AD468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投标文件构成</w:t>
      </w:r>
    </w:p>
    <w:p w14:paraId="3ABBE93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应完整地按招标文件提供的投标文件格式及要求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写投标文件，</w:t>
      </w:r>
      <w:r>
        <w:rPr>
          <w:rFonts w:hint="eastAsia" w:asciiTheme="minorEastAsia" w:hAnsiTheme="minorEastAsia" w:eastAsiaTheme="minorEastAsia"/>
          <w:color w:val="auto"/>
          <w:sz w:val="24"/>
          <w:highlight w:val="none"/>
        </w:rPr>
        <w:t>具体内容详见本项目投标文件格式的相关内容。</w:t>
      </w:r>
    </w:p>
    <w:p w14:paraId="252F0276">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w:t>
      </w:r>
      <w:r>
        <w:rPr>
          <w:rFonts w:ascii="宋体" w:hAnsi="宋体" w:eastAsia="宋体"/>
          <w:color w:val="auto"/>
          <w:sz w:val="24"/>
          <w:highlight w:val="none"/>
        </w:rPr>
        <w:t>投标人</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rPr>
        <w:t>招标文件要求的</w:t>
      </w:r>
      <w:r>
        <w:rPr>
          <w:rFonts w:asciiTheme="minorEastAsia" w:hAnsiTheme="minorEastAsia" w:eastAsiaTheme="minorEastAsia"/>
          <w:color w:val="auto"/>
          <w:sz w:val="24"/>
          <w:highlight w:val="none"/>
        </w:rPr>
        <w:t>证明文件，证明其投标内容符合招标文件规定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该证明文件是投标文件的一部分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bookmarkStart w:id="24" w:name="_Hlk11703583"/>
      <w:r>
        <w:rPr>
          <w:rFonts w:hint="eastAsia" w:asciiTheme="minorEastAsia" w:hAnsiTheme="minorEastAsia" w:eastAsiaTheme="minorEastAsia"/>
          <w:color w:val="auto"/>
          <w:sz w:val="24"/>
          <w:highlight w:val="none"/>
          <w:lang w:val="en-US" w:eastAsia="zh-CN"/>
        </w:rPr>
        <w:t>等。</w:t>
      </w:r>
    </w:p>
    <w:bookmarkEnd w:id="24"/>
    <w:p w14:paraId="34AB92A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公正，除非另有规定或说明，投标人对同一项目投标时，不得同时提供</w:t>
      </w:r>
      <w:r>
        <w:rPr>
          <w:rFonts w:hint="eastAsia" w:asciiTheme="minorEastAsia" w:hAnsiTheme="minorEastAsia" w:eastAsiaTheme="minorEastAsia"/>
          <w:color w:val="auto"/>
          <w:sz w:val="24"/>
          <w:highlight w:val="none"/>
        </w:rPr>
        <w:t>备选</w:t>
      </w:r>
      <w:r>
        <w:rPr>
          <w:rFonts w:asciiTheme="minorEastAsia" w:hAnsiTheme="minorEastAsia" w:eastAsiaTheme="minorEastAsia"/>
          <w:color w:val="auto"/>
          <w:sz w:val="24"/>
          <w:highlight w:val="none"/>
        </w:rPr>
        <w:t>投标方案。</w:t>
      </w:r>
    </w:p>
    <w:p w14:paraId="27140E8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投标报价</w:t>
      </w:r>
    </w:p>
    <w:p w14:paraId="171220C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2.1投标人的报价应当包括满足本次招标全部采购需求</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除招标文件另有规定外，</w:t>
      </w:r>
      <w:r>
        <w:rPr>
          <w:rFonts w:hint="eastAsia" w:asciiTheme="minorEastAsia" w:hAnsiTheme="minorEastAsia" w:eastAsiaTheme="minorEastAsia"/>
          <w:color w:val="auto"/>
          <w:sz w:val="24"/>
          <w:highlight w:val="none"/>
        </w:rPr>
        <w:t>所有投标均应以人民币报价。投标人的投标报价应遵守《中华人民共和国价格法》。</w:t>
      </w:r>
    </w:p>
    <w:p w14:paraId="78A75ED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.2投标人报价超过招标文件规定的预算金额或者分项、分包最高限价，其投标将被认定为</w:t>
      </w:r>
      <w:r>
        <w:rPr>
          <w:rFonts w:asciiTheme="minorEastAsia" w:hAnsiTheme="minorEastAsia" w:eastAsiaTheme="minorEastAsia"/>
          <w:b/>
          <w:bCs/>
          <w:color w:val="auto"/>
          <w:sz w:val="24"/>
          <w:highlight w:val="none"/>
        </w:rPr>
        <w:t>投标无效</w:t>
      </w:r>
      <w:r>
        <w:rPr>
          <w:rFonts w:asciiTheme="minorEastAsia" w:hAnsiTheme="minorEastAsia" w:eastAsiaTheme="minorEastAsia"/>
          <w:color w:val="auto"/>
          <w:sz w:val="24"/>
          <w:highlight w:val="none"/>
        </w:rPr>
        <w:t>。</w:t>
      </w:r>
    </w:p>
    <w:p w14:paraId="69B8A16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投标报价</w:t>
      </w:r>
      <w:r>
        <w:rPr>
          <w:rFonts w:asciiTheme="minorEastAsia" w:hAnsiTheme="minorEastAsia" w:eastAsiaTheme="minorEastAsia"/>
          <w:color w:val="auto"/>
          <w:sz w:val="24"/>
          <w:highlight w:val="none"/>
        </w:rPr>
        <w:t>在合同履行过程中是固定不变的，不得以任何理由予以变更。任何包含价格调整要求的投标，其投标将被认定为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28D8376F">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Theme="minorEastAsia" w:hAnsiTheme="minorEastAsia" w:eastAsiaTheme="minorEastAsia"/>
          <w:color w:val="auto"/>
          <w:sz w:val="24"/>
          <w:highlight w:val="none"/>
        </w:rPr>
        <w:t>必要时提交相关证明材料；投标人不能证明其报价合理性的，其投标将被认定为</w:t>
      </w:r>
      <w:r>
        <w:rPr>
          <w:rFonts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4AACAE1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采购人不接受具有附加条件的报价。</w:t>
      </w:r>
    </w:p>
    <w:p w14:paraId="336C5DC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投标保证金</w:t>
      </w:r>
    </w:p>
    <w:p w14:paraId="2E0039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0</w:t>
      </w:r>
      <w:r>
        <w:rPr>
          <w:rFonts w:hint="eastAsia" w:asciiTheme="minorEastAsia" w:hAnsiTheme="minorEastAsia" w:eastAsiaTheme="minorEastAsia"/>
          <w:color w:val="auto"/>
          <w:sz w:val="24"/>
          <w:highlight w:val="none"/>
        </w:rPr>
        <w:t>.1本项目不收取投标保证金。</w:t>
      </w:r>
    </w:p>
    <w:p w14:paraId="1CFDD24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投标有效期</w:t>
      </w:r>
    </w:p>
    <w:p w14:paraId="4D88D08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.1投标有效期为从投标截止之日算起的日历天数，投标有效期详见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5DF5AF2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.2在投标有效期内，投标人的投标保持有效，投标人不得要求撤销或修改其投标文件。投标有效期不满足要求的投标，其投标将被认定为</w:t>
      </w:r>
      <w:r>
        <w:rPr>
          <w:rFonts w:hint="eastAsia" w:asciiTheme="minorEastAsia" w:hAnsiTheme="minorEastAsia" w:eastAsiaTheme="minorEastAsia"/>
          <w:b/>
          <w:color w:val="auto"/>
          <w:sz w:val="24"/>
          <w:highlight w:val="none"/>
        </w:rPr>
        <w:t>投标无效</w:t>
      </w:r>
      <w:r>
        <w:rPr>
          <w:rFonts w:hint="eastAsia" w:asciiTheme="minorEastAsia" w:hAnsiTheme="minorEastAsia" w:eastAsiaTheme="minorEastAsia"/>
          <w:color w:val="auto"/>
          <w:sz w:val="24"/>
          <w:highlight w:val="none"/>
        </w:rPr>
        <w:t>。</w:t>
      </w:r>
    </w:p>
    <w:p w14:paraId="7D197D9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7A2A96E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投标文件的递交、修改与撤回</w:t>
      </w:r>
    </w:p>
    <w:p w14:paraId="1F1CD94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.1投标人应当在</w:t>
      </w:r>
      <w:r>
        <w:rPr>
          <w:rFonts w:hint="eastAsia" w:asciiTheme="minorEastAsia" w:hAnsiTheme="minorEastAsia" w:eastAsiaTheme="minorEastAsia"/>
          <w:color w:val="auto"/>
          <w:sz w:val="24"/>
          <w:highlight w:val="none"/>
          <w:lang w:val="en-US" w:eastAsia="zh-CN"/>
        </w:rPr>
        <w:t>招标公告</w:t>
      </w:r>
      <w:r>
        <w:rPr>
          <w:rFonts w:hint="eastAsia" w:asciiTheme="minorEastAsia" w:hAnsiTheme="minorEastAsia" w:eastAsiaTheme="minorEastAsia"/>
          <w:color w:val="auto"/>
          <w:sz w:val="24"/>
          <w:highlight w:val="none"/>
        </w:rPr>
        <w:t>规定的投标截止时间前</w:t>
      </w:r>
      <w:r>
        <w:rPr>
          <w:rFonts w:asciiTheme="minorEastAsia" w:hAnsiTheme="minorEastAsia" w:eastAsiaTheme="minorEastAsia"/>
          <w:color w:val="auto"/>
          <w:sz w:val="24"/>
          <w:highlight w:val="none"/>
        </w:rPr>
        <w:t>，将加密的投标文件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2880D1FB">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2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32D3E790">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开标</w:t>
      </w:r>
    </w:p>
    <w:p w14:paraId="66D3710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开标时，</w:t>
      </w:r>
      <w:r>
        <w:rPr>
          <w:rFonts w:ascii="宋体" w:hAnsi="宋体" w:eastAsia="宋体" w:cs="宋体"/>
          <w:sz w:val="24"/>
          <w:szCs w:val="24"/>
          <w:highlight w:val="none"/>
        </w:rPr>
        <w:t>各投标人应在</w:t>
      </w:r>
      <w:r>
        <w:rPr>
          <w:rFonts w:ascii="宋体" w:hAnsi="宋体" w:eastAsia="宋体" w:cs="宋体"/>
          <w:sz w:val="24"/>
          <w:szCs w:val="24"/>
          <w:highlight w:val="none"/>
          <w:u w:val="single"/>
        </w:rPr>
        <w:t>投标人须知前附表</w:t>
      </w:r>
      <w:r>
        <w:rPr>
          <w:rFonts w:ascii="宋体" w:hAnsi="宋体" w:eastAsia="宋体" w:cs="宋体"/>
          <w:sz w:val="24"/>
          <w:szCs w:val="24"/>
          <w:highlight w:val="none"/>
        </w:rPr>
        <w:t>规定的解密时间前</w:t>
      </w:r>
      <w:r>
        <w:rPr>
          <w:rFonts w:asciiTheme="minorEastAsia" w:hAnsiTheme="minorEastAsia" w:eastAsiaTheme="minorEastAsia"/>
          <w:color w:val="auto"/>
          <w:sz w:val="24"/>
          <w:highlight w:val="none"/>
        </w:rPr>
        <w:t>对</w:t>
      </w:r>
      <w:r>
        <w:rPr>
          <w:rFonts w:hint="eastAsia" w:ascii="宋体" w:hAnsi="宋体" w:eastAsia="宋体" w:cs="宋体"/>
          <w:color w:val="auto"/>
          <w:sz w:val="24"/>
          <w:szCs w:val="24"/>
          <w:highlight w:val="none"/>
          <w:lang w:val="en-US" w:eastAsia="zh-CN"/>
        </w:rPr>
        <w:t>其</w:t>
      </w:r>
      <w:r>
        <w:rPr>
          <w:rFonts w:asciiTheme="minorEastAsia" w:hAnsiTheme="minorEastAsia" w:eastAsiaTheme="minorEastAsia"/>
          <w:color w:val="auto"/>
          <w:sz w:val="24"/>
          <w:highlight w:val="none"/>
        </w:rPr>
        <w:t>投标文件</w:t>
      </w:r>
      <w:r>
        <w:rPr>
          <w:rFonts w:hint="eastAsia" w:asciiTheme="minorEastAsia" w:hAnsiTheme="minorEastAsia" w:eastAsiaTheme="minorEastAsia"/>
          <w:color w:val="auto"/>
          <w:sz w:val="24"/>
          <w:highlight w:val="none"/>
        </w:rPr>
        <w:t>进行</w:t>
      </w:r>
      <w:r>
        <w:rPr>
          <w:rFonts w:asciiTheme="minorEastAsia" w:hAnsiTheme="minorEastAsia" w:eastAsiaTheme="minorEastAsia"/>
          <w:color w:val="auto"/>
          <w:sz w:val="24"/>
          <w:highlight w:val="none"/>
        </w:rPr>
        <w:t>解密。</w:t>
      </w:r>
    </w:p>
    <w:p w14:paraId="1C1554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开标时，采购代理机构将通过网上开标系统公布</w:t>
      </w:r>
      <w:r>
        <w:rPr>
          <w:rFonts w:hint="eastAsia" w:asciiTheme="minorEastAsia" w:hAnsiTheme="minorEastAsia" w:eastAsiaTheme="minorEastAsia"/>
          <w:color w:val="auto"/>
          <w:sz w:val="24"/>
          <w:highlight w:val="none"/>
        </w:rPr>
        <w:t>开标结果，公布内容包括投标人名称、投标价格及招标文件规定的内容。</w:t>
      </w:r>
    </w:p>
    <w:p w14:paraId="1D3814A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采购人或采购代理机构将对开标过程进行记录，由参加开标的各投标人代表和相关工作人员签字确认，并存档备查。</w:t>
      </w:r>
    </w:p>
    <w:p w14:paraId="5DB7EE1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投标人未派代表参加开标的，视同投标人认可开标结果。</w:t>
      </w:r>
    </w:p>
    <w:p w14:paraId="63C1F03C">
      <w:pPr>
        <w:spacing w:line="360" w:lineRule="auto"/>
        <w:ind w:firstLine="435"/>
        <w:rPr>
          <w:rFonts w:asciiTheme="minorEastAsia" w:hAnsiTheme="minorEastAsia" w:eastAsiaTheme="minorEastAsia"/>
          <w:color w:val="auto"/>
          <w:sz w:val="28"/>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投标人代表对开标过程和开标记录有疑义，以及认为采购人、采购代理机构相关工作人员有需要回避的情形的，应当场提出询问或者回避申请。</w:t>
      </w:r>
    </w:p>
    <w:p w14:paraId="7C5CA94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资格审查及组建评标委员会</w:t>
      </w:r>
    </w:p>
    <w:p w14:paraId="09F128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.1采购人或采购代理机构依据法律法规和招标文件中规定的内</w:t>
      </w:r>
      <w:r>
        <w:rPr>
          <w:rFonts w:asciiTheme="minorEastAsia" w:hAnsiTheme="minorEastAsia" w:eastAsiaTheme="minorEastAsia"/>
          <w:color w:val="auto"/>
          <w:sz w:val="24"/>
          <w:highlight w:val="none"/>
        </w:rPr>
        <w:t>容</w:t>
      </w:r>
      <w:r>
        <w:rPr>
          <w:rFonts w:hint="eastAsia" w:asciiTheme="minorEastAsia" w:hAnsiTheme="minorEastAsia" w:eastAsiaTheme="minorEastAsia"/>
          <w:color w:val="auto"/>
          <w:sz w:val="24"/>
          <w:highlight w:val="none"/>
        </w:rPr>
        <w:t>，对投标人资格进行审查，未</w:t>
      </w:r>
      <w:r>
        <w:rPr>
          <w:rFonts w:asciiTheme="minorEastAsia" w:hAnsiTheme="minorEastAsia" w:eastAsiaTheme="minorEastAsia"/>
          <w:color w:val="auto"/>
          <w:sz w:val="24"/>
          <w:highlight w:val="none"/>
        </w:rPr>
        <w:t>通过资格审查的投标人</w:t>
      </w:r>
      <w:r>
        <w:rPr>
          <w:rFonts w:hint="eastAsia" w:asciiTheme="minorEastAsia" w:hAnsiTheme="minorEastAsia" w:eastAsiaTheme="minorEastAsia"/>
          <w:color w:val="auto"/>
          <w:sz w:val="24"/>
          <w:highlight w:val="none"/>
        </w:rPr>
        <w:t>不</w:t>
      </w:r>
      <w:r>
        <w:rPr>
          <w:rFonts w:asciiTheme="minorEastAsia" w:hAnsiTheme="minorEastAsia" w:eastAsiaTheme="minorEastAsia"/>
          <w:color w:val="auto"/>
          <w:sz w:val="24"/>
          <w:highlight w:val="none"/>
        </w:rPr>
        <w:t>进入评标</w:t>
      </w:r>
      <w:r>
        <w:rPr>
          <w:rFonts w:hint="eastAsia" w:asciiTheme="minorEastAsia" w:hAnsiTheme="minorEastAsia" w:eastAsiaTheme="minorEastAsia"/>
          <w:color w:val="auto"/>
          <w:sz w:val="24"/>
          <w:highlight w:val="none"/>
        </w:rPr>
        <w:t>。</w:t>
      </w:r>
    </w:p>
    <w:p w14:paraId="5E141785">
      <w:pPr>
        <w:spacing w:line="360" w:lineRule="auto"/>
        <w:ind w:firstLine="435"/>
        <w:rPr>
          <w:rFonts w:hint="eastAsia" w:ascii="宋体" w:hAnsi="宋体" w:eastAsia="宋体" w:cs="宋体"/>
          <w:color w:val="auto"/>
          <w:sz w:val="24"/>
          <w:szCs w:val="24"/>
          <w:highlight w:val="none"/>
        </w:rPr>
      </w:pPr>
      <w:bookmarkStart w:id="25" w:name="_Hlk24663244"/>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.2采购人或采购代理机构将在投标截止时间后至评审结束前通过“信用中国”网站(www.creditchina.gov.cn)、中国政府采购网(www.ccgp.gov.cn)查询相关投标人信用记录，并对</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6268DA3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以联合体形式参加投标的，联合体成员存在以上不良信用记录的，联合体投标将被认定为</w:t>
      </w:r>
      <w:r>
        <w:rPr>
          <w:rFonts w:hint="eastAsia" w:ascii="宋体" w:hAnsi="宋体" w:eastAsia="宋体" w:cs="宋体"/>
          <w:b/>
          <w:color w:val="auto"/>
          <w:sz w:val="24"/>
          <w:szCs w:val="24"/>
          <w:highlight w:val="none"/>
        </w:rPr>
        <w:t>投标无效</w:t>
      </w:r>
      <w:r>
        <w:rPr>
          <w:rFonts w:hint="eastAsia" w:ascii="宋体" w:hAnsi="宋体" w:eastAsia="宋体" w:cs="宋体"/>
          <w:color w:val="auto"/>
          <w:sz w:val="24"/>
          <w:szCs w:val="24"/>
          <w:highlight w:val="none"/>
        </w:rPr>
        <w:t>。</w:t>
      </w:r>
    </w:p>
    <w:p w14:paraId="27F0E388">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投标人不良信用记录以采购人或采购代理机构查询结果为准。在本招标文件规定的查询时间之外，网站信息发生的任何变更均不作为资格审查依据。投标人自行提供的与网站信息不一致的其他证明材料亦不作为资格审查依据。</w:t>
      </w:r>
    </w:p>
    <w:bookmarkEnd w:id="25"/>
    <w:p w14:paraId="26A2A149">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.3按照</w:t>
      </w:r>
      <w:r>
        <w:rPr>
          <w:rFonts w:hint="eastAsia" w:ascii="宋体" w:hAnsi="宋体" w:eastAsia="宋体"/>
          <w:color w:val="auto"/>
          <w:sz w:val="24"/>
          <w:highlight w:val="none"/>
        </w:rPr>
        <w:t>《</w:t>
      </w:r>
      <w:r>
        <w:rPr>
          <w:rFonts w:ascii="宋体" w:hAnsi="宋体" w:eastAsia="宋体"/>
          <w:color w:val="auto"/>
          <w:sz w:val="24"/>
          <w:highlight w:val="none"/>
        </w:rPr>
        <w:t>中华人民共和国政府采购法》</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《中华人民共和国政府采购</w:t>
      </w:r>
      <w:r>
        <w:rPr>
          <w:rFonts w:hint="eastAsia" w:asciiTheme="minorEastAsia" w:hAnsiTheme="minorEastAsia" w:eastAsiaTheme="minorEastAsia"/>
          <w:color w:val="auto"/>
          <w:sz w:val="24"/>
          <w:highlight w:val="none"/>
        </w:rPr>
        <w:t>法</w:t>
      </w:r>
      <w:r>
        <w:rPr>
          <w:rFonts w:asciiTheme="minorEastAsia" w:hAnsiTheme="minorEastAsia" w:eastAsiaTheme="minorEastAsia"/>
          <w:color w:val="auto"/>
          <w:sz w:val="24"/>
          <w:highlight w:val="none"/>
        </w:rPr>
        <w:t>实施条例》</w:t>
      </w:r>
      <w:r>
        <w:rPr>
          <w:rFonts w:hint="eastAsia" w:asciiTheme="minorEastAsia" w:hAnsiTheme="minorEastAsia" w:eastAsiaTheme="minorEastAsia"/>
          <w:color w:val="auto"/>
          <w:sz w:val="24"/>
          <w:highlight w:val="none"/>
        </w:rPr>
        <w:t>及本项目本级</w:t>
      </w:r>
      <w:r>
        <w:rPr>
          <w:rFonts w:asciiTheme="minorEastAsia" w:hAnsiTheme="minorEastAsia" w:eastAsiaTheme="minorEastAsia"/>
          <w:color w:val="auto"/>
          <w:sz w:val="24"/>
          <w:highlight w:val="none"/>
        </w:rPr>
        <w:t>和上级财政部门</w:t>
      </w:r>
      <w:r>
        <w:rPr>
          <w:rFonts w:hint="eastAsia" w:asciiTheme="minorEastAsia" w:hAnsiTheme="minorEastAsia" w:eastAsiaTheme="minorEastAsia"/>
          <w:color w:val="auto"/>
          <w:sz w:val="24"/>
          <w:highlight w:val="none"/>
        </w:rPr>
        <w:t>、政府采购监督管理部门的有关规定依法组建的</w:t>
      </w:r>
      <w:r>
        <w:rPr>
          <w:rFonts w:asciiTheme="minorEastAsia" w:hAnsiTheme="minorEastAsia" w:eastAsiaTheme="minorEastAsia"/>
          <w:color w:val="auto"/>
          <w:sz w:val="24"/>
          <w:highlight w:val="none"/>
        </w:rPr>
        <w:t>评标委员会</w:t>
      </w:r>
      <w:r>
        <w:rPr>
          <w:rFonts w:hint="eastAsia" w:asciiTheme="minorEastAsia" w:hAnsiTheme="minorEastAsia" w:eastAsiaTheme="minorEastAsia"/>
          <w:color w:val="auto"/>
          <w:sz w:val="24"/>
          <w:highlight w:val="none"/>
        </w:rPr>
        <w:t>，负责本项目评标工作。</w:t>
      </w:r>
    </w:p>
    <w:p w14:paraId="0CD8102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投标文件符合性审查与澄清</w:t>
      </w:r>
    </w:p>
    <w:p w14:paraId="31DC5A5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asciiTheme="minorEastAsia" w:hAnsiTheme="minorEastAsia" w:eastAsiaTheme="minorEastAsia"/>
          <w:color w:val="auto"/>
          <w:sz w:val="24"/>
          <w:highlight w:val="none"/>
        </w:rPr>
        <w:t>.1符合性审查是指依据招标文件的规定，从投标文件的有效性和完整性对招标文件的响应程度</w:t>
      </w:r>
      <w:r>
        <w:rPr>
          <w:rFonts w:ascii="宋体" w:hAnsi="宋体" w:eastAsia="宋体"/>
          <w:color w:val="auto"/>
          <w:sz w:val="24"/>
          <w:highlight w:val="none"/>
        </w:rPr>
        <w:t>进行</w:t>
      </w:r>
      <w:r>
        <w:rPr>
          <w:rFonts w:asciiTheme="minorEastAsia" w:hAnsiTheme="minorEastAsia" w:eastAsiaTheme="minorEastAsia"/>
          <w:color w:val="auto"/>
          <w:sz w:val="24"/>
          <w:highlight w:val="none"/>
        </w:rPr>
        <w:t>审查，以确定是否对招标文件的实质性要求做出响应。</w:t>
      </w:r>
    </w:p>
    <w:p w14:paraId="590EC2E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投标文件的澄清</w:t>
      </w:r>
    </w:p>
    <w:p w14:paraId="704A734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的审查、评价和比较，在评标期间，评标委员会将以书面</w:t>
      </w:r>
      <w:r>
        <w:rPr>
          <w:rFonts w:hint="eastAsia" w:ascii="宋体" w:hAnsi="宋体" w:eastAsia="宋体"/>
          <w:color w:val="auto"/>
          <w:sz w:val="24"/>
          <w:highlight w:val="none"/>
        </w:rPr>
        <w:t>方式（询标）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查投标人的报价，有可能影响履约的情况作必要的澄清、说明或补正。投标人的澄清、说明或补正应在评标委员会规定的时间内以书面</w:t>
      </w:r>
      <w:r>
        <w:rPr>
          <w:rFonts w:hint="eastAsia" w:ascii="宋体" w:hAnsi="宋体" w:eastAsia="宋体"/>
          <w:color w:val="auto"/>
          <w:sz w:val="24"/>
          <w:highlight w:val="none"/>
        </w:rPr>
        <w:t>方式</w:t>
      </w:r>
      <w:r>
        <w:rPr>
          <w:rFonts w:ascii="宋体" w:hAnsi="宋体" w:eastAsia="宋体"/>
          <w:color w:val="auto"/>
          <w:sz w:val="24"/>
          <w:highlight w:val="none"/>
        </w:rPr>
        <w:t>进行，并不得超出投标文件范围或者改变投标文件的实质性内容。</w:t>
      </w:r>
    </w:p>
    <w:p w14:paraId="7902E3A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如有询标，投标人授权代表（或法定代表人）可通过远程登录的方式接受网上询标，也可凭本人有效身份证明参加询标。因投标人授权代表联系不上、没有及时登录系统等情形而无法接受评标委员会询标的，投标人自行承担相关风险。</w:t>
      </w:r>
    </w:p>
    <w:p w14:paraId="1627103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15.</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投标人的澄清、说明或补正将作为投标文件的一部分。</w:t>
      </w:r>
    </w:p>
    <w:p w14:paraId="74FD18A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.3评标委员会对投标人提交的澄清、说明或补正有疑问的，可以要求投标人进一步澄清、说明或补正，直至满足评标委员会的要求。</w:t>
      </w:r>
    </w:p>
    <w:p w14:paraId="4BB95FB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投标文件报价出现前后不一致的，按照下列规定修正：</w:t>
      </w:r>
    </w:p>
    <w:p w14:paraId="482D78B4">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52BAFE59">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2CB34F8B">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4B9C8F97">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5BBD55EF">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24B7206E">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对不同文字文本投标文件的解释发生异议的，以中文文本为准。</w:t>
      </w:r>
    </w:p>
    <w:p w14:paraId="443C54A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16.</w:t>
      </w:r>
      <w:r>
        <w:rPr>
          <w:rFonts w:hint="eastAsia" w:asciiTheme="minorEastAsia" w:hAnsiTheme="minorEastAsia" w:eastAsiaTheme="minorEastAsia"/>
          <w:b/>
          <w:color w:val="auto"/>
          <w:sz w:val="24"/>
          <w:highlight w:val="none"/>
        </w:rPr>
        <w:t>投标无效</w:t>
      </w:r>
    </w:p>
    <w:p w14:paraId="0FC5157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1根据本</w:t>
      </w:r>
      <w:r>
        <w:rPr>
          <w:rFonts w:hint="eastAsia" w:asciiTheme="minorEastAsia" w:hAnsiTheme="minorEastAsia" w:eastAsiaTheme="minorEastAsia"/>
          <w:color w:val="auto"/>
          <w:sz w:val="24"/>
          <w:highlight w:val="none"/>
        </w:rPr>
        <w:t>招标文件</w:t>
      </w:r>
      <w:r>
        <w:rPr>
          <w:rFonts w:asciiTheme="minorEastAsia" w:hAnsiTheme="minorEastAsia" w:eastAsiaTheme="minorEastAsia"/>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052E578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评标委员会决定投标的响应性只根据招标文件要求和投标文件内容。</w:t>
      </w:r>
    </w:p>
    <w:p w14:paraId="1B85B7E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无论何种原因，即使投标人投标时携带了证书材料的原件，但投标文件中未提供与之内容完全一致的扫描件的，评标委员会视同其未提供。</w:t>
      </w:r>
    </w:p>
    <w:p w14:paraId="431881F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16.</w:t>
      </w:r>
      <w:r>
        <w:rPr>
          <w:rFonts w:asciiTheme="minorEastAsia" w:hAnsiTheme="minorEastAsia" w:eastAsiaTheme="minorEastAsia"/>
          <w:color w:val="auto"/>
          <w:sz w:val="24"/>
          <w:highlight w:val="none"/>
        </w:rPr>
        <w:t>2如发现下列情况之一的，其投标将被认定为</w:t>
      </w:r>
      <w:r>
        <w:rPr>
          <w:rFonts w:asciiTheme="minorEastAsia" w:hAnsiTheme="minorEastAsia" w:eastAsiaTheme="minorEastAsia"/>
          <w:b/>
          <w:color w:val="auto"/>
          <w:sz w:val="24"/>
          <w:highlight w:val="none"/>
        </w:rPr>
        <w:t>投标无效</w:t>
      </w:r>
      <w:r>
        <w:rPr>
          <w:rFonts w:asciiTheme="minorEastAsia" w:hAnsiTheme="minorEastAsia" w:eastAsiaTheme="minorEastAsia"/>
          <w:color w:val="auto"/>
          <w:sz w:val="24"/>
          <w:highlight w:val="none"/>
        </w:rPr>
        <w:t>：</w:t>
      </w:r>
    </w:p>
    <w:p w14:paraId="014F93F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1）投标文件未按照招标文件规定要求签署、盖章的；</w:t>
      </w:r>
    </w:p>
    <w:p w14:paraId="42430C9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2）不具备招标文件中规定的资格要求的；</w:t>
      </w:r>
    </w:p>
    <w:p w14:paraId="5DFDAB5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3）报价超过招标文件中规定的预算金额或者最高限价的；</w:t>
      </w:r>
    </w:p>
    <w:p w14:paraId="2EC5076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4）投标文件含有采购人不能接受的附加条件的；</w:t>
      </w:r>
    </w:p>
    <w:p w14:paraId="2DF4D354">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5）法律、法规和招标文件规定的其他无效情形。</w:t>
      </w:r>
    </w:p>
    <w:p w14:paraId="5CECFDC9">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eastAsia="zh-CN"/>
        </w:rPr>
        <w:t>17.</w:t>
      </w:r>
      <w:r>
        <w:rPr>
          <w:rFonts w:hint="eastAsia" w:asciiTheme="minorEastAsia" w:hAnsiTheme="minorEastAsia" w:eastAsiaTheme="minorEastAsia"/>
          <w:b/>
          <w:color w:val="auto"/>
          <w:sz w:val="24"/>
          <w:highlight w:val="none"/>
        </w:rPr>
        <w:t>比较与评价</w:t>
      </w:r>
    </w:p>
    <w:p w14:paraId="6DCD60B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74B7205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482448E9">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0A17FEF0">
      <w:pPr>
        <w:spacing w:line="360" w:lineRule="auto"/>
        <w:ind w:firstLine="435"/>
        <w:rPr>
          <w:rFonts w:ascii="宋体" w:hAnsi="宋体" w:eastAsia="宋体"/>
          <w:b/>
          <w:bCs/>
          <w:color w:val="auto"/>
          <w:sz w:val="24"/>
          <w:highlight w:val="none"/>
        </w:rPr>
      </w:pPr>
      <w:r>
        <w:rPr>
          <w:rFonts w:hint="eastAsia" w:ascii="宋体" w:hAnsi="宋体" w:eastAsia="宋体"/>
          <w:b/>
          <w:bCs/>
          <w:color w:val="auto"/>
          <w:sz w:val="24"/>
          <w:highlight w:val="none"/>
        </w:rPr>
        <w:t>（2）综合评分法，是</w:t>
      </w:r>
      <w:r>
        <w:rPr>
          <w:rFonts w:ascii="宋体" w:hAnsi="宋体" w:eastAsia="宋体"/>
          <w:b/>
          <w:bCs/>
          <w:color w:val="auto"/>
          <w:sz w:val="24"/>
          <w:highlight w:val="none"/>
        </w:rPr>
        <w:t>指投标文件满足招标</w:t>
      </w:r>
      <w:r>
        <w:rPr>
          <w:rFonts w:hint="eastAsia" w:ascii="宋体" w:hAnsi="宋体" w:eastAsia="宋体"/>
          <w:b/>
          <w:bCs/>
          <w:color w:val="auto"/>
          <w:sz w:val="24"/>
          <w:highlight w:val="none"/>
        </w:rPr>
        <w:t>文件</w:t>
      </w:r>
      <w:r>
        <w:rPr>
          <w:rFonts w:ascii="宋体" w:hAnsi="宋体" w:eastAsia="宋体"/>
          <w:b/>
          <w:bCs/>
          <w:color w:val="auto"/>
          <w:sz w:val="24"/>
          <w:highlight w:val="none"/>
        </w:rPr>
        <w:t>全部实质性要求</w:t>
      </w:r>
      <w:r>
        <w:rPr>
          <w:rFonts w:hint="eastAsia" w:ascii="宋体" w:hAnsi="宋体" w:eastAsia="宋体"/>
          <w:b/>
          <w:bCs/>
          <w:color w:val="auto"/>
          <w:sz w:val="24"/>
          <w:highlight w:val="none"/>
        </w:rPr>
        <w:t>，</w:t>
      </w:r>
      <w:r>
        <w:rPr>
          <w:rFonts w:ascii="宋体" w:hAnsi="宋体" w:eastAsia="宋体"/>
          <w:b/>
          <w:bCs/>
          <w:color w:val="auto"/>
          <w:sz w:val="24"/>
          <w:highlight w:val="none"/>
        </w:rPr>
        <w:t>且按照评审因素的</w:t>
      </w:r>
      <w:r>
        <w:rPr>
          <w:rFonts w:hint="eastAsia" w:ascii="宋体" w:hAnsi="宋体" w:eastAsia="宋体"/>
          <w:b/>
          <w:bCs/>
          <w:color w:val="auto"/>
          <w:sz w:val="24"/>
          <w:highlight w:val="none"/>
        </w:rPr>
        <w:t>量化</w:t>
      </w:r>
      <w:r>
        <w:rPr>
          <w:rFonts w:ascii="宋体" w:hAnsi="宋体" w:eastAsia="宋体"/>
          <w:b/>
          <w:bCs/>
          <w:color w:val="auto"/>
          <w:sz w:val="24"/>
          <w:highlight w:val="none"/>
        </w:rPr>
        <w:t>指标评审得分最高的</w:t>
      </w:r>
      <w:r>
        <w:rPr>
          <w:rFonts w:hint="eastAsia" w:ascii="宋体" w:hAnsi="宋体" w:eastAsia="宋体"/>
          <w:b/>
          <w:bCs/>
          <w:color w:val="auto"/>
          <w:sz w:val="24"/>
          <w:highlight w:val="none"/>
        </w:rPr>
        <w:t>投标人</w:t>
      </w:r>
      <w:r>
        <w:rPr>
          <w:rFonts w:ascii="宋体" w:hAnsi="宋体" w:eastAsia="宋体"/>
          <w:b/>
          <w:bCs/>
          <w:color w:val="auto"/>
          <w:sz w:val="24"/>
          <w:highlight w:val="none"/>
        </w:rPr>
        <w:t>为中标候选人的评标方法。</w:t>
      </w:r>
    </w:p>
    <w:p w14:paraId="2BCB6F5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废标、重新招标与变更采购方式</w:t>
      </w:r>
    </w:p>
    <w:p w14:paraId="5E38456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.1出现下列情形之一，将导致项目废标：</w:t>
      </w:r>
    </w:p>
    <w:p w14:paraId="4FACDA44">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1）符合专业条件的供应商或者对招标文件做实质性响应的供应商不足规定数量的；</w:t>
      </w:r>
    </w:p>
    <w:p w14:paraId="589642D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7420351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42C7DC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（4）因重大变故，采购任务取消的。</w:t>
      </w:r>
    </w:p>
    <w:p w14:paraId="7AF65D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.2公开招标数额标准以上的采购项目，投标截止后投标人不足</w:t>
      </w:r>
      <w:r>
        <w:rPr>
          <w:rFonts w:asciiTheme="minorEastAsia" w:hAnsiTheme="minorEastAsia" w:eastAsiaTheme="minorEastAsia"/>
          <w:color w:val="auto"/>
          <w:sz w:val="24"/>
          <w:highlight w:val="none"/>
        </w:rPr>
        <w:t>3家或者通过</w:t>
      </w:r>
      <w:r>
        <w:rPr>
          <w:rFonts w:hint="eastAsia" w:asciiTheme="minorEastAsia" w:hAnsiTheme="minorEastAsia" w:eastAsiaTheme="minorEastAsia"/>
          <w:color w:val="auto"/>
          <w:sz w:val="24"/>
          <w:highlight w:val="none"/>
        </w:rPr>
        <w:t>资格审查或符合性审查的投标人不足</w:t>
      </w:r>
      <w:r>
        <w:rPr>
          <w:rFonts w:asciiTheme="minorEastAsia" w:hAnsiTheme="minorEastAsia" w:eastAsiaTheme="minorEastAsia"/>
          <w:color w:val="auto"/>
          <w:sz w:val="24"/>
          <w:highlight w:val="none"/>
        </w:rPr>
        <w:t>3家的，除采购任务取消情形外，按照以下方式处理：</w:t>
      </w:r>
    </w:p>
    <w:p w14:paraId="4CD764E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（1）招标文件存在不合理条款或者招标程序不符合规定的，采购人、采购代理机构改正后依法重新招标；</w:t>
      </w:r>
    </w:p>
    <w:p w14:paraId="37B9AF7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Theme="minorEastAsia" w:hAnsiTheme="minorEastAsia" w:eastAsiaTheme="minorEastAsia"/>
          <w:color w:val="auto"/>
          <w:sz w:val="24"/>
          <w:highlight w:val="none"/>
        </w:rPr>
        <w:t>批准。</w:t>
      </w:r>
    </w:p>
    <w:p w14:paraId="1D64258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2641414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7F90A05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2EEE504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中标候选人的确定原则及标准</w:t>
      </w:r>
    </w:p>
    <w:p w14:paraId="260EAD9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20.1</w:t>
      </w:r>
      <w:r>
        <w:rPr>
          <w:rFonts w:asciiTheme="minorEastAsia" w:hAnsiTheme="minorEastAsia" w:eastAsiaTheme="minorEastAsia"/>
          <w:color w:val="auto"/>
          <w:sz w:val="24"/>
          <w:highlight w:val="none"/>
        </w:rPr>
        <w:t>评</w:t>
      </w:r>
      <w:r>
        <w:rPr>
          <w:rFonts w:hint="eastAsia" w:asciiTheme="minorEastAsia" w:hAnsiTheme="minorEastAsia" w:eastAsiaTheme="minorEastAsia"/>
          <w:color w:val="auto"/>
          <w:sz w:val="24"/>
          <w:highlight w:val="none"/>
        </w:rPr>
        <w:t>标</w:t>
      </w:r>
      <w:r>
        <w:rPr>
          <w:rFonts w:asciiTheme="minorEastAsia" w:hAnsiTheme="minorEastAsia" w:eastAsiaTheme="minorEastAsia"/>
          <w:color w:val="auto"/>
          <w:sz w:val="24"/>
          <w:highlight w:val="none"/>
        </w:rPr>
        <w:t>委员会依据本项目招标文件所约定的评标方法，对实质上响应招标文件的投标人按下列方法进行排序</w:t>
      </w:r>
      <w:r>
        <w:rPr>
          <w:rFonts w:hint="eastAsia" w:asciiTheme="minorEastAsia" w:hAnsiTheme="minorEastAsia" w:eastAsiaTheme="minorEastAsia"/>
          <w:color w:val="auto"/>
          <w:sz w:val="24"/>
          <w:highlight w:val="none"/>
        </w:rPr>
        <w:t>，确定中标候选人</w:t>
      </w:r>
      <w:r>
        <w:rPr>
          <w:rFonts w:asciiTheme="minorEastAsia" w:hAnsiTheme="minorEastAsia" w:eastAsiaTheme="minorEastAsia"/>
          <w:color w:val="auto"/>
          <w:sz w:val="24"/>
          <w:highlight w:val="none"/>
        </w:rPr>
        <w:t>：</w:t>
      </w:r>
    </w:p>
    <w:p w14:paraId="27D0367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1）采用最低评标价法的，除了算术修正和落实政府采购政策需进行的价格扣除外，不对投标人的投标价格进行任何调整。评标结果按修正和扣除后的投标报价由低到高顺序排列。修正和扣除后的投标报价</w:t>
      </w:r>
      <w:r>
        <w:rPr>
          <w:rFonts w:hint="eastAsia" w:asciiTheme="minorEastAsia" w:hAnsiTheme="minorEastAsia" w:eastAsiaTheme="minorEastAsia"/>
          <w:color w:val="auto"/>
          <w:sz w:val="24"/>
          <w:highlight w:val="none"/>
        </w:rPr>
        <w:t>出现两家或两家以上相同者，采取评标委员会随机抽取的方式确定中标候选顺序。</w:t>
      </w:r>
    </w:p>
    <w:p w14:paraId="35E1983A">
      <w:pPr>
        <w:spacing w:line="360" w:lineRule="auto"/>
        <w:ind w:firstLine="435"/>
        <w:rPr>
          <w:rFonts w:hint="default" w:eastAsiaTheme="minorEastAsia"/>
          <w:highlight w:val="none"/>
          <w:lang w:val="en-US" w:eastAsia="zh-CN"/>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2）采用综合评分法的，评标结果按评审后得分由高到低顺序排列。得分相同的，</w:t>
      </w:r>
      <w:r>
        <w:rPr>
          <w:rFonts w:hint="eastAsia" w:asciiTheme="minorEastAsia" w:hAnsiTheme="minorEastAsia" w:eastAsiaTheme="minorEastAsia"/>
          <w:color w:val="auto"/>
          <w:sz w:val="24"/>
          <w:highlight w:val="none"/>
        </w:rPr>
        <w:t>按投标报价由低到高顺序排列。</w:t>
      </w:r>
      <w:r>
        <w:rPr>
          <w:rFonts w:asciiTheme="minorEastAsia" w:hAnsiTheme="minorEastAsia" w:eastAsiaTheme="minorEastAsia"/>
          <w:color w:val="auto"/>
          <w:sz w:val="24"/>
          <w:highlight w:val="none"/>
        </w:rPr>
        <w:t>得分与投标报价均相同的</w:t>
      </w:r>
      <w:r>
        <w:rPr>
          <w:rFonts w:hint="eastAsia" w:asciiTheme="minorEastAsia" w:hAnsiTheme="minorEastAsia" w:eastAsiaTheme="minorEastAsia"/>
          <w:color w:val="auto"/>
          <w:sz w:val="24"/>
          <w:highlight w:val="none"/>
        </w:rPr>
        <w:t>，则采取评标委员会随机抽取的方式确定中标候选顺序。</w:t>
      </w:r>
    </w:p>
    <w:p w14:paraId="2DD3F22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确定中标候选人和中标人</w:t>
      </w:r>
    </w:p>
    <w:p w14:paraId="1102386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.1评标委员会将根据评标标准，按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中规定数量推荐中标候选人。</w:t>
      </w:r>
    </w:p>
    <w:p w14:paraId="002DD2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.2按</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由评标委员会或采购人确定中标人。</w:t>
      </w:r>
    </w:p>
    <w:p w14:paraId="737BC39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因重大变故采购任务取消时，采购人有权拒绝任何投标人中标，且对受影响的投标人不承担任何责任。</w:t>
      </w:r>
    </w:p>
    <w:p w14:paraId="11E5D6A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编写评标报告</w:t>
      </w:r>
    </w:p>
    <w:p w14:paraId="60424A4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143538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中标结果公告</w:t>
      </w:r>
    </w:p>
    <w:p w14:paraId="4FB07D7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除</w:t>
      </w:r>
      <w:r>
        <w:rPr>
          <w:rFonts w:asciiTheme="minorEastAsia" w:hAnsiTheme="minorEastAsia" w:eastAsiaTheme="minorEastAsia"/>
          <w:color w:val="auto"/>
          <w:sz w:val="24"/>
          <w:highlight w:val="none"/>
          <w:u w:val="single"/>
        </w:rPr>
        <w:t>投标</w:t>
      </w:r>
      <w:r>
        <w:rPr>
          <w:rFonts w:hint="eastAsia" w:asciiTheme="minorEastAsia" w:hAnsiTheme="minorEastAsia" w:eastAsiaTheme="minorEastAsia"/>
          <w:color w:val="auto"/>
          <w:sz w:val="24"/>
          <w:highlight w:val="none"/>
          <w:u w:val="single"/>
        </w:rPr>
        <w:t>人</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规定由评标委员会直接确定中标</w:t>
      </w:r>
      <w:r>
        <w:rPr>
          <w:rFonts w:hint="eastAsia" w:asciiTheme="minorEastAsia" w:hAnsiTheme="minorEastAsia" w:eastAsiaTheme="minorEastAsia"/>
          <w:color w:val="auto"/>
          <w:sz w:val="24"/>
          <w:highlight w:val="none"/>
        </w:rPr>
        <w:t>人外，</w:t>
      </w:r>
      <w:r>
        <w:rPr>
          <w:rFonts w:asciiTheme="minorEastAsia" w:hAnsiTheme="minorEastAsia" w:eastAsiaTheme="minorEastAsia"/>
          <w:color w:val="auto"/>
          <w:sz w:val="24"/>
          <w:highlight w:val="none"/>
        </w:rPr>
        <w:t>在评标结束后2个工作日内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采购代理机构将评标报告送采购人。采购人应当自收到评标报告之日起</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6785771F">
      <w:pPr>
        <w:spacing w:line="360" w:lineRule="auto"/>
        <w:ind w:firstLine="435"/>
        <w:rPr>
          <w:rFonts w:ascii="宋体" w:hAnsi="宋体" w:eastAsia="宋体"/>
          <w:color w:val="auto"/>
          <w:sz w:val="24"/>
          <w:szCs w:val="18"/>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.2</w:t>
      </w:r>
      <w:r>
        <w:rPr>
          <w:rFonts w:hint="eastAsia" w:ascii="宋体" w:hAnsi="宋体" w:eastAsia="宋体"/>
          <w:color w:val="auto"/>
          <w:sz w:val="24"/>
          <w:szCs w:val="18"/>
          <w:highlight w:val="none"/>
        </w:rPr>
        <w:t>自中标人确定之日起2个工作日内，采购代理机构将在</w:t>
      </w:r>
      <w:r>
        <w:rPr>
          <w:rFonts w:hint="eastAsia" w:ascii="宋体" w:hAnsi="宋体" w:eastAsia="宋体"/>
          <w:color w:val="auto"/>
          <w:sz w:val="24"/>
          <w:szCs w:val="18"/>
          <w:highlight w:val="none"/>
          <w:lang w:eastAsia="zh-CN"/>
        </w:rPr>
        <w:t>滁州市第二人民医院官网</w:t>
      </w:r>
      <w:r>
        <w:rPr>
          <w:rFonts w:hint="eastAsia" w:ascii="宋体" w:hAnsi="宋体" w:eastAsia="宋体"/>
          <w:color w:val="auto"/>
          <w:sz w:val="24"/>
          <w:szCs w:val="18"/>
          <w:highlight w:val="none"/>
        </w:rPr>
        <w:t>（</w:t>
      </w:r>
      <w:r>
        <w:rPr>
          <w:rFonts w:hint="eastAsia" w:ascii="宋体" w:hAnsi="宋体" w:eastAsia="宋体"/>
          <w:color w:val="auto"/>
          <w:sz w:val="24"/>
          <w:szCs w:val="18"/>
          <w:highlight w:val="none"/>
          <w:lang w:eastAsia="zh-CN"/>
        </w:rPr>
        <w:t>https://www.czsey.com/</w:t>
      </w:r>
      <w:r>
        <w:rPr>
          <w:rFonts w:hint="eastAsia" w:ascii="宋体" w:hAnsi="宋体" w:eastAsia="宋体"/>
          <w:color w:val="auto"/>
          <w:sz w:val="24"/>
          <w:szCs w:val="18"/>
          <w:highlight w:val="none"/>
        </w:rPr>
        <w:t>）上发布中标结果公告。</w:t>
      </w:r>
    </w:p>
    <w:p w14:paraId="5A076E4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评审专家名单以及</w:t>
      </w:r>
      <w:r>
        <w:rPr>
          <w:rFonts w:hint="eastAsia" w:asciiTheme="minorEastAsia" w:hAnsiTheme="minorEastAsia" w:eastAsiaTheme="minorEastAsia"/>
          <w:color w:val="auto"/>
          <w:sz w:val="24"/>
          <w:highlight w:val="none"/>
          <w:u w:val="single"/>
        </w:rPr>
        <w:t>投标人须知前附表</w:t>
      </w:r>
      <w:r>
        <w:rPr>
          <w:rFonts w:asciiTheme="minorEastAsia" w:hAnsiTheme="minorEastAsia" w:eastAsiaTheme="minorEastAsia"/>
          <w:color w:val="auto"/>
          <w:sz w:val="24"/>
          <w:highlight w:val="none"/>
        </w:rPr>
        <w:t>中约定进行公告的内容。中标公告期限为1个工作日。</w:t>
      </w:r>
    </w:p>
    <w:p w14:paraId="62A71A1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lang w:val="en-US" w:eastAsia="zh-CN"/>
        </w:rPr>
        <w:t>4</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中标通知书</w:t>
      </w:r>
    </w:p>
    <w:p w14:paraId="4980D1BF">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.1采购代理机构</w:t>
      </w:r>
      <w:r>
        <w:rPr>
          <w:rFonts w:ascii="宋体" w:hAnsi="宋体" w:eastAsia="宋体"/>
          <w:color w:val="auto"/>
          <w:sz w:val="24"/>
          <w:highlight w:val="none"/>
        </w:rPr>
        <w:t>发布</w:t>
      </w:r>
      <w:r>
        <w:rPr>
          <w:rFonts w:asciiTheme="minorEastAsia" w:hAnsiTheme="minorEastAsia" w:eastAsiaTheme="minorEastAsia"/>
          <w:color w:val="auto"/>
          <w:sz w:val="24"/>
          <w:highlight w:val="none"/>
        </w:rPr>
        <w:t>中标结果公告</w:t>
      </w:r>
      <w:r>
        <w:rPr>
          <w:rFonts w:hint="eastAsia" w:asciiTheme="minorEastAsia" w:hAnsiTheme="minorEastAsia" w:eastAsiaTheme="minorEastAsia"/>
          <w:iCs/>
          <w:color w:val="auto"/>
          <w:sz w:val="24"/>
          <w:highlight w:val="none"/>
        </w:rPr>
        <w:t>的</w:t>
      </w:r>
      <w:r>
        <w:rPr>
          <w:rFonts w:asciiTheme="minorEastAsia" w:hAnsiTheme="minorEastAsia" w:eastAsiaTheme="minorEastAsia"/>
          <w:color w:val="auto"/>
          <w:sz w:val="24"/>
          <w:highlight w:val="none"/>
        </w:rPr>
        <w:t>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形式向中标人发出中标通知书。</w:t>
      </w:r>
    </w:p>
    <w:p w14:paraId="5E8E76E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.2中标通知书对采购人和中标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具有同等法律效力。中标通知书发出以后，采购人改变中标结果或者中标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放弃中标，应当承担相应的法律责任。</w:t>
      </w:r>
    </w:p>
    <w:p w14:paraId="03D7E59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.3中标通知书是</w:t>
      </w:r>
      <w:r>
        <w:rPr>
          <w:rFonts w:ascii="宋体" w:hAnsi="宋体" w:eastAsia="宋体"/>
          <w:color w:val="auto"/>
          <w:sz w:val="24"/>
          <w:highlight w:val="none"/>
        </w:rPr>
        <w:t>合同</w:t>
      </w:r>
      <w:r>
        <w:rPr>
          <w:rFonts w:asciiTheme="minorEastAsia" w:hAnsiTheme="minorEastAsia" w:eastAsiaTheme="minorEastAsia"/>
          <w:color w:val="auto"/>
          <w:sz w:val="24"/>
          <w:highlight w:val="none"/>
        </w:rPr>
        <w:t>的组成部分。</w:t>
      </w:r>
    </w:p>
    <w:p w14:paraId="0D8AE18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告知招标结果</w:t>
      </w:r>
    </w:p>
    <w:p w14:paraId="4DDD81A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25</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在公告</w:t>
      </w:r>
      <w:r>
        <w:rPr>
          <w:rFonts w:asciiTheme="minorEastAsia" w:hAnsiTheme="minorEastAsia" w:eastAsiaTheme="minorEastAsia"/>
          <w:color w:val="auto"/>
          <w:sz w:val="24"/>
          <w:highlight w:val="none"/>
        </w:rPr>
        <w:t>中标结果的同时，采购代理机构同时以</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hint="eastAsia" w:asciiTheme="minorEastAsia" w:hAnsiTheme="minorEastAsia" w:eastAsiaTheme="minorEastAsia"/>
          <w:color w:val="auto"/>
          <w:sz w:val="24"/>
          <w:highlight w:val="none"/>
        </w:rPr>
        <w:t>告知未通过资格审查的投标人未通过的原因；采用综合评分法评审的，还将告知未中标人本人的评审得分和排序。</w:t>
      </w:r>
    </w:p>
    <w:p w14:paraId="2643B292">
      <w:pPr>
        <w:spacing w:line="360" w:lineRule="auto"/>
        <w:ind w:firstLine="437"/>
        <w:outlineLvl w:val="2"/>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val="en-US" w:eastAsia="zh-CN"/>
        </w:rPr>
        <w:t>26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履约保证金</w:t>
      </w:r>
      <w:r>
        <w:rPr>
          <w:rFonts w:hint="eastAsia" w:asciiTheme="minorEastAsia" w:hAnsiTheme="minorEastAsia" w:eastAsiaTheme="minorEastAsia"/>
          <w:b/>
          <w:color w:val="auto"/>
          <w:sz w:val="24"/>
          <w:highlight w:val="none"/>
          <w:lang w:eastAsia="zh-CN"/>
        </w:rPr>
        <w:t>（</w:t>
      </w:r>
      <w:r>
        <w:rPr>
          <w:rFonts w:hint="eastAsia" w:asciiTheme="minorEastAsia" w:hAnsiTheme="minorEastAsia" w:eastAsiaTheme="minorEastAsia"/>
          <w:b/>
          <w:color w:val="auto"/>
          <w:sz w:val="24"/>
          <w:highlight w:val="none"/>
          <w:lang w:val="en-US" w:eastAsia="zh-CN"/>
        </w:rPr>
        <w:t>不要求</w:t>
      </w:r>
      <w:r>
        <w:rPr>
          <w:rFonts w:hint="eastAsia" w:asciiTheme="minorEastAsia" w:hAnsiTheme="minorEastAsia" w:eastAsiaTheme="minorEastAsia"/>
          <w:b/>
          <w:color w:val="auto"/>
          <w:sz w:val="24"/>
          <w:highlight w:val="none"/>
          <w:lang w:eastAsia="zh-CN"/>
        </w:rPr>
        <w:t>）</w:t>
      </w:r>
    </w:p>
    <w:p w14:paraId="225C589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.1中标人应按照</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规定缴纳履约保证金。</w:t>
      </w:r>
    </w:p>
    <w:p w14:paraId="70B082C7">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lang w:val="en-US" w:eastAsia="zh-CN"/>
        </w:rPr>
        <w:t>26</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w:t>
      </w:r>
      <w:r>
        <w:rPr>
          <w:rFonts w:hint="eastAsia" w:ascii="宋体" w:hAnsi="宋体" w:eastAsia="宋体"/>
          <w:color w:val="auto"/>
          <w:sz w:val="24"/>
          <w:highlight w:val="none"/>
        </w:rPr>
        <w:t>如果</w:t>
      </w:r>
      <w:r>
        <w:rPr>
          <w:rFonts w:hint="eastAsia" w:asciiTheme="minorEastAsia" w:hAnsiTheme="minorEastAsia" w:eastAsiaTheme="minorEastAsia"/>
          <w:color w:val="auto"/>
          <w:sz w:val="24"/>
          <w:highlight w:val="none"/>
        </w:rPr>
        <w:t>中标人没有按照上述履约保证金的规定执行，将视为放弃中标资格。在此情况下，采购人可</w:t>
      </w:r>
      <w:r>
        <w:rPr>
          <w:rFonts w:asciiTheme="minorEastAsia" w:hAnsiTheme="minorEastAsia" w:eastAsiaTheme="minorEastAsia"/>
          <w:color w:val="auto"/>
          <w:sz w:val="24"/>
          <w:highlight w:val="none"/>
        </w:rPr>
        <w:t>确定下一</w:t>
      </w:r>
      <w:r>
        <w:rPr>
          <w:rFonts w:hint="eastAsia" w:ascii="宋体" w:hAnsi="宋体" w:eastAsia="宋体"/>
          <w:color w:val="auto"/>
          <w:sz w:val="24"/>
          <w:highlight w:val="none"/>
        </w:rPr>
        <w:t>中标</w:t>
      </w:r>
      <w:r>
        <w:rPr>
          <w:rFonts w:hint="eastAsia" w:asciiTheme="minorEastAsia" w:hAnsiTheme="minorEastAsia" w:eastAsiaTheme="minorEastAsia"/>
          <w:color w:val="auto"/>
          <w:sz w:val="24"/>
          <w:highlight w:val="none"/>
        </w:rPr>
        <w:t>候选</w:t>
      </w:r>
      <w:r>
        <w:rPr>
          <w:rFonts w:asciiTheme="minorEastAsia" w:hAnsiTheme="minorEastAsia" w:eastAsiaTheme="minorEastAsia"/>
          <w:color w:val="auto"/>
          <w:sz w:val="24"/>
          <w:highlight w:val="none"/>
        </w:rPr>
        <w:t>人为中标</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，也可以重新开展采购活动。</w:t>
      </w:r>
    </w:p>
    <w:p w14:paraId="0EEC289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签订合同</w:t>
      </w:r>
    </w:p>
    <w:p w14:paraId="01EAC31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619ECEE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4119BA6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3E4E0B6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19C5CA12">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lang w:val="en-US" w:eastAsia="zh-CN"/>
        </w:rPr>
        <w:t>代理费用</w:t>
      </w:r>
    </w:p>
    <w:p w14:paraId="301FB76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Theme="minorEastAsia" w:hAnsiTheme="minorEastAsia" w:eastAsiaTheme="minorEastAsia"/>
          <w:color w:val="auto"/>
          <w:sz w:val="24"/>
          <w:highlight w:val="none"/>
          <w:u w:val="single"/>
        </w:rPr>
        <w:t>投标人须知前附表的</w:t>
      </w:r>
      <w:r>
        <w:rPr>
          <w:rFonts w:hint="eastAsia" w:ascii="宋体" w:hAnsi="宋体" w:eastAsia="宋体"/>
          <w:color w:val="auto"/>
          <w:sz w:val="24"/>
          <w:highlight w:val="none"/>
        </w:rPr>
        <w:t>规定执行</w:t>
      </w:r>
      <w:r>
        <w:rPr>
          <w:rFonts w:hint="eastAsia" w:asciiTheme="minorEastAsia" w:hAnsiTheme="minorEastAsia" w:eastAsiaTheme="minorEastAsia"/>
          <w:color w:val="auto"/>
          <w:sz w:val="24"/>
          <w:highlight w:val="none"/>
        </w:rPr>
        <w:t>。</w:t>
      </w:r>
    </w:p>
    <w:p w14:paraId="43079CE2">
      <w:pPr>
        <w:spacing w:line="360" w:lineRule="auto"/>
        <w:ind w:firstLine="437"/>
        <w:outlineLvl w:val="2"/>
        <w:rPr>
          <w:rFonts w:asciiTheme="minorEastAsia" w:hAnsiTheme="minorEastAsia" w:eastAsiaTheme="minorEastAsia"/>
          <w:b/>
          <w:color w:val="auto"/>
          <w:sz w:val="24"/>
          <w:highlight w:val="none"/>
        </w:rPr>
      </w:pPr>
      <w:bookmarkStart w:id="26" w:name="_Toc2583661"/>
      <w:bookmarkStart w:id="27" w:name="_Toc518923100"/>
      <w:r>
        <w:rPr>
          <w:rFonts w:hint="eastAsia" w:asciiTheme="minorEastAsia" w:hAnsiTheme="minorEastAsia" w:eastAsiaTheme="minorEastAsia"/>
          <w:b/>
          <w:color w:val="auto"/>
          <w:sz w:val="24"/>
          <w:highlight w:val="none"/>
          <w:lang w:eastAsia="zh-CN"/>
        </w:rPr>
        <w:t>29.</w:t>
      </w:r>
      <w:r>
        <w:rPr>
          <w:rFonts w:hint="eastAsia" w:asciiTheme="minorEastAsia" w:hAnsiTheme="minorEastAsia" w:eastAsiaTheme="minorEastAsia"/>
          <w:b/>
          <w:color w:val="auto"/>
          <w:sz w:val="24"/>
          <w:highlight w:val="none"/>
        </w:rPr>
        <w:t>廉洁自律</w:t>
      </w:r>
      <w:r>
        <w:rPr>
          <w:rFonts w:asciiTheme="minorEastAsia" w:hAnsiTheme="minorEastAsia" w:eastAsiaTheme="minorEastAsia"/>
          <w:b/>
          <w:color w:val="auto"/>
          <w:sz w:val="24"/>
          <w:highlight w:val="none"/>
        </w:rPr>
        <w:t>规定</w:t>
      </w:r>
      <w:bookmarkEnd w:id="26"/>
      <w:bookmarkEnd w:id="27"/>
    </w:p>
    <w:p w14:paraId="6D586A1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77AE25D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5A5AAA78">
      <w:pPr>
        <w:spacing w:line="360" w:lineRule="auto"/>
        <w:ind w:firstLine="437"/>
        <w:outlineLvl w:val="2"/>
        <w:rPr>
          <w:rFonts w:asciiTheme="minorEastAsia" w:hAnsiTheme="minorEastAsia" w:eastAsiaTheme="minorEastAsia"/>
          <w:b/>
          <w:color w:val="auto"/>
          <w:sz w:val="24"/>
          <w:highlight w:val="none"/>
        </w:rPr>
      </w:pPr>
      <w:bookmarkStart w:id="28" w:name="_Toc518923101"/>
      <w:bookmarkStart w:id="29" w:name="_Toc2583662"/>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0</w:t>
      </w:r>
      <w:r>
        <w:rPr>
          <w:rFonts w:hint="eastAsia" w:asciiTheme="minorEastAsia" w:hAnsiTheme="minorEastAsia" w:eastAsiaTheme="minorEastAsia"/>
          <w:b/>
          <w:color w:val="auto"/>
          <w:sz w:val="24"/>
          <w:highlight w:val="none"/>
        </w:rPr>
        <w:t>.人员回避</w:t>
      </w:r>
      <w:bookmarkEnd w:id="28"/>
      <w:bookmarkEnd w:id="29"/>
    </w:p>
    <w:p w14:paraId="1ECAFE80">
      <w:pPr>
        <w:spacing w:line="360" w:lineRule="auto"/>
        <w:ind w:firstLine="435"/>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2A7A5C34">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质疑的提出与接收</w:t>
      </w:r>
    </w:p>
    <w:p w14:paraId="65FF628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76444A0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09519B6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42664D9B">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3D89015B">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w:t>
      </w: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需要补充的其他内容</w:t>
      </w:r>
    </w:p>
    <w:p w14:paraId="2C999294">
      <w:pPr>
        <w:spacing w:line="360" w:lineRule="auto"/>
        <w:ind w:firstLine="435"/>
        <w:rPr>
          <w:rFonts w:hint="eastAsia" w:ascii="宋体" w:hAnsi="宋体" w:eastAsia="宋体"/>
          <w:color w:val="auto"/>
          <w:sz w:val="24"/>
          <w:highlight w:val="none"/>
        </w:rPr>
      </w:pPr>
      <w:r>
        <w:rPr>
          <w:rFonts w:hint="eastAsia" w:asciiTheme="minorEastAsia" w:hAnsiTheme="minorEastAsia" w:eastAsiaTheme="minorEastAsia"/>
          <w:color w:val="auto"/>
          <w:sz w:val="24"/>
          <w:highlight w:val="none"/>
        </w:rPr>
        <w:t>需要补充的其他内容，见</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w:t>
      </w:r>
    </w:p>
    <w:p w14:paraId="201F75D2">
      <w:pPr>
        <w:widowControl/>
        <w:jc w:val="left"/>
        <w:rPr>
          <w:rFonts w:ascii="宋体" w:hAnsi="宋体" w:eastAsia="宋体"/>
          <w:b/>
          <w:color w:val="auto"/>
          <w:sz w:val="28"/>
          <w:highlight w:val="none"/>
        </w:rPr>
      </w:pPr>
      <w:r>
        <w:rPr>
          <w:rFonts w:ascii="宋体" w:hAnsi="宋体" w:eastAsia="宋体"/>
          <w:color w:val="auto"/>
          <w:sz w:val="24"/>
          <w:highlight w:val="none"/>
        </w:rPr>
        <w:br w:type="page"/>
      </w:r>
    </w:p>
    <w:p w14:paraId="65CD53BB">
      <w:pPr>
        <w:spacing w:line="360" w:lineRule="auto"/>
        <w:jc w:val="center"/>
        <w:outlineLvl w:val="0"/>
        <w:rPr>
          <w:rFonts w:hint="eastAsia" w:ascii="宋体" w:hAnsi="宋体" w:eastAsia="宋体"/>
          <w:b/>
          <w:color w:val="auto"/>
          <w:sz w:val="28"/>
          <w:highlight w:val="none"/>
          <w:lang w:eastAsia="zh-CN"/>
        </w:rPr>
      </w:pPr>
      <w:bookmarkStart w:id="30" w:name="_Toc10891"/>
      <w:r>
        <w:rPr>
          <w:rFonts w:hint="eastAsia" w:ascii="宋体" w:hAnsi="宋体" w:eastAsia="宋体"/>
          <w:b/>
          <w:color w:val="auto"/>
          <w:sz w:val="28"/>
          <w:highlight w:val="none"/>
        </w:rPr>
        <w:t>第三章  采购需求</w:t>
      </w:r>
      <w:bookmarkEnd w:id="30"/>
    </w:p>
    <w:p w14:paraId="0AFA7F43">
      <w:pPr>
        <w:spacing w:line="360" w:lineRule="auto"/>
        <w:ind w:firstLine="437"/>
        <w:outlineLvl w:val="1"/>
        <w:rPr>
          <w:rFonts w:hint="eastAsia" w:ascii="宋体" w:hAnsi="宋体" w:eastAsia="宋体"/>
          <w:b/>
          <w:color w:val="auto"/>
          <w:sz w:val="24"/>
          <w:szCs w:val="18"/>
          <w:highlight w:val="none"/>
        </w:rPr>
      </w:pPr>
      <w:bookmarkStart w:id="31" w:name="_Toc2554"/>
      <w:bookmarkStart w:id="32" w:name="_Toc32151"/>
      <w:r>
        <w:rPr>
          <w:rFonts w:hint="eastAsia" w:ascii="宋体" w:hAnsi="宋体" w:eastAsia="宋体"/>
          <w:b/>
          <w:color w:val="auto"/>
          <w:sz w:val="24"/>
          <w:szCs w:val="18"/>
          <w:highlight w:val="none"/>
        </w:rPr>
        <w:t>一、采购需求前附表</w:t>
      </w:r>
      <w:bookmarkEnd w:id="31"/>
      <w:bookmarkEnd w:id="32"/>
    </w:p>
    <w:tbl>
      <w:tblPr>
        <w:tblStyle w:val="22"/>
        <w:tblW w:w="5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895"/>
      </w:tblGrid>
      <w:tr w14:paraId="76D0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10D6A843">
            <w:pPr>
              <w:pStyle w:val="31"/>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37" w:type="pct"/>
            <w:vAlign w:val="center"/>
          </w:tcPr>
          <w:p w14:paraId="49C3D3BE">
            <w:pPr>
              <w:pStyle w:val="30"/>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99" w:type="pct"/>
            <w:vAlign w:val="center"/>
          </w:tcPr>
          <w:p w14:paraId="2D8164DA">
            <w:pPr>
              <w:pStyle w:val="30"/>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5A94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4295892F">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37" w:type="pct"/>
            <w:vAlign w:val="center"/>
          </w:tcPr>
          <w:p w14:paraId="4A5C8059">
            <w:pPr>
              <w:pStyle w:val="3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99" w:type="pct"/>
            <w:vAlign w:val="center"/>
          </w:tcPr>
          <w:p w14:paraId="0C64C6B2">
            <w:pPr>
              <w:pStyle w:val="30"/>
              <w:widowControl w:val="0"/>
              <w:spacing w:before="0" w:beforeAutospacing="0" w:after="0" w:afterAutospacing="0" w:line="360" w:lineRule="auto"/>
              <w:jc w:val="both"/>
              <w:rPr>
                <w:rFonts w:hint="eastAsia" w:ascii="宋体" w:hAnsi="宋体" w:eastAsia="宋体"/>
                <w:b w:val="0"/>
                <w:color w:val="auto"/>
                <w:sz w:val="24"/>
                <w:highlight w:val="none"/>
                <w:u w:val="single"/>
                <w:lang w:val="en-US" w:eastAsia="zh-CN"/>
              </w:rPr>
            </w:pPr>
            <w:r>
              <w:rPr>
                <w:rFonts w:hint="eastAsia" w:ascii="宋体" w:hAnsi="宋体" w:eastAsia="宋体"/>
                <w:b w:val="0"/>
                <w:color w:val="auto"/>
                <w:sz w:val="24"/>
                <w:highlight w:val="none"/>
                <w:u w:val="single"/>
                <w:lang w:val="en-US" w:eastAsia="zh-CN"/>
              </w:rPr>
              <w:t>中标方完成当月工作任务，经院方考核合格后，次月20日前支付服务费用（服务费用按实际洗涤数量×中标单价），以后每月服务费用按上述要求进行支付。</w:t>
            </w:r>
          </w:p>
        </w:tc>
      </w:tr>
      <w:tr w14:paraId="2CF9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670D01BB">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37" w:type="pct"/>
            <w:vAlign w:val="center"/>
          </w:tcPr>
          <w:p w14:paraId="707EE75A">
            <w:pPr>
              <w:pStyle w:val="3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99" w:type="pct"/>
            <w:vAlign w:val="center"/>
          </w:tcPr>
          <w:p w14:paraId="75913D3A">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采购人指定地点</w:t>
            </w:r>
            <w:r>
              <w:rPr>
                <w:rFonts w:hint="eastAsia" w:ascii="宋体" w:hAnsi="宋体" w:eastAsia="宋体"/>
                <w:b w:val="0"/>
                <w:color w:val="auto"/>
                <w:sz w:val="24"/>
                <w:highlight w:val="none"/>
                <w:u w:val="single"/>
              </w:rPr>
              <w:t xml:space="preserve"> </w:t>
            </w:r>
          </w:p>
        </w:tc>
      </w:tr>
      <w:tr w14:paraId="1F65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52AD2C42">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37" w:type="pct"/>
            <w:vAlign w:val="center"/>
          </w:tcPr>
          <w:p w14:paraId="7A514501">
            <w:pPr>
              <w:pStyle w:val="3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lang w:val="en-US" w:eastAsia="zh-CN"/>
              </w:rPr>
              <w:t>服务</w:t>
            </w:r>
            <w:r>
              <w:rPr>
                <w:rFonts w:hint="eastAsia" w:ascii="宋体" w:hAnsi="宋体" w:eastAsia="宋体"/>
                <w:b w:val="0"/>
                <w:color w:val="auto"/>
                <w:sz w:val="24"/>
                <w:highlight w:val="none"/>
              </w:rPr>
              <w:t>期限</w:t>
            </w:r>
          </w:p>
        </w:tc>
        <w:tc>
          <w:tcPr>
            <w:tcW w:w="3299" w:type="pct"/>
            <w:vAlign w:val="center"/>
          </w:tcPr>
          <w:p w14:paraId="7618E6D2">
            <w:pPr>
              <w:pStyle w:val="30"/>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u w:val="single"/>
                <w:lang w:val="en-US" w:eastAsia="zh-CN"/>
              </w:rPr>
              <w:t>三年，合同一年一签</w:t>
            </w:r>
          </w:p>
        </w:tc>
      </w:tr>
    </w:tbl>
    <w:p w14:paraId="47654D50">
      <w:pPr>
        <w:numPr>
          <w:ilvl w:val="0"/>
          <w:numId w:val="0"/>
        </w:numPr>
        <w:spacing w:line="360" w:lineRule="auto"/>
        <w:ind w:firstLine="482" w:firstLineChars="200"/>
        <w:outlineLvl w:val="1"/>
        <w:rPr>
          <w:rFonts w:hint="eastAsia" w:ascii="宋体" w:hAnsi="宋体" w:eastAsia="宋体"/>
          <w:b/>
          <w:color w:val="auto"/>
          <w:sz w:val="24"/>
          <w:szCs w:val="18"/>
          <w:highlight w:val="none"/>
          <w:lang w:val="en-US" w:eastAsia="zh-CN"/>
        </w:rPr>
      </w:pPr>
      <w:bookmarkStart w:id="33" w:name="_Toc8753"/>
    </w:p>
    <w:p w14:paraId="5045D3B6">
      <w:pPr>
        <w:numPr>
          <w:ilvl w:val="0"/>
          <w:numId w:val="0"/>
        </w:numPr>
        <w:spacing w:line="360" w:lineRule="auto"/>
        <w:ind w:firstLine="482" w:firstLineChars="200"/>
        <w:outlineLvl w:val="1"/>
        <w:rPr>
          <w:rFonts w:hint="eastAsia" w:ascii="宋体" w:hAnsi="宋体" w:eastAsia="宋体"/>
          <w:b/>
          <w:color w:val="auto"/>
          <w:sz w:val="24"/>
          <w:szCs w:val="18"/>
          <w:highlight w:val="none"/>
        </w:rPr>
      </w:pPr>
      <w:r>
        <w:rPr>
          <w:rFonts w:hint="eastAsia" w:ascii="宋体" w:hAnsi="宋体" w:eastAsia="宋体"/>
          <w:b/>
          <w:color w:val="auto"/>
          <w:sz w:val="24"/>
          <w:szCs w:val="18"/>
          <w:highlight w:val="none"/>
          <w:lang w:val="en-US" w:eastAsia="zh-CN"/>
        </w:rPr>
        <w:t>二、</w:t>
      </w:r>
      <w:r>
        <w:rPr>
          <w:rFonts w:hint="eastAsia" w:ascii="宋体" w:hAnsi="宋体" w:eastAsia="宋体"/>
          <w:b/>
          <w:color w:val="auto"/>
          <w:sz w:val="24"/>
          <w:szCs w:val="18"/>
          <w:highlight w:val="none"/>
        </w:rPr>
        <w:t>项目概况</w:t>
      </w:r>
      <w:bookmarkEnd w:id="33"/>
    </w:p>
    <w:p w14:paraId="10709DBB">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为加强本院床单元和手术室纺织品的洗涤管理，更好地满足临床需要，现就医院院区的洗涤服务对外进行招标，包括医护人员工作服（医生服、护士服、工勤服等）、床单元纺织品（床单、被套、枕套、病员衣裤）、絮类产品（包括垫被、盖被、毛毯、枕芯、棉衣棉裤等絮类产品）、窗帘、医用隔离帘类等，所有纺织品的全年洗涤总件数约8万件左右（具体数量以实际为准）。</w:t>
      </w:r>
    </w:p>
    <w:p w14:paraId="2704BCDA">
      <w:pPr>
        <w:numPr>
          <w:ilvl w:val="0"/>
          <w:numId w:val="0"/>
        </w:numPr>
        <w:spacing w:line="360" w:lineRule="auto"/>
        <w:ind w:left="437" w:leftChars="0"/>
        <w:outlineLvl w:val="1"/>
        <w:rPr>
          <w:rFonts w:hint="eastAsia" w:ascii="宋体" w:hAnsi="宋体" w:eastAsia="宋体"/>
          <w:b/>
          <w:color w:val="auto"/>
          <w:sz w:val="24"/>
          <w:szCs w:val="18"/>
          <w:highlight w:val="none"/>
        </w:rPr>
      </w:pPr>
      <w:bookmarkStart w:id="34" w:name="_Toc27920"/>
      <w:bookmarkStart w:id="35" w:name="_Toc13016"/>
      <w:r>
        <w:rPr>
          <w:rFonts w:hint="eastAsia" w:ascii="宋体" w:hAnsi="宋体" w:eastAsia="宋体"/>
          <w:b/>
          <w:color w:val="auto"/>
          <w:sz w:val="24"/>
          <w:szCs w:val="18"/>
          <w:highlight w:val="none"/>
          <w:lang w:val="en-US" w:eastAsia="zh-CN"/>
        </w:rPr>
        <w:t>三、</w:t>
      </w:r>
      <w:r>
        <w:rPr>
          <w:rFonts w:hint="eastAsia" w:ascii="宋体" w:hAnsi="宋体" w:eastAsia="宋体"/>
          <w:b/>
          <w:color w:val="auto"/>
          <w:sz w:val="24"/>
          <w:szCs w:val="18"/>
          <w:highlight w:val="none"/>
        </w:rPr>
        <w:t>服务需求</w:t>
      </w:r>
      <w:bookmarkEnd w:id="34"/>
      <w:bookmarkEnd w:id="35"/>
    </w:p>
    <w:p w14:paraId="19F9621C">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1.在使用过程中正常的缝补工作及所需辅料全部由中标方负责，即洗涤后免费对所有衣服进行缝补后折叠。</w:t>
      </w:r>
    </w:p>
    <w:p w14:paraId="71879CE4">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2.中标方配备收送人员，洗涤用品收送到科室，收送人员服从医院统一管理。服务及时、保证供应、满足临床对各种布类物品需要。</w:t>
      </w:r>
    </w:p>
    <w:p w14:paraId="6BB1C54D">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3.投标方洗涤后的手术室纺织品必须达到院感规定的质量指标。</w:t>
      </w:r>
    </w:p>
    <w:p w14:paraId="005601AC">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4.投标方按件报平均洗涤单价（含收送人员费用，原则上收送人员不得少于1人，随医院洗涤量的增加双方协商增加人数）。</w:t>
      </w:r>
    </w:p>
    <w:p w14:paraId="16AAFC81">
      <w:pPr>
        <w:spacing w:line="360" w:lineRule="auto"/>
        <w:ind w:firstLine="435"/>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5.每周1、3、5前往我院收送被服，节假日时间顺延或和医院提前协商。</w:t>
      </w:r>
    </w:p>
    <w:p w14:paraId="1FC512CD">
      <w:pPr>
        <w:numPr>
          <w:ilvl w:val="0"/>
          <w:numId w:val="0"/>
        </w:numPr>
        <w:spacing w:line="360" w:lineRule="auto"/>
        <w:ind w:left="437" w:leftChars="0"/>
        <w:outlineLvl w:val="1"/>
        <w:rPr>
          <w:rFonts w:hint="eastAsia" w:ascii="宋体" w:hAnsi="宋体" w:eastAsia="宋体"/>
          <w:b/>
          <w:color w:val="auto"/>
          <w:sz w:val="24"/>
          <w:szCs w:val="18"/>
          <w:highlight w:val="none"/>
        </w:rPr>
      </w:pPr>
      <w:bookmarkStart w:id="36" w:name="_Toc16414"/>
      <w:bookmarkStart w:id="37" w:name="_Toc20717"/>
      <w:r>
        <w:rPr>
          <w:rFonts w:hint="eastAsia" w:ascii="宋体" w:hAnsi="宋体" w:eastAsia="宋体"/>
          <w:b/>
          <w:color w:val="auto"/>
          <w:sz w:val="24"/>
          <w:szCs w:val="18"/>
          <w:highlight w:val="none"/>
          <w:lang w:val="en-US" w:eastAsia="zh-CN"/>
        </w:rPr>
        <w:t>四、考核</w:t>
      </w:r>
      <w:r>
        <w:rPr>
          <w:rFonts w:hint="eastAsia" w:ascii="宋体" w:hAnsi="宋体" w:eastAsia="宋体"/>
          <w:b/>
          <w:color w:val="auto"/>
          <w:sz w:val="24"/>
          <w:szCs w:val="18"/>
          <w:highlight w:val="none"/>
        </w:rPr>
        <w:t>要求</w:t>
      </w:r>
      <w:bookmarkEnd w:id="36"/>
      <w:bookmarkEnd w:id="37"/>
    </w:p>
    <w:p w14:paraId="40DA7FBE">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1.延误供应，影响医院临床医疗工作，中标方应承担相应责任并赔偿相关损失。</w:t>
      </w:r>
    </w:p>
    <w:p w14:paraId="5609276B">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2.因洗涤质量问题，引起医院内交叉感染，中标方应承担一切后果及相应法律责任。</w:t>
      </w:r>
    </w:p>
    <w:p w14:paraId="15B14DDC">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3.洗涤服务不到位、洗涤数量对不上，根据洗涤服务考核情况扣款。</w:t>
      </w:r>
    </w:p>
    <w:p w14:paraId="0CB7C921">
      <w:pPr>
        <w:numPr>
          <w:ilvl w:val="0"/>
          <w:numId w:val="0"/>
        </w:numPr>
        <w:spacing w:line="360" w:lineRule="auto"/>
        <w:ind w:left="437" w:leftChars="0"/>
        <w:outlineLvl w:val="1"/>
        <w:rPr>
          <w:rFonts w:hint="eastAsia" w:ascii="宋体" w:hAnsi="宋体" w:eastAsia="宋体"/>
          <w:b/>
          <w:color w:val="auto"/>
          <w:sz w:val="24"/>
          <w:szCs w:val="18"/>
          <w:highlight w:val="none"/>
          <w:lang w:val="en-US" w:eastAsia="zh-CN"/>
        </w:rPr>
      </w:pPr>
      <w:bookmarkStart w:id="38" w:name="_Toc8283"/>
      <w:bookmarkStart w:id="39" w:name="_Toc18794"/>
      <w:r>
        <w:rPr>
          <w:rFonts w:hint="eastAsia" w:ascii="宋体" w:hAnsi="宋体" w:eastAsia="宋体"/>
          <w:b/>
          <w:color w:val="auto"/>
          <w:sz w:val="24"/>
          <w:szCs w:val="18"/>
          <w:highlight w:val="none"/>
          <w:lang w:val="en-US" w:eastAsia="zh-CN"/>
        </w:rPr>
        <w:t>五、</w:t>
      </w:r>
      <w:bookmarkEnd w:id="38"/>
      <w:bookmarkEnd w:id="39"/>
      <w:r>
        <w:rPr>
          <w:rFonts w:hint="eastAsia" w:ascii="宋体" w:hAnsi="宋体" w:eastAsia="宋体"/>
          <w:b/>
          <w:color w:val="auto"/>
          <w:sz w:val="24"/>
          <w:szCs w:val="18"/>
          <w:highlight w:val="none"/>
          <w:lang w:val="en-US" w:eastAsia="zh-CN"/>
        </w:rPr>
        <w:t>医院被服洗涤质量要求</w:t>
      </w:r>
    </w:p>
    <w:p w14:paraId="1A48BE78">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1.医院不提供洗涤场所和任何机器设备，投标人须具备稳定的生产和经营场所。</w:t>
      </w:r>
    </w:p>
    <w:p w14:paraId="1F48D070">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2.具备接送被服车辆</w:t>
      </w:r>
      <w:r>
        <w:rPr>
          <w:rFonts w:hint="eastAsia" w:ascii="宋体" w:hAnsi="宋体" w:eastAsia="宋体"/>
          <w:color w:val="auto"/>
          <w:sz w:val="24"/>
          <w:highlight w:val="none"/>
          <w:lang w:val="en-US" w:eastAsia="zh-CN"/>
        </w:rPr>
        <w:fldChar w:fldCharType="begin"/>
      </w:r>
      <w:r>
        <w:rPr>
          <w:rFonts w:hint="eastAsia" w:ascii="宋体" w:hAnsi="宋体" w:eastAsia="宋体"/>
          <w:color w:val="auto"/>
          <w:sz w:val="24"/>
          <w:highlight w:val="none"/>
          <w:lang w:val="en-US" w:eastAsia="zh-CN"/>
        </w:rPr>
        <w:instrText xml:space="preserve"> HYPERLINK "http://www.bidcenter.com.cn/news-10677998-1.html" \o "运输-2012年度沈阳百事可乐饮料有限公司物流指定供应商资格招标公告-中国采招网" \t "_blank" </w:instrText>
      </w:r>
      <w:r>
        <w:rPr>
          <w:rFonts w:hint="eastAsia" w:ascii="宋体" w:hAnsi="宋体" w:eastAsia="宋体"/>
          <w:color w:val="auto"/>
          <w:sz w:val="24"/>
          <w:highlight w:val="none"/>
          <w:lang w:val="en-US" w:eastAsia="zh-CN"/>
        </w:rPr>
        <w:fldChar w:fldCharType="separate"/>
      </w:r>
      <w:r>
        <w:rPr>
          <w:rFonts w:hint="eastAsia" w:ascii="宋体" w:hAnsi="宋体" w:eastAsia="宋体"/>
          <w:color w:val="auto"/>
          <w:sz w:val="24"/>
          <w:highlight w:val="none"/>
          <w:lang w:val="en-US" w:eastAsia="zh-CN"/>
        </w:rPr>
        <w:t>运输</w:t>
      </w:r>
      <w:r>
        <w:rPr>
          <w:rFonts w:hint="eastAsia" w:ascii="宋体" w:hAnsi="宋体" w:eastAsia="宋体"/>
          <w:color w:val="auto"/>
          <w:sz w:val="24"/>
          <w:highlight w:val="none"/>
          <w:lang w:val="en-US" w:eastAsia="zh-CN"/>
        </w:rPr>
        <w:fldChar w:fldCharType="end"/>
      </w:r>
      <w:r>
        <w:rPr>
          <w:rFonts w:hint="eastAsia" w:ascii="宋体" w:hAnsi="宋体" w:eastAsia="宋体"/>
          <w:color w:val="auto"/>
          <w:sz w:val="24"/>
          <w:highlight w:val="none"/>
          <w:lang w:val="en-US" w:eastAsia="zh-CN"/>
        </w:rPr>
        <w:t xml:space="preserve">条件（必须符合院感要求，院方感染办将不定期对车辆卫生抽查）；按院方要求及时提供各科室被服需求量。 </w:t>
      </w:r>
    </w:p>
    <w:p w14:paraId="4DB54B3D">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洗涤流程符合卫生部规定的医院感染管理办法中的流程和条件，洗涤用液符合相关规定；洗涤好被服上不得有粪便、血迹、油渍等，清洁度符合卫生部规定。下送洗好的被服要堆放整齐，平整（精神科各病区床上三件套和病员服等颜色均不一样，洗涤后需要单独打包。传染科需单独洗涤单独打包，严禁和其他科室混洗）。</w:t>
      </w:r>
    </w:p>
    <w:p w14:paraId="7264C3BC">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4.投标人在以往洗涤服务中无任何卫生、安全等方面的不良记录。</w:t>
      </w:r>
    </w:p>
    <w:p w14:paraId="65F96120">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5.其他需要后续待定的洗涤质量标准。</w:t>
      </w:r>
    </w:p>
    <w:p w14:paraId="3C0C34AB">
      <w:pPr>
        <w:spacing w:line="360" w:lineRule="auto"/>
        <w:ind w:firstLine="437"/>
        <w:outlineLvl w:val="1"/>
        <w:rPr>
          <w:rFonts w:hint="eastAsia" w:ascii="宋体" w:hAnsi="宋体" w:eastAsia="宋体"/>
          <w:b/>
          <w:color w:val="auto"/>
          <w:sz w:val="24"/>
          <w:szCs w:val="18"/>
          <w:highlight w:val="none"/>
        </w:rPr>
      </w:pPr>
    </w:p>
    <w:p w14:paraId="6E4735E6">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br w:type="page"/>
      </w:r>
    </w:p>
    <w:p w14:paraId="594606A6">
      <w:pPr>
        <w:spacing w:line="360" w:lineRule="auto"/>
        <w:jc w:val="center"/>
        <w:outlineLvl w:val="0"/>
        <w:rPr>
          <w:rFonts w:asciiTheme="minorEastAsia" w:hAnsiTheme="minorEastAsia" w:eastAsiaTheme="minorEastAsia"/>
          <w:b/>
          <w:color w:val="auto"/>
          <w:sz w:val="28"/>
          <w:highlight w:val="none"/>
        </w:rPr>
      </w:pPr>
      <w:bookmarkStart w:id="40" w:name="_Toc4328"/>
      <w:bookmarkStart w:id="41" w:name="_Toc4682"/>
      <w:r>
        <w:rPr>
          <w:rFonts w:hint="eastAsia" w:asciiTheme="minorEastAsia" w:hAnsiTheme="minorEastAsia" w:eastAsiaTheme="minorEastAsia"/>
          <w:b/>
          <w:color w:val="auto"/>
          <w:sz w:val="28"/>
          <w:highlight w:val="none"/>
        </w:rPr>
        <w:t>第四章  评标方法和标准（</w:t>
      </w:r>
      <w:r>
        <w:rPr>
          <w:rFonts w:hint="eastAsia" w:ascii="宋体" w:hAnsi="宋体" w:eastAsia="宋体"/>
          <w:b/>
          <w:color w:val="auto"/>
          <w:sz w:val="28"/>
          <w:highlight w:val="none"/>
        </w:rPr>
        <w:t>综合评分法</w:t>
      </w:r>
      <w:r>
        <w:rPr>
          <w:rFonts w:hint="eastAsia" w:asciiTheme="minorEastAsia" w:hAnsiTheme="minorEastAsia" w:eastAsiaTheme="minorEastAsia"/>
          <w:b/>
          <w:color w:val="auto"/>
          <w:sz w:val="28"/>
          <w:highlight w:val="none"/>
        </w:rPr>
        <w:t>）</w:t>
      </w:r>
      <w:bookmarkEnd w:id="40"/>
    </w:p>
    <w:p w14:paraId="26BC9EB5">
      <w:pPr>
        <w:spacing w:line="360" w:lineRule="auto"/>
        <w:ind w:firstLine="437"/>
        <w:outlineLvl w:val="1"/>
        <w:rPr>
          <w:rFonts w:asciiTheme="minorEastAsia" w:hAnsiTheme="minorEastAsia" w:eastAsiaTheme="minorEastAsia"/>
          <w:b/>
          <w:color w:val="auto"/>
          <w:sz w:val="24"/>
          <w:highlight w:val="none"/>
        </w:rPr>
      </w:pPr>
      <w:bookmarkStart w:id="42" w:name="_Toc6560"/>
      <w:bookmarkStart w:id="43" w:name="_Toc22115"/>
      <w:r>
        <w:rPr>
          <w:rFonts w:hint="eastAsia" w:asciiTheme="minorEastAsia" w:hAnsiTheme="minorEastAsia" w:eastAsiaTheme="minorEastAsia"/>
          <w:b/>
          <w:color w:val="auto"/>
          <w:sz w:val="24"/>
          <w:highlight w:val="none"/>
        </w:rPr>
        <w:t>一、总则</w:t>
      </w:r>
      <w:bookmarkEnd w:id="42"/>
      <w:bookmarkEnd w:id="43"/>
    </w:p>
    <w:p w14:paraId="5867271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本项目将按照招标文件第二章投标人须知的相关要求</w:t>
      </w:r>
      <w:r>
        <w:rPr>
          <w:rFonts w:asciiTheme="minorEastAsia" w:hAnsiTheme="minorEastAsia" w:eastAsiaTheme="minorEastAsia"/>
          <w:color w:val="auto"/>
          <w:sz w:val="24"/>
          <w:highlight w:val="none"/>
        </w:rPr>
        <w:t>及本章的规定评标。</w:t>
      </w:r>
    </w:p>
    <w:p w14:paraId="3F06EB61">
      <w:pPr>
        <w:spacing w:line="360" w:lineRule="auto"/>
        <w:ind w:firstLine="437"/>
        <w:outlineLvl w:val="1"/>
        <w:rPr>
          <w:rFonts w:asciiTheme="minorEastAsia" w:hAnsiTheme="minorEastAsia" w:eastAsiaTheme="minorEastAsia"/>
          <w:b/>
          <w:color w:val="auto"/>
          <w:sz w:val="24"/>
          <w:highlight w:val="none"/>
        </w:rPr>
      </w:pPr>
      <w:bookmarkStart w:id="44" w:name="_Toc28533"/>
      <w:bookmarkStart w:id="45" w:name="_Toc27343"/>
      <w:r>
        <w:rPr>
          <w:rFonts w:hint="eastAsia" w:asciiTheme="minorEastAsia" w:hAnsiTheme="minorEastAsia" w:eastAsiaTheme="minorEastAsia"/>
          <w:b/>
          <w:color w:val="auto"/>
          <w:sz w:val="24"/>
          <w:highlight w:val="none"/>
        </w:rPr>
        <w:t>二、评标方法</w:t>
      </w:r>
      <w:bookmarkEnd w:id="44"/>
      <w:bookmarkEnd w:id="45"/>
    </w:p>
    <w:p w14:paraId="0983C2DC">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2.1资格审查</w:t>
      </w:r>
    </w:p>
    <w:tbl>
      <w:tblPr>
        <w:tblStyle w:val="22"/>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651"/>
        <w:gridCol w:w="4556"/>
        <w:gridCol w:w="1896"/>
      </w:tblGrid>
      <w:tr w14:paraId="296B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29EB4DA5">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1508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7CD28867">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2" w:type="pct"/>
            <w:tcBorders>
              <w:bottom w:val="single" w:color="auto" w:sz="4" w:space="0"/>
            </w:tcBorders>
            <w:vAlign w:val="center"/>
          </w:tcPr>
          <w:p w14:paraId="4029F816">
            <w:pPr>
              <w:pStyle w:val="31"/>
              <w:pBdr>
                <w:bottom w:val="none" w:color="auto" w:sz="0" w:space="0"/>
              </w:pBdr>
              <w:tabs>
                <w:tab w:val="clear" w:pos="4153"/>
                <w:tab w:val="clear" w:pos="8306"/>
              </w:tabs>
              <w:snapToGrid w:val="0"/>
              <w:spacing w:line="360" w:lineRule="auto"/>
              <w:ind w:right="-1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审查指标</w:t>
            </w:r>
          </w:p>
        </w:tc>
        <w:tc>
          <w:tcPr>
            <w:tcW w:w="2600" w:type="pct"/>
            <w:tcBorders>
              <w:bottom w:val="single" w:color="auto" w:sz="4" w:space="0"/>
            </w:tcBorders>
            <w:vAlign w:val="center"/>
          </w:tcPr>
          <w:p w14:paraId="6AB57226">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审查标准</w:t>
            </w:r>
          </w:p>
        </w:tc>
        <w:tc>
          <w:tcPr>
            <w:tcW w:w="1080" w:type="pct"/>
            <w:tcBorders>
              <w:bottom w:val="single" w:color="auto" w:sz="4" w:space="0"/>
            </w:tcBorders>
            <w:vAlign w:val="center"/>
          </w:tcPr>
          <w:p w14:paraId="5A8B24C5">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70291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6" w:type="pct"/>
            <w:tcBorders>
              <w:bottom w:val="single" w:color="auto" w:sz="4" w:space="0"/>
            </w:tcBorders>
            <w:vAlign w:val="center"/>
          </w:tcPr>
          <w:p w14:paraId="6628EFFE">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42" w:type="pct"/>
            <w:tcBorders>
              <w:bottom w:val="single" w:color="auto" w:sz="4" w:space="0"/>
            </w:tcBorders>
            <w:vAlign w:val="center"/>
          </w:tcPr>
          <w:p w14:paraId="08D0B1F3">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600" w:type="pct"/>
            <w:tcBorders>
              <w:bottom w:val="single" w:color="auto" w:sz="4" w:space="0"/>
            </w:tcBorders>
            <w:vAlign w:val="center"/>
          </w:tcPr>
          <w:p w14:paraId="511F10A8">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投标人为企业（包括合伙企业）的，应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供有效的营业执照；</w:t>
            </w:r>
          </w:p>
          <w:p w14:paraId="5862C98E">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投标人为事业单位的，应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供有效的事业单位法人证书；</w:t>
            </w:r>
          </w:p>
          <w:p w14:paraId="3B602A94">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投标人是非企业机构的，应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lang w:val="en-US" w:eastAsia="zh-CN"/>
              </w:rPr>
              <w:t>或</w:t>
            </w:r>
            <w:r>
              <w:rPr>
                <w:rFonts w:ascii="宋体" w:hAnsi="宋体" w:eastAsia="宋体" w:cs="宋体"/>
                <w:sz w:val="24"/>
                <w:szCs w:val="24"/>
                <w:highlight w:val="none"/>
              </w:rPr>
              <w:t>登记证书等证明文件；</w:t>
            </w:r>
          </w:p>
          <w:p w14:paraId="662C803B">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投标人是个体工商户的，应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供有效的个体工商户营业执照；</w:t>
            </w:r>
          </w:p>
          <w:p w14:paraId="02F2FE81">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投标人是自然人的，应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供有效的自然人身份证明</w:t>
            </w:r>
            <w:r>
              <w:rPr>
                <w:rFonts w:hint="eastAsia" w:ascii="宋体" w:hAnsi="宋体" w:eastAsia="宋体" w:cs="宋体"/>
                <w:sz w:val="24"/>
                <w:szCs w:val="24"/>
                <w:highlight w:val="none"/>
                <w:lang w:eastAsia="zh-CN"/>
              </w:rPr>
              <w:t>；</w:t>
            </w:r>
          </w:p>
        </w:tc>
        <w:tc>
          <w:tcPr>
            <w:tcW w:w="1080" w:type="pct"/>
            <w:vAlign w:val="center"/>
          </w:tcPr>
          <w:p w14:paraId="5FB0E951">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全部内容。</w:t>
            </w:r>
          </w:p>
        </w:tc>
      </w:tr>
      <w:tr w14:paraId="1BCA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6" w:type="pct"/>
            <w:tcBorders>
              <w:bottom w:val="single" w:color="auto" w:sz="4" w:space="0"/>
            </w:tcBorders>
            <w:vAlign w:val="center"/>
          </w:tcPr>
          <w:p w14:paraId="6DF99516">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42" w:type="pct"/>
            <w:tcBorders>
              <w:bottom w:val="single" w:color="auto" w:sz="4" w:space="0"/>
            </w:tcBorders>
            <w:vAlign w:val="center"/>
          </w:tcPr>
          <w:p w14:paraId="54287A8A">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600" w:type="pct"/>
            <w:tcBorders>
              <w:bottom w:val="single" w:color="auto" w:sz="4" w:space="0"/>
            </w:tcBorders>
            <w:vAlign w:val="center"/>
          </w:tcPr>
          <w:p w14:paraId="7603AEB6">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lang w:eastAsia="zh-CN"/>
              </w:rPr>
              <w:t>。</w:t>
            </w:r>
          </w:p>
        </w:tc>
        <w:tc>
          <w:tcPr>
            <w:tcW w:w="1080" w:type="pct"/>
            <w:vAlign w:val="center"/>
          </w:tcPr>
          <w:p w14:paraId="5A8796BA">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5BC1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3CBCF1FF">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42" w:type="pct"/>
            <w:tcBorders>
              <w:bottom w:val="single" w:color="auto" w:sz="4" w:space="0"/>
            </w:tcBorders>
            <w:vAlign w:val="center"/>
          </w:tcPr>
          <w:p w14:paraId="37E66E5A">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0" w:type="pct"/>
            <w:tcBorders>
              <w:bottom w:val="single" w:color="auto" w:sz="4" w:space="0"/>
            </w:tcBorders>
            <w:vAlign w:val="center"/>
          </w:tcPr>
          <w:p w14:paraId="5F95EB80">
            <w:pPr>
              <w:spacing w:after="50" w:line="360" w:lineRule="auto"/>
              <w:ind w:right="-10" w:rightChars="0"/>
              <w:jc w:val="left"/>
              <w:rPr>
                <w:highlight w:val="none"/>
              </w:rPr>
            </w:pPr>
            <w:r>
              <w:rPr>
                <w:rFonts w:hint="eastAsia" w:ascii="宋体" w:hAnsi="宋体" w:eastAsia="宋体" w:cs="宋体"/>
                <w:sz w:val="24"/>
                <w:szCs w:val="24"/>
                <w:highlight w:val="none"/>
                <w:lang w:val="zh-CN" w:eastAsia="zh-CN"/>
              </w:rPr>
              <w:t>投标人不得存在投标人须知正文第1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.2</w:t>
            </w:r>
            <w:r>
              <w:rPr>
                <w:rFonts w:hint="eastAsia" w:ascii="宋体" w:hAnsi="宋体" w:eastAsia="宋体" w:cs="宋体"/>
                <w:sz w:val="24"/>
                <w:szCs w:val="24"/>
                <w:highlight w:val="none"/>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80" w:type="pct"/>
            <w:tcBorders>
              <w:bottom w:val="single" w:color="auto" w:sz="4" w:space="0"/>
            </w:tcBorders>
            <w:vAlign w:val="center"/>
          </w:tcPr>
          <w:p w14:paraId="1640C256">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highlight w:val="none"/>
              </w:rPr>
              <w:t>无须投标人</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供，由采购人或采购代理机构查询。</w:t>
            </w:r>
          </w:p>
        </w:tc>
      </w:tr>
      <w:tr w14:paraId="191F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Borders>
              <w:bottom w:val="single" w:color="auto" w:sz="4" w:space="0"/>
            </w:tcBorders>
            <w:vAlign w:val="center"/>
          </w:tcPr>
          <w:p w14:paraId="4B7955FA">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4</w:t>
            </w:r>
          </w:p>
        </w:tc>
        <w:tc>
          <w:tcPr>
            <w:tcW w:w="942" w:type="pct"/>
            <w:tcBorders>
              <w:bottom w:val="single" w:color="auto" w:sz="4" w:space="0"/>
            </w:tcBorders>
            <w:vAlign w:val="center"/>
          </w:tcPr>
          <w:p w14:paraId="1E5DC5F7">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spacing w:val="10"/>
                <w:sz w:val="24"/>
                <w:szCs w:val="24"/>
                <w:highlight w:val="none"/>
              </w:rPr>
              <w:t>其它落实政府采</w:t>
            </w:r>
            <w:r>
              <w:rPr>
                <w:rFonts w:ascii="宋体" w:hAnsi="宋体" w:eastAsia="宋体" w:cs="宋体"/>
                <w:spacing w:val="11"/>
                <w:sz w:val="24"/>
                <w:szCs w:val="24"/>
                <w:highlight w:val="none"/>
              </w:rPr>
              <w:t>购政策的资格要</w:t>
            </w:r>
            <w:r>
              <w:rPr>
                <w:rFonts w:ascii="宋体" w:hAnsi="宋体" w:eastAsia="宋体" w:cs="宋体"/>
                <w:sz w:val="24"/>
                <w:szCs w:val="24"/>
                <w:highlight w:val="none"/>
              </w:rPr>
              <w:t>求</w:t>
            </w:r>
          </w:p>
        </w:tc>
        <w:tc>
          <w:tcPr>
            <w:tcW w:w="2600" w:type="pct"/>
            <w:tcBorders>
              <w:bottom w:val="single" w:color="auto" w:sz="4" w:space="0"/>
            </w:tcBorders>
            <w:vAlign w:val="center"/>
          </w:tcPr>
          <w:p w14:paraId="4562F6BC">
            <w:pPr>
              <w:spacing w:after="50" w:line="360" w:lineRule="auto"/>
              <w:ind w:right="-10"/>
              <w:jc w:val="both"/>
              <w:rPr>
                <w:rFonts w:hint="eastAsia" w:ascii="宋体" w:hAnsi="宋体" w:eastAsia="宋体" w:cs="宋体"/>
                <w:color w:val="auto"/>
                <w:sz w:val="24"/>
                <w:szCs w:val="24"/>
                <w:highlight w:val="none"/>
              </w:rPr>
            </w:pPr>
            <w:r>
              <w:rPr>
                <w:rFonts w:ascii="宋体" w:hAnsi="宋体" w:eastAsia="宋体" w:cs="宋体"/>
                <w:spacing w:val="-2"/>
                <w:sz w:val="24"/>
                <w:szCs w:val="24"/>
                <w:highlight w:val="none"/>
              </w:rPr>
              <w:t>如有，见第一章《投标邀请》</w:t>
            </w:r>
          </w:p>
        </w:tc>
        <w:tc>
          <w:tcPr>
            <w:tcW w:w="1080" w:type="pct"/>
            <w:tcBorders>
              <w:bottom w:val="single" w:color="auto" w:sz="4" w:space="0"/>
            </w:tcBorders>
            <w:vAlign w:val="center"/>
          </w:tcPr>
          <w:p w14:paraId="04AD34AA">
            <w:pPr>
              <w:spacing w:after="50" w:line="360" w:lineRule="auto"/>
              <w:ind w:right="-10"/>
              <w:jc w:val="both"/>
              <w:rPr>
                <w:rFonts w:hint="eastAsia" w:ascii="宋体" w:hAnsi="宋体" w:eastAsia="宋体"/>
                <w:color w:val="auto"/>
                <w:sz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全部内容。</w:t>
            </w:r>
          </w:p>
        </w:tc>
      </w:tr>
      <w:tr w14:paraId="3B06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vAlign w:val="center"/>
          </w:tcPr>
          <w:p w14:paraId="6701870C">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5</w:t>
            </w:r>
          </w:p>
        </w:tc>
        <w:tc>
          <w:tcPr>
            <w:tcW w:w="942" w:type="pct"/>
            <w:vAlign w:val="center"/>
          </w:tcPr>
          <w:p w14:paraId="47F5860B">
            <w:pPr>
              <w:spacing w:after="50" w:line="360" w:lineRule="auto"/>
              <w:ind w:right="-10"/>
              <w:jc w:val="both"/>
              <w:rPr>
                <w:rFonts w:ascii="宋体" w:hAnsi="宋体" w:eastAsia="宋体" w:cs="宋体"/>
                <w:spacing w:val="10"/>
                <w:sz w:val="24"/>
                <w:szCs w:val="24"/>
                <w:highlight w:val="none"/>
                <w:lang w:val="en-US" w:eastAsia="zh-CN"/>
              </w:rPr>
            </w:pPr>
            <w:r>
              <w:rPr>
                <w:rFonts w:ascii="宋体" w:hAnsi="宋体" w:eastAsia="宋体" w:cs="宋体"/>
                <w:spacing w:val="10"/>
                <w:sz w:val="24"/>
                <w:szCs w:val="24"/>
                <w:highlight w:val="none"/>
              </w:rPr>
              <w:t>其他特定资格要求</w:t>
            </w:r>
          </w:p>
        </w:tc>
        <w:tc>
          <w:tcPr>
            <w:tcW w:w="2600" w:type="pct"/>
            <w:vAlign w:val="center"/>
          </w:tcPr>
          <w:p w14:paraId="7D3AADFB">
            <w:pPr>
              <w:spacing w:after="50" w:line="360" w:lineRule="auto"/>
              <w:ind w:right="-10"/>
              <w:jc w:val="both"/>
              <w:rPr>
                <w:rFonts w:ascii="宋体" w:hAnsi="宋体" w:eastAsia="宋体" w:cs="宋体"/>
                <w:spacing w:val="10"/>
                <w:sz w:val="24"/>
                <w:szCs w:val="24"/>
                <w:highlight w:val="none"/>
              </w:rPr>
            </w:pPr>
            <w:r>
              <w:rPr>
                <w:rFonts w:ascii="宋体" w:hAnsi="宋体" w:eastAsia="宋体" w:cs="宋体"/>
                <w:spacing w:val="10"/>
                <w:sz w:val="24"/>
                <w:szCs w:val="24"/>
                <w:highlight w:val="none"/>
              </w:rPr>
              <w:t>如有，见第一章《投标邀请》</w:t>
            </w:r>
          </w:p>
        </w:tc>
        <w:tc>
          <w:tcPr>
            <w:tcW w:w="1080" w:type="pct"/>
            <w:vAlign w:val="center"/>
          </w:tcPr>
          <w:p w14:paraId="0D38F67D">
            <w:pPr>
              <w:spacing w:after="50" w:line="360" w:lineRule="auto"/>
              <w:ind w:right="-10"/>
              <w:jc w:val="both"/>
              <w:rPr>
                <w:rFonts w:ascii="宋体" w:hAnsi="宋体" w:eastAsia="宋体" w:cs="宋体"/>
                <w:spacing w:val="10"/>
                <w:sz w:val="24"/>
                <w:szCs w:val="24"/>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全部内容。</w:t>
            </w:r>
          </w:p>
        </w:tc>
      </w:tr>
    </w:tbl>
    <w:p w14:paraId="27355E08">
      <w:pPr>
        <w:spacing w:line="360" w:lineRule="auto"/>
        <w:ind w:firstLine="435"/>
        <w:rPr>
          <w:rFonts w:asciiTheme="minorEastAsia" w:hAnsiTheme="minorEastAsia" w:eastAsiaTheme="minorEastAsia"/>
          <w:color w:val="auto"/>
          <w:sz w:val="24"/>
          <w:highlight w:val="none"/>
        </w:rPr>
      </w:pPr>
      <w:bookmarkStart w:id="46" w:name="_Hlk16461707"/>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bookmarkEnd w:id="46"/>
    <w:p w14:paraId="7770FF9F">
      <w:pPr>
        <w:spacing w:line="360" w:lineRule="auto"/>
        <w:ind w:firstLine="437"/>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2.2符合性审查</w:t>
      </w:r>
    </w:p>
    <w:p w14:paraId="264377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评标委员会对通过资格审查的投标人的投标文件进行符合性审查，以确定其是否满足招标文件的实质性要求。符合性审查表如下：</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2117"/>
        <w:gridCol w:w="3128"/>
        <w:gridCol w:w="2512"/>
      </w:tblGrid>
      <w:tr w14:paraId="4258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6D369439">
            <w:pPr>
              <w:adjustRightInd w:val="0"/>
              <w:snapToGrid w:val="0"/>
              <w:spacing w:line="360" w:lineRule="auto"/>
              <w:ind w:right="-10"/>
              <w:jc w:val="center"/>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77EE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49" w:type="pct"/>
            <w:tcBorders>
              <w:bottom w:val="single" w:color="auto" w:sz="4" w:space="0"/>
            </w:tcBorders>
            <w:vAlign w:val="center"/>
          </w:tcPr>
          <w:p w14:paraId="74B212CC">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242" w:type="pct"/>
            <w:tcBorders>
              <w:bottom w:val="single" w:color="auto" w:sz="4" w:space="0"/>
            </w:tcBorders>
            <w:vAlign w:val="center"/>
          </w:tcPr>
          <w:p w14:paraId="639B3A56">
            <w:pPr>
              <w:pStyle w:val="31"/>
              <w:pBdr>
                <w:bottom w:val="none" w:color="auto" w:sz="0" w:space="0"/>
              </w:pBdr>
              <w:tabs>
                <w:tab w:val="clear" w:pos="4153"/>
                <w:tab w:val="clear" w:pos="8306"/>
              </w:tabs>
              <w:snapToGrid w:val="0"/>
              <w:spacing w:line="360" w:lineRule="auto"/>
              <w:ind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1835" w:type="pct"/>
            <w:tcBorders>
              <w:bottom w:val="single" w:color="auto" w:sz="4" w:space="0"/>
            </w:tcBorders>
            <w:vAlign w:val="center"/>
          </w:tcPr>
          <w:p w14:paraId="29CEE087">
            <w:pPr>
              <w:adjustRightInd w:val="0"/>
              <w:snapToGrid w:val="0"/>
              <w:spacing w:line="360" w:lineRule="auto"/>
              <w:ind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473" w:type="pct"/>
            <w:tcBorders>
              <w:bottom w:val="single" w:color="auto" w:sz="4" w:space="0"/>
            </w:tcBorders>
            <w:vAlign w:val="center"/>
          </w:tcPr>
          <w:p w14:paraId="4BA5F242">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4F22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153288FF">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242" w:type="pct"/>
            <w:vAlign w:val="center"/>
          </w:tcPr>
          <w:p w14:paraId="6B921DA4">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highlight w:val="none"/>
              </w:rPr>
              <w:t>开标一览表</w:t>
            </w:r>
          </w:p>
        </w:tc>
        <w:tc>
          <w:tcPr>
            <w:tcW w:w="1835" w:type="pct"/>
            <w:vAlign w:val="center"/>
          </w:tcPr>
          <w:p w14:paraId="4B257807">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3" w:type="pct"/>
            <w:vAlign w:val="center"/>
          </w:tcPr>
          <w:p w14:paraId="54B3D5B2">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444F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71394A54">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242" w:type="pct"/>
            <w:vAlign w:val="center"/>
          </w:tcPr>
          <w:p w14:paraId="11BC748B">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投标函</w:t>
            </w:r>
          </w:p>
        </w:tc>
        <w:tc>
          <w:tcPr>
            <w:tcW w:w="1835" w:type="pct"/>
            <w:vAlign w:val="center"/>
          </w:tcPr>
          <w:p w14:paraId="2C4F8BD1">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3" w:type="pct"/>
            <w:vAlign w:val="center"/>
          </w:tcPr>
          <w:p w14:paraId="123D7142">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5575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2558999">
            <w:pPr>
              <w:adjustRightInd w:val="0"/>
              <w:snapToGrid w:val="0"/>
              <w:spacing w:line="360" w:lineRule="auto"/>
              <w:ind w:right="-10"/>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3</w:t>
            </w:r>
          </w:p>
        </w:tc>
        <w:tc>
          <w:tcPr>
            <w:tcW w:w="1242" w:type="pct"/>
            <w:vAlign w:val="center"/>
          </w:tcPr>
          <w:p w14:paraId="71C8D383">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授权书</w:t>
            </w:r>
          </w:p>
        </w:tc>
        <w:tc>
          <w:tcPr>
            <w:tcW w:w="1835" w:type="pct"/>
            <w:vAlign w:val="center"/>
          </w:tcPr>
          <w:p w14:paraId="6A4DF46B">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格式、填写要求符合招标文件规定并加盖投标人电子签章</w:t>
            </w:r>
          </w:p>
        </w:tc>
        <w:tc>
          <w:tcPr>
            <w:tcW w:w="1473" w:type="pct"/>
            <w:vAlign w:val="center"/>
          </w:tcPr>
          <w:p w14:paraId="10BC7FC8">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法定代表人参加投标的无需此件，提供身份证明即可。详见第六章投标文件格式</w:t>
            </w:r>
            <w:r>
              <w:rPr>
                <w:rFonts w:hint="eastAsia" w:asciiTheme="minorEastAsia" w:hAnsiTheme="minorEastAsia" w:eastAsiaTheme="minorEastAsia"/>
                <w:color w:val="auto"/>
                <w:sz w:val="24"/>
                <w:highlight w:val="none"/>
                <w:lang w:eastAsia="zh-CN"/>
              </w:rPr>
              <w:t>。</w:t>
            </w:r>
          </w:p>
        </w:tc>
      </w:tr>
      <w:tr w14:paraId="70FA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5CD14DEF">
            <w:pPr>
              <w:adjustRightInd w:val="0"/>
              <w:snapToGrid w:val="0"/>
              <w:spacing w:line="360" w:lineRule="auto"/>
              <w:ind w:right="-1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p>
        </w:tc>
        <w:tc>
          <w:tcPr>
            <w:tcW w:w="1242" w:type="pct"/>
            <w:vAlign w:val="center"/>
          </w:tcPr>
          <w:p w14:paraId="4C39CD65">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投标报价</w:t>
            </w:r>
          </w:p>
        </w:tc>
        <w:tc>
          <w:tcPr>
            <w:tcW w:w="1835" w:type="pct"/>
            <w:vAlign w:val="center"/>
          </w:tcPr>
          <w:p w14:paraId="05386A68">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w:t>
            </w:r>
            <w:r>
              <w:rPr>
                <w:rFonts w:hint="eastAsia" w:asciiTheme="minorEastAsia" w:hAnsiTheme="minorEastAsia" w:eastAsiaTheme="minorEastAsia"/>
                <w:color w:val="auto"/>
                <w:sz w:val="24"/>
                <w:highlight w:val="none"/>
              </w:rPr>
              <w:t>招标文件投标人须知正文第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473" w:type="pct"/>
            <w:vAlign w:val="center"/>
          </w:tcPr>
          <w:p w14:paraId="02C47557">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详见第六章投标文件格式</w:t>
            </w:r>
            <w:r>
              <w:rPr>
                <w:rFonts w:hint="eastAsia" w:asciiTheme="minorEastAsia" w:hAnsiTheme="minorEastAsia" w:eastAsiaTheme="minorEastAsia"/>
                <w:color w:val="auto"/>
                <w:sz w:val="24"/>
                <w:highlight w:val="none"/>
                <w:lang w:eastAsia="zh-CN"/>
              </w:rPr>
              <w:t>。</w:t>
            </w:r>
          </w:p>
        </w:tc>
      </w:tr>
      <w:tr w14:paraId="0CF1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 w:type="pct"/>
            <w:vAlign w:val="center"/>
          </w:tcPr>
          <w:p w14:paraId="7B6824B8">
            <w:pPr>
              <w:adjustRightInd w:val="0"/>
              <w:snapToGrid w:val="0"/>
              <w:spacing w:line="360" w:lineRule="auto"/>
              <w:ind w:right="-10"/>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5</w:t>
            </w:r>
          </w:p>
        </w:tc>
        <w:tc>
          <w:tcPr>
            <w:tcW w:w="1242" w:type="pct"/>
            <w:vAlign w:val="center"/>
          </w:tcPr>
          <w:p w14:paraId="788908B6">
            <w:pPr>
              <w:spacing w:after="50" w:line="360" w:lineRule="auto"/>
              <w:ind w:right="-10"/>
              <w:jc w:val="center"/>
              <w:rPr>
                <w:rFonts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其他要求</w:t>
            </w:r>
          </w:p>
        </w:tc>
        <w:tc>
          <w:tcPr>
            <w:tcW w:w="1835" w:type="pct"/>
            <w:vAlign w:val="center"/>
          </w:tcPr>
          <w:p w14:paraId="3D2940D1">
            <w:pPr>
              <w:spacing w:after="50" w:line="360" w:lineRule="auto"/>
              <w:ind w:right="-10"/>
              <w:jc w:val="center"/>
              <w:rPr>
                <w:rFonts w:hint="default"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rPr>
              <w:t>符合法律、行政法规规定的其他条件或招标文件列明的其他</w:t>
            </w:r>
            <w:r>
              <w:rPr>
                <w:rFonts w:hint="eastAsia" w:asciiTheme="minorEastAsia" w:hAnsiTheme="minorEastAsia" w:eastAsiaTheme="minorEastAsia"/>
                <w:color w:val="auto"/>
                <w:sz w:val="24"/>
                <w:szCs w:val="28"/>
                <w:highlight w:val="none"/>
                <w:lang w:val="en-US" w:eastAsia="zh-CN"/>
              </w:rPr>
              <w:t>实质性要求</w:t>
            </w:r>
          </w:p>
        </w:tc>
        <w:tc>
          <w:tcPr>
            <w:tcW w:w="1473" w:type="pct"/>
            <w:vAlign w:val="center"/>
          </w:tcPr>
          <w:p w14:paraId="0BE20E89">
            <w:pPr>
              <w:adjustRightInd w:val="0"/>
              <w:snapToGrid w:val="0"/>
              <w:spacing w:line="360" w:lineRule="auto"/>
              <w:ind w:right="-10"/>
              <w:jc w:val="center"/>
              <w:rPr>
                <w:rFonts w:asciiTheme="minorEastAsia" w:hAnsiTheme="minorEastAsia" w:eastAsiaTheme="minorEastAsia"/>
                <w:color w:val="auto"/>
                <w:sz w:val="24"/>
                <w:highlight w:val="none"/>
              </w:rPr>
            </w:pPr>
          </w:p>
        </w:tc>
      </w:tr>
    </w:tbl>
    <w:p w14:paraId="357D9A8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符合性审查指标通过标准：</w:t>
      </w:r>
      <w:r>
        <w:rPr>
          <w:rFonts w:hint="eastAsia" w:asciiTheme="minorEastAsia" w:hAnsiTheme="minorEastAsia" w:eastAsiaTheme="minorEastAsia"/>
          <w:color w:val="auto"/>
          <w:sz w:val="24"/>
          <w:highlight w:val="none"/>
        </w:rPr>
        <w:t>投标人必须通过符合性审查表中的全部评审指标。</w:t>
      </w:r>
    </w:p>
    <w:p w14:paraId="58775A00">
      <w:pPr>
        <w:spacing w:line="360" w:lineRule="auto"/>
        <w:ind w:firstLine="437"/>
        <w:outlineLvl w:val="2"/>
        <w:rPr>
          <w:rFonts w:ascii="宋体" w:hAnsi="宋体" w:eastAsia="宋体"/>
          <w:color w:val="auto"/>
          <w:sz w:val="24"/>
          <w:highlight w:val="none"/>
        </w:rPr>
      </w:pPr>
      <w:r>
        <w:rPr>
          <w:rFonts w:hint="eastAsia" w:ascii="宋体" w:hAnsi="宋体" w:eastAsia="宋体"/>
          <w:color w:val="auto"/>
          <w:sz w:val="24"/>
          <w:highlight w:val="none"/>
        </w:rPr>
        <w:t>2.3详细审查</w:t>
      </w:r>
    </w:p>
    <w:p w14:paraId="03D6393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.3.1</w:t>
      </w:r>
      <w:r>
        <w:rPr>
          <w:rFonts w:hint="eastAsia" w:ascii="宋体" w:hAnsi="宋体" w:eastAsia="宋体"/>
          <w:color w:val="auto"/>
          <w:sz w:val="24"/>
          <w:highlight w:val="none"/>
        </w:rPr>
        <w:t>评标委员会按照下表对投标文件进行详细审查和评分。</w:t>
      </w:r>
    </w:p>
    <w:p w14:paraId="76FEC62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.3.2</w:t>
      </w:r>
      <w:r>
        <w:rPr>
          <w:rFonts w:hint="eastAsia" w:ascii="宋体" w:hAnsi="宋体" w:eastAsia="宋体"/>
          <w:color w:val="auto"/>
          <w:sz w:val="24"/>
          <w:highlight w:val="none"/>
        </w:rPr>
        <w:t>本项目综合评分满分为1</w:t>
      </w:r>
      <w:r>
        <w:rPr>
          <w:rFonts w:ascii="宋体" w:hAnsi="宋体" w:eastAsia="宋体"/>
          <w:color w:val="auto"/>
          <w:sz w:val="24"/>
          <w:highlight w:val="none"/>
        </w:rPr>
        <w:t>00</w:t>
      </w:r>
      <w:r>
        <w:rPr>
          <w:rFonts w:hint="eastAsia" w:ascii="宋体" w:hAnsi="宋体" w:eastAsia="宋体"/>
          <w:color w:val="auto"/>
          <w:sz w:val="24"/>
          <w:highlight w:val="none"/>
        </w:rPr>
        <w:t>分，其中：资信分值占总分值的权重为</w:t>
      </w:r>
      <w:r>
        <w:rPr>
          <w:rFonts w:hint="eastAsia" w:ascii="宋体" w:hAnsi="宋体" w:eastAsia="宋体"/>
          <w:color w:val="auto"/>
          <w:sz w:val="24"/>
          <w:highlight w:val="none"/>
          <w:u w:val="single"/>
          <w:lang w:val="en-US" w:eastAsia="zh-CN"/>
        </w:rPr>
        <w:t xml:space="preserve">30 </w:t>
      </w:r>
      <w:r>
        <w:rPr>
          <w:rFonts w:ascii="宋体" w:hAnsi="宋体" w:eastAsia="宋体"/>
          <w:color w:val="auto"/>
          <w:sz w:val="24"/>
          <w:highlight w:val="none"/>
        </w:rPr>
        <w:t>%，</w:t>
      </w:r>
      <w:r>
        <w:rPr>
          <w:rFonts w:hint="eastAsia" w:ascii="宋体" w:hAnsi="宋体" w:eastAsia="宋体"/>
          <w:color w:val="auto"/>
          <w:sz w:val="24"/>
          <w:highlight w:val="none"/>
        </w:rPr>
        <w:t>技术分值占总分值的权重为</w:t>
      </w:r>
      <w:r>
        <w:rPr>
          <w:rFonts w:hint="eastAsia" w:ascii="宋体" w:hAnsi="宋体" w:eastAsia="宋体"/>
          <w:color w:val="auto"/>
          <w:sz w:val="24"/>
          <w:highlight w:val="none"/>
          <w:u w:val="single"/>
          <w:lang w:val="en-US" w:eastAsia="zh-CN"/>
        </w:rPr>
        <w:t>30</w:t>
      </w:r>
      <w:r>
        <w:rPr>
          <w:rFonts w:ascii="宋体" w:hAnsi="宋体" w:eastAsia="宋体"/>
          <w:color w:val="auto"/>
          <w:sz w:val="24"/>
          <w:highlight w:val="none"/>
        </w:rPr>
        <w:t>%</w:t>
      </w:r>
      <w:r>
        <w:rPr>
          <w:rFonts w:hint="eastAsia" w:ascii="宋体" w:hAnsi="宋体" w:eastAsia="宋体"/>
          <w:color w:val="auto"/>
          <w:sz w:val="24"/>
          <w:highlight w:val="none"/>
          <w:lang w:eastAsia="zh-CN"/>
        </w:rPr>
        <w:t>，</w:t>
      </w:r>
      <w:r>
        <w:rPr>
          <w:rFonts w:ascii="宋体" w:hAnsi="宋体" w:eastAsia="宋体"/>
          <w:color w:val="auto"/>
          <w:sz w:val="24"/>
          <w:highlight w:val="none"/>
        </w:rPr>
        <w:t>价格分值占总分值的权重为</w:t>
      </w:r>
      <w:r>
        <w:rPr>
          <w:rFonts w:hint="eastAsia" w:ascii="宋体" w:hAnsi="宋体" w:eastAsia="宋体"/>
          <w:color w:val="auto"/>
          <w:sz w:val="24"/>
          <w:highlight w:val="none"/>
          <w:u w:val="single"/>
          <w:lang w:val="en-US" w:eastAsia="zh-CN"/>
        </w:rPr>
        <w:t>40</w:t>
      </w:r>
      <w:r>
        <w:rPr>
          <w:rFonts w:ascii="宋体" w:hAnsi="宋体" w:eastAsia="宋体"/>
          <w:color w:val="auto"/>
          <w:sz w:val="24"/>
          <w:highlight w:val="none"/>
        </w:rPr>
        <w:t>%。具体评分细则如下：</w:t>
      </w:r>
    </w:p>
    <w:tbl>
      <w:tblPr>
        <w:tblStyle w:val="22"/>
        <w:tblW w:w="58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367"/>
        <w:gridCol w:w="6042"/>
        <w:gridCol w:w="1069"/>
      </w:tblGrid>
      <w:tr w14:paraId="2307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39" w:type="pct"/>
            <w:tcBorders>
              <w:top w:val="single" w:color="auto" w:sz="4" w:space="0"/>
              <w:left w:val="single" w:color="auto" w:sz="4" w:space="0"/>
              <w:bottom w:val="single" w:color="auto" w:sz="4" w:space="0"/>
              <w:right w:val="single" w:color="auto" w:sz="4" w:space="0"/>
            </w:tcBorders>
            <w:vAlign w:val="center"/>
          </w:tcPr>
          <w:p w14:paraId="34E3155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类别</w:t>
            </w:r>
          </w:p>
        </w:tc>
        <w:tc>
          <w:tcPr>
            <w:tcW w:w="687" w:type="pct"/>
            <w:tcBorders>
              <w:top w:val="single" w:color="auto" w:sz="4" w:space="0"/>
              <w:left w:val="single" w:color="auto" w:sz="4" w:space="0"/>
              <w:bottom w:val="single" w:color="auto" w:sz="4" w:space="0"/>
              <w:right w:val="single" w:color="auto" w:sz="4" w:space="0"/>
            </w:tcBorders>
            <w:vAlign w:val="center"/>
          </w:tcPr>
          <w:p w14:paraId="63879FE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3036" w:type="pct"/>
            <w:tcBorders>
              <w:top w:val="single" w:color="auto" w:sz="4" w:space="0"/>
              <w:left w:val="single" w:color="auto" w:sz="4" w:space="0"/>
              <w:bottom w:val="single" w:color="auto" w:sz="4" w:space="0"/>
              <w:right w:val="single" w:color="auto" w:sz="4" w:space="0"/>
            </w:tcBorders>
            <w:vAlign w:val="center"/>
          </w:tcPr>
          <w:p w14:paraId="1464B66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537" w:type="pct"/>
            <w:tcBorders>
              <w:top w:val="single" w:color="auto" w:sz="4" w:space="0"/>
              <w:left w:val="single" w:color="auto" w:sz="4" w:space="0"/>
              <w:bottom w:val="single" w:color="auto" w:sz="4" w:space="0"/>
              <w:right w:val="single" w:color="auto" w:sz="4" w:space="0"/>
            </w:tcBorders>
            <w:vAlign w:val="center"/>
          </w:tcPr>
          <w:p w14:paraId="70E0A48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分值范围</w:t>
            </w:r>
          </w:p>
        </w:tc>
      </w:tr>
      <w:tr w14:paraId="3A2B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restart"/>
            <w:tcBorders>
              <w:top w:val="single" w:color="auto" w:sz="4" w:space="0"/>
              <w:left w:val="single" w:color="auto" w:sz="4" w:space="0"/>
              <w:right w:val="single" w:color="auto" w:sz="4" w:space="0"/>
            </w:tcBorders>
            <w:vAlign w:val="center"/>
          </w:tcPr>
          <w:p w14:paraId="0561275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资信分</w:t>
            </w:r>
          </w:p>
          <w:p w14:paraId="1F5E0AE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（30分）</w:t>
            </w:r>
          </w:p>
        </w:tc>
        <w:tc>
          <w:tcPr>
            <w:tcW w:w="687" w:type="pct"/>
            <w:tcBorders>
              <w:top w:val="single" w:color="auto" w:sz="4" w:space="0"/>
              <w:left w:val="single" w:color="auto" w:sz="4" w:space="0"/>
              <w:bottom w:val="single" w:color="auto" w:sz="4" w:space="0"/>
              <w:right w:val="single" w:color="auto" w:sz="4" w:space="0"/>
            </w:tcBorders>
            <w:vAlign w:val="center"/>
          </w:tcPr>
          <w:p w14:paraId="3BEB9BE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投标人业绩</w:t>
            </w:r>
          </w:p>
        </w:tc>
        <w:tc>
          <w:tcPr>
            <w:tcW w:w="3036" w:type="pct"/>
            <w:tcBorders>
              <w:top w:val="single" w:color="auto" w:sz="4" w:space="0"/>
              <w:left w:val="single" w:color="auto" w:sz="4" w:space="0"/>
              <w:bottom w:val="single" w:color="auto" w:sz="4" w:space="0"/>
              <w:right w:val="single" w:color="auto" w:sz="4" w:space="0"/>
            </w:tcBorders>
            <w:vAlign w:val="center"/>
          </w:tcPr>
          <w:p w14:paraId="109F693E">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val="en-US" w:eastAsia="zh-CN"/>
              </w:rPr>
              <w:t>人在2022年1月1日至开标截止时间内，具有单项合同金额在15万元及以上的与医院或医疗系统长期合作的被服洗涤服务项目业绩的，每提供一份项目业绩的得</w:t>
            </w:r>
            <w:r>
              <w:rPr>
                <w:rFonts w:hint="eastAsia" w:ascii="宋体" w:hAnsi="宋体" w:eastAsia="宋体" w:cs="宋体"/>
                <w:color w:val="auto"/>
                <w:sz w:val="21"/>
                <w:szCs w:val="21"/>
                <w:highlight w:val="none"/>
              </w:rPr>
              <w:t>5分，本项目最高得10分。</w:t>
            </w:r>
          </w:p>
          <w:p w14:paraId="4826397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业绩时间以采购合同签订时间为准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合同中需反应出合同金额及</w:t>
            </w:r>
            <w:r>
              <w:rPr>
                <w:rFonts w:hint="eastAsia" w:ascii="宋体" w:hAnsi="宋体" w:eastAsia="宋体" w:cs="宋体"/>
                <w:color w:val="auto"/>
                <w:sz w:val="21"/>
                <w:szCs w:val="21"/>
                <w:highlight w:val="none"/>
                <w:lang w:val="en-US" w:eastAsia="zh-CN"/>
              </w:rPr>
              <w:t>评审因素（如合同无法体现评审因素，则须另行提供业主方证明材料或结算单或发票等其他材料予以辅助佐证）；</w:t>
            </w:r>
            <w:r>
              <w:rPr>
                <w:rFonts w:hint="eastAsia" w:ascii="宋体" w:hAnsi="宋体" w:eastAsia="宋体" w:cs="宋体"/>
                <w:color w:val="auto"/>
                <w:sz w:val="21"/>
                <w:szCs w:val="21"/>
                <w:highlight w:val="none"/>
              </w:rPr>
              <w:t>投标人须提供采购合同复印件加盖公章。</w:t>
            </w:r>
          </w:p>
        </w:tc>
        <w:tc>
          <w:tcPr>
            <w:tcW w:w="537" w:type="pct"/>
            <w:tcBorders>
              <w:top w:val="single" w:color="auto" w:sz="4" w:space="0"/>
              <w:left w:val="single" w:color="auto" w:sz="4" w:space="0"/>
              <w:bottom w:val="single" w:color="auto" w:sz="4" w:space="0"/>
              <w:right w:val="single" w:color="auto" w:sz="4" w:space="0"/>
            </w:tcBorders>
            <w:vAlign w:val="center"/>
          </w:tcPr>
          <w:p w14:paraId="4FA850F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0-10分</w:t>
            </w:r>
          </w:p>
        </w:tc>
      </w:tr>
      <w:tr w14:paraId="6D9D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739" w:type="pct"/>
            <w:vMerge w:val="continue"/>
            <w:tcBorders>
              <w:left w:val="single" w:color="auto" w:sz="4" w:space="0"/>
              <w:right w:val="single" w:color="auto" w:sz="4" w:space="0"/>
            </w:tcBorders>
            <w:vAlign w:val="center"/>
          </w:tcPr>
          <w:p w14:paraId="2107AFF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p>
        </w:tc>
        <w:tc>
          <w:tcPr>
            <w:tcW w:w="687" w:type="pct"/>
            <w:tcBorders>
              <w:top w:val="single" w:color="auto" w:sz="4" w:space="0"/>
              <w:left w:val="single" w:color="auto" w:sz="4" w:space="0"/>
              <w:bottom w:val="single" w:color="auto" w:sz="4" w:space="0"/>
              <w:right w:val="single" w:color="auto" w:sz="4" w:space="0"/>
            </w:tcBorders>
            <w:vAlign w:val="center"/>
          </w:tcPr>
          <w:p w14:paraId="39CCB40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人员配置</w:t>
            </w:r>
          </w:p>
        </w:tc>
        <w:tc>
          <w:tcPr>
            <w:tcW w:w="3036" w:type="pct"/>
            <w:tcBorders>
              <w:top w:val="single" w:color="auto" w:sz="4" w:space="0"/>
              <w:left w:val="single" w:color="auto" w:sz="4" w:space="0"/>
              <w:right w:val="single" w:color="auto" w:sz="4" w:space="0"/>
            </w:tcBorders>
            <w:vAlign w:val="center"/>
          </w:tcPr>
          <w:p w14:paraId="4EB288DB">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拟任</w:t>
            </w:r>
            <w:r>
              <w:rPr>
                <w:rFonts w:hint="eastAsia" w:ascii="宋体" w:hAnsi="宋体" w:eastAsia="宋体" w:cs="宋体"/>
                <w:color w:val="auto"/>
                <w:sz w:val="21"/>
                <w:szCs w:val="21"/>
                <w:highlight w:val="none"/>
              </w:rPr>
              <w:t>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具有一级洗涤技师技术职称证书得5分，具有二级</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得4分，</w:t>
            </w:r>
            <w:r>
              <w:rPr>
                <w:rFonts w:hint="eastAsia" w:ascii="宋体" w:hAnsi="宋体" w:eastAsia="宋体" w:cs="宋体"/>
                <w:color w:val="auto"/>
                <w:sz w:val="21"/>
                <w:szCs w:val="21"/>
                <w:highlight w:val="none"/>
                <w:lang w:val="en-US" w:eastAsia="zh-CN"/>
              </w:rPr>
              <w:t>本项最高</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需</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项目负责人在投标单位投标截止时间前</w:t>
            </w:r>
            <w:r>
              <w:rPr>
                <w:rFonts w:hint="eastAsia" w:ascii="宋体" w:hAnsi="宋体" w:eastAsia="宋体" w:cs="宋体"/>
                <w:color w:val="auto"/>
                <w:sz w:val="21"/>
                <w:szCs w:val="21"/>
                <w:highlight w:val="none"/>
              </w:rPr>
              <w:t>连续3个月的社保证明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83111A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投标人在职员工（不含项目负责人）有洗涤技师技术职称证书(含一级、二级洗涤技师)，</w:t>
            </w:r>
            <w:r>
              <w:rPr>
                <w:rFonts w:hint="eastAsia" w:ascii="宋体" w:hAnsi="宋体" w:eastAsia="宋体" w:cs="宋体"/>
                <w:color w:val="auto"/>
                <w:sz w:val="21"/>
                <w:szCs w:val="21"/>
                <w:highlight w:val="none"/>
                <w:lang w:val="en-US" w:eastAsia="zh-CN"/>
              </w:rPr>
              <w:t>每提供一个</w:t>
            </w:r>
            <w:r>
              <w:rPr>
                <w:rFonts w:hint="eastAsia" w:ascii="宋体" w:hAnsi="宋体" w:eastAsia="宋体" w:cs="宋体"/>
                <w:color w:val="auto"/>
                <w:sz w:val="21"/>
                <w:szCs w:val="21"/>
                <w:highlight w:val="none"/>
              </w:rPr>
              <w:t>得1分，</w:t>
            </w:r>
            <w:r>
              <w:rPr>
                <w:rFonts w:hint="eastAsia" w:ascii="宋体" w:hAnsi="宋体" w:eastAsia="宋体" w:cs="宋体"/>
                <w:color w:val="auto"/>
                <w:sz w:val="21"/>
                <w:szCs w:val="21"/>
                <w:highlight w:val="none"/>
                <w:lang w:val="en-US" w:eastAsia="zh-CN"/>
              </w:rPr>
              <w:t>本项最高</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需</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拟派人员在投标单位投标截止时间前</w:t>
            </w:r>
            <w:r>
              <w:rPr>
                <w:rFonts w:hint="eastAsia" w:ascii="宋体" w:hAnsi="宋体" w:eastAsia="宋体" w:cs="宋体"/>
                <w:color w:val="auto"/>
                <w:sz w:val="21"/>
                <w:szCs w:val="21"/>
                <w:highlight w:val="none"/>
              </w:rPr>
              <w:t>连续3个月的社保证明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tc>
        <w:tc>
          <w:tcPr>
            <w:tcW w:w="537" w:type="pct"/>
            <w:tcBorders>
              <w:top w:val="single" w:color="auto" w:sz="4" w:space="0"/>
              <w:left w:val="single" w:color="auto" w:sz="4" w:space="0"/>
              <w:right w:val="single" w:color="auto" w:sz="4" w:space="0"/>
            </w:tcBorders>
            <w:vAlign w:val="center"/>
          </w:tcPr>
          <w:p w14:paraId="2D1E05D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0-10分</w:t>
            </w:r>
          </w:p>
        </w:tc>
      </w:tr>
      <w:tr w14:paraId="4164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tcBorders>
              <w:left w:val="single" w:color="auto" w:sz="4" w:space="0"/>
              <w:right w:val="single" w:color="auto" w:sz="4" w:space="0"/>
            </w:tcBorders>
            <w:vAlign w:val="center"/>
          </w:tcPr>
          <w:p w14:paraId="5DB3EAA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p>
        </w:tc>
        <w:tc>
          <w:tcPr>
            <w:tcW w:w="687" w:type="pct"/>
            <w:tcBorders>
              <w:top w:val="single" w:color="auto" w:sz="4" w:space="0"/>
              <w:left w:val="single" w:color="auto" w:sz="4" w:space="0"/>
              <w:bottom w:val="single" w:color="auto" w:sz="4" w:space="0"/>
              <w:right w:val="single" w:color="auto" w:sz="4" w:space="0"/>
            </w:tcBorders>
            <w:vAlign w:val="center"/>
          </w:tcPr>
          <w:p w14:paraId="6D9478E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洗涤设施情况</w:t>
            </w:r>
          </w:p>
        </w:tc>
        <w:tc>
          <w:tcPr>
            <w:tcW w:w="3036" w:type="pct"/>
            <w:tcBorders>
              <w:top w:val="single" w:color="auto" w:sz="4" w:space="0"/>
              <w:left w:val="single" w:color="auto" w:sz="4" w:space="0"/>
              <w:bottom w:val="single" w:color="auto" w:sz="4" w:space="0"/>
              <w:right w:val="single" w:color="auto" w:sz="4" w:space="0"/>
            </w:tcBorders>
            <w:vAlign w:val="center"/>
          </w:tcPr>
          <w:p w14:paraId="74D5822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投标人配有单独的传染洗涤区域，并配有隔离式洗脱设备的每提供1台得 1分，此项最高得 2分</w:t>
            </w:r>
            <w:r>
              <w:rPr>
                <w:rFonts w:hint="eastAsia" w:ascii="宋体" w:hAnsi="宋体" w:eastAsia="宋体" w:cs="宋体"/>
                <w:color w:val="auto"/>
                <w:sz w:val="21"/>
                <w:szCs w:val="21"/>
                <w:highlight w:val="none"/>
                <w:lang w:eastAsia="zh-CN"/>
              </w:rPr>
              <w:t>；</w:t>
            </w:r>
          </w:p>
          <w:p w14:paraId="56AD371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投标人拥有病人类床品、医护工作服用不同洗衣</w:t>
            </w:r>
            <w:r>
              <w:rPr>
                <w:rFonts w:hint="eastAsia" w:ascii="宋体" w:hAnsi="宋体" w:eastAsia="宋体" w:cs="宋体"/>
                <w:color w:val="auto"/>
                <w:sz w:val="21"/>
                <w:szCs w:val="21"/>
                <w:highlight w:val="none"/>
                <w:lang w:val="en-US" w:eastAsia="zh-CN"/>
              </w:rPr>
              <w:t>龙</w:t>
            </w:r>
            <w:r>
              <w:rPr>
                <w:rFonts w:hint="eastAsia" w:ascii="宋体" w:hAnsi="宋体" w:eastAsia="宋体" w:cs="宋体"/>
                <w:color w:val="auto"/>
                <w:sz w:val="21"/>
                <w:szCs w:val="21"/>
                <w:highlight w:val="none"/>
              </w:rPr>
              <w:t>洗涤的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每提供一台得 1分，此项最高 4分</w:t>
            </w:r>
            <w:r>
              <w:rPr>
                <w:rFonts w:hint="eastAsia" w:ascii="宋体" w:hAnsi="宋体" w:eastAsia="宋体" w:cs="宋体"/>
                <w:color w:val="auto"/>
                <w:sz w:val="21"/>
                <w:szCs w:val="21"/>
                <w:highlight w:val="none"/>
                <w:lang w:eastAsia="zh-CN"/>
              </w:rPr>
              <w:t>；</w:t>
            </w:r>
          </w:p>
          <w:p w14:paraId="7F956C5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有医护工作服连续烘干机提供一台 1分，此项最高2分；</w:t>
            </w:r>
          </w:p>
          <w:p w14:paraId="7ED1D8B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有高速熨平机提供一台得1分，此项最高得 2分。</w:t>
            </w:r>
          </w:p>
        </w:tc>
        <w:tc>
          <w:tcPr>
            <w:tcW w:w="537" w:type="pct"/>
            <w:tcBorders>
              <w:top w:val="single" w:color="auto" w:sz="4" w:space="0"/>
              <w:left w:val="single" w:color="auto" w:sz="4" w:space="0"/>
              <w:bottom w:val="single" w:color="auto" w:sz="4" w:space="0"/>
              <w:right w:val="single" w:color="auto" w:sz="4" w:space="0"/>
            </w:tcBorders>
            <w:vAlign w:val="center"/>
          </w:tcPr>
          <w:p w14:paraId="5F7633F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en-US" w:eastAsia="zh-CN"/>
              </w:rPr>
            </w:pPr>
            <w:bookmarkStart w:id="47" w:name="OLE_LINK1"/>
            <w:r>
              <w:rPr>
                <w:rFonts w:hint="eastAsia" w:ascii="宋体" w:hAnsi="宋体" w:eastAsia="宋体" w:cs="宋体"/>
                <w:b/>
                <w:bCs/>
                <w:color w:val="auto"/>
                <w:sz w:val="21"/>
                <w:szCs w:val="21"/>
                <w:highlight w:val="none"/>
                <w:lang w:val="en-US" w:eastAsia="zh-CN"/>
              </w:rPr>
              <w:t>0-10分</w:t>
            </w:r>
            <w:bookmarkEnd w:id="47"/>
          </w:p>
        </w:tc>
      </w:tr>
      <w:tr w14:paraId="7F63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restart"/>
            <w:tcBorders>
              <w:left w:val="single" w:color="auto" w:sz="4" w:space="0"/>
              <w:right w:val="single" w:color="auto" w:sz="4" w:space="0"/>
            </w:tcBorders>
            <w:vAlign w:val="center"/>
          </w:tcPr>
          <w:p w14:paraId="3038CCF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技术分</w:t>
            </w:r>
          </w:p>
          <w:p w14:paraId="11DDAD5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（30 分）</w:t>
            </w:r>
          </w:p>
        </w:tc>
        <w:tc>
          <w:tcPr>
            <w:tcW w:w="687" w:type="pct"/>
            <w:tcBorders>
              <w:top w:val="single" w:color="auto" w:sz="4" w:space="0"/>
              <w:left w:val="single" w:color="auto" w:sz="4" w:space="0"/>
              <w:bottom w:val="single" w:color="auto" w:sz="4" w:space="0"/>
              <w:right w:val="single" w:color="auto" w:sz="4" w:space="0"/>
            </w:tcBorders>
            <w:vAlign w:val="center"/>
          </w:tcPr>
          <w:p w14:paraId="2D01C53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洗涤方案</w:t>
            </w:r>
          </w:p>
        </w:tc>
        <w:tc>
          <w:tcPr>
            <w:tcW w:w="3036" w:type="pct"/>
            <w:tcBorders>
              <w:top w:val="single" w:color="auto" w:sz="4" w:space="0"/>
              <w:left w:val="single" w:color="auto" w:sz="4" w:space="0"/>
              <w:bottom w:val="single" w:color="auto" w:sz="4" w:space="0"/>
              <w:right w:val="single" w:color="auto" w:sz="4" w:space="0"/>
            </w:tcBorders>
            <w:vAlign w:val="center"/>
          </w:tcPr>
          <w:p w14:paraId="7CB7100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投标人制定详细的洗涤方案并满足卫生部规定的《医院感染管理办法》中的流程和条件，且在洗涤过程中针对洗涤质量、洗涤时间、清洁度、卫生要求进行编制，</w:t>
            </w:r>
            <w:r>
              <w:rPr>
                <w:rFonts w:hint="eastAsia" w:ascii="宋体" w:hAnsi="宋体" w:eastAsia="宋体" w:cs="宋体"/>
                <w:color w:val="auto"/>
                <w:sz w:val="21"/>
                <w:szCs w:val="21"/>
                <w:highlight w:val="none"/>
                <w:lang w:val="en-US" w:eastAsia="zh-CN"/>
              </w:rPr>
              <w:t>评标委员会针对各投标人提供的方案进行横向评审：优秀的得12分</w:t>
            </w: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lang w:val="en-US" w:eastAsia="zh-CN"/>
              </w:rPr>
              <w:t>好的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9分，</w:t>
            </w:r>
            <w:r>
              <w:rPr>
                <w:rFonts w:hint="eastAsia" w:ascii="宋体" w:hAnsi="宋体" w:eastAsia="宋体" w:cs="宋体"/>
                <w:color w:val="auto"/>
                <w:sz w:val="21"/>
                <w:szCs w:val="21"/>
                <w:highlight w:val="none"/>
              </w:rPr>
              <w:t>一般</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差的得3分，</w:t>
            </w:r>
            <w:r>
              <w:rPr>
                <w:rFonts w:hint="eastAsia" w:ascii="宋体" w:hAnsi="宋体" w:eastAsia="宋体" w:cs="宋体"/>
                <w:color w:val="auto"/>
                <w:sz w:val="21"/>
                <w:szCs w:val="21"/>
                <w:highlight w:val="none"/>
              </w:rPr>
              <w:t>未提供</w:t>
            </w:r>
            <w:r>
              <w:rPr>
                <w:rFonts w:hint="eastAsia" w:ascii="宋体" w:hAnsi="宋体" w:eastAsia="宋体" w:cs="宋体"/>
                <w:color w:val="auto"/>
                <w:sz w:val="21"/>
                <w:szCs w:val="21"/>
                <w:highlight w:val="none"/>
                <w:lang w:val="en-US" w:eastAsia="zh-CN"/>
              </w:rPr>
              <w:t>或内容不相关的</w:t>
            </w:r>
            <w:r>
              <w:rPr>
                <w:rFonts w:hint="eastAsia" w:ascii="宋体" w:hAnsi="宋体" w:eastAsia="宋体" w:cs="宋体"/>
                <w:color w:val="auto"/>
                <w:sz w:val="21"/>
                <w:szCs w:val="21"/>
                <w:highlight w:val="none"/>
              </w:rPr>
              <w:t>不得分。</w:t>
            </w:r>
          </w:p>
        </w:tc>
        <w:tc>
          <w:tcPr>
            <w:tcW w:w="537" w:type="pct"/>
            <w:tcBorders>
              <w:top w:val="single" w:color="auto" w:sz="4" w:space="0"/>
              <w:left w:val="single" w:color="auto" w:sz="4" w:space="0"/>
              <w:bottom w:val="single" w:color="auto" w:sz="4" w:space="0"/>
              <w:right w:val="single" w:color="auto" w:sz="4" w:space="0"/>
            </w:tcBorders>
            <w:vAlign w:val="center"/>
          </w:tcPr>
          <w:p w14:paraId="3D25A37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0-12分</w:t>
            </w:r>
          </w:p>
        </w:tc>
      </w:tr>
      <w:tr w14:paraId="46A1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tcBorders>
              <w:left w:val="single" w:color="auto" w:sz="4" w:space="0"/>
              <w:right w:val="single" w:color="auto" w:sz="4" w:space="0"/>
            </w:tcBorders>
            <w:vAlign w:val="center"/>
          </w:tcPr>
          <w:p w14:paraId="6220057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p>
        </w:tc>
        <w:tc>
          <w:tcPr>
            <w:tcW w:w="687" w:type="pct"/>
            <w:tcBorders>
              <w:top w:val="single" w:color="auto" w:sz="4" w:space="0"/>
              <w:left w:val="single" w:color="auto" w:sz="4" w:space="0"/>
              <w:bottom w:val="single" w:color="auto" w:sz="4" w:space="0"/>
              <w:right w:val="single" w:color="auto" w:sz="4" w:space="0"/>
            </w:tcBorders>
            <w:vAlign w:val="center"/>
          </w:tcPr>
          <w:p w14:paraId="6B9DA7F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洗涤厂区感控管理</w:t>
            </w:r>
          </w:p>
        </w:tc>
        <w:tc>
          <w:tcPr>
            <w:tcW w:w="3036" w:type="pct"/>
            <w:tcBorders>
              <w:top w:val="single" w:color="auto" w:sz="4" w:space="0"/>
              <w:left w:val="single" w:color="auto" w:sz="4" w:space="0"/>
              <w:bottom w:val="single" w:color="auto" w:sz="4" w:space="0"/>
              <w:right w:val="single" w:color="auto" w:sz="4" w:space="0"/>
            </w:tcBorders>
            <w:vAlign w:val="center"/>
          </w:tcPr>
          <w:p w14:paraId="44DD50F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因为医院洗涤服务存在行业特殊性，</w:t>
            </w:r>
            <w:r>
              <w:rPr>
                <w:rFonts w:hint="eastAsia" w:ascii="宋体" w:hAnsi="宋体" w:eastAsia="宋体" w:cs="宋体"/>
                <w:color w:val="auto"/>
                <w:sz w:val="21"/>
                <w:szCs w:val="21"/>
                <w:highlight w:val="none"/>
                <w:lang w:val="en-US" w:eastAsia="zh-CN"/>
              </w:rPr>
              <w:t>评标委员会针对各投标人提供的</w:t>
            </w:r>
            <w:r>
              <w:rPr>
                <w:rFonts w:hint="eastAsia" w:ascii="宋体" w:hAnsi="宋体" w:eastAsia="宋体" w:cs="宋体"/>
                <w:color w:val="auto"/>
                <w:sz w:val="21"/>
                <w:szCs w:val="21"/>
                <w:highlight w:val="none"/>
              </w:rPr>
              <w:t>洗涤过程中感控（防止交叉感染）的相关措施及方案</w:t>
            </w:r>
            <w:r>
              <w:rPr>
                <w:rFonts w:hint="eastAsia" w:ascii="宋体" w:hAnsi="宋体" w:eastAsia="宋体" w:cs="宋体"/>
                <w:color w:val="auto"/>
                <w:sz w:val="21"/>
                <w:szCs w:val="21"/>
                <w:highlight w:val="none"/>
                <w:lang w:val="en-US" w:eastAsia="zh-CN"/>
              </w:rPr>
              <w:t>进行横向评审：优秀的得9分</w:t>
            </w: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lang w:val="en-US" w:eastAsia="zh-CN"/>
              </w:rPr>
              <w:t>好的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rPr>
              <w:t>一般</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差的得1分，</w:t>
            </w:r>
            <w:r>
              <w:rPr>
                <w:rFonts w:hint="eastAsia" w:ascii="宋体" w:hAnsi="宋体" w:eastAsia="宋体" w:cs="宋体"/>
                <w:color w:val="auto"/>
                <w:sz w:val="21"/>
                <w:szCs w:val="21"/>
                <w:highlight w:val="none"/>
              </w:rPr>
              <w:t>未提供</w:t>
            </w:r>
            <w:r>
              <w:rPr>
                <w:rFonts w:hint="eastAsia" w:ascii="宋体" w:hAnsi="宋体" w:eastAsia="宋体" w:cs="宋体"/>
                <w:color w:val="auto"/>
                <w:sz w:val="21"/>
                <w:szCs w:val="21"/>
                <w:highlight w:val="none"/>
                <w:lang w:val="en-US" w:eastAsia="zh-CN"/>
              </w:rPr>
              <w:t>或内容不相关的</w:t>
            </w:r>
            <w:r>
              <w:rPr>
                <w:rFonts w:hint="eastAsia" w:ascii="宋体" w:hAnsi="宋体" w:eastAsia="宋体" w:cs="宋体"/>
                <w:color w:val="auto"/>
                <w:sz w:val="21"/>
                <w:szCs w:val="21"/>
                <w:highlight w:val="none"/>
              </w:rPr>
              <w:t>不得分</w:t>
            </w:r>
            <w:r>
              <w:rPr>
                <w:rFonts w:hint="eastAsia" w:ascii="宋体" w:hAnsi="宋体" w:eastAsia="宋体" w:cs="宋体"/>
                <w:color w:val="auto"/>
                <w:sz w:val="21"/>
                <w:szCs w:val="21"/>
                <w:highlight w:val="none"/>
                <w:lang w:eastAsia="zh-CN"/>
              </w:rPr>
              <w:t>。</w:t>
            </w:r>
          </w:p>
        </w:tc>
        <w:tc>
          <w:tcPr>
            <w:tcW w:w="537" w:type="pct"/>
            <w:tcBorders>
              <w:top w:val="single" w:color="auto" w:sz="4" w:space="0"/>
              <w:left w:val="single" w:color="auto" w:sz="4" w:space="0"/>
              <w:bottom w:val="single" w:color="auto" w:sz="4" w:space="0"/>
              <w:right w:val="single" w:color="auto" w:sz="4" w:space="0"/>
            </w:tcBorders>
            <w:vAlign w:val="center"/>
          </w:tcPr>
          <w:p w14:paraId="320D141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0-9分</w:t>
            </w:r>
          </w:p>
        </w:tc>
      </w:tr>
      <w:tr w14:paraId="2AE1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tcBorders>
              <w:left w:val="single" w:color="auto" w:sz="4" w:space="0"/>
              <w:right w:val="single" w:color="auto" w:sz="4" w:space="0"/>
            </w:tcBorders>
            <w:vAlign w:val="center"/>
          </w:tcPr>
          <w:p w14:paraId="3E4F579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p>
        </w:tc>
        <w:tc>
          <w:tcPr>
            <w:tcW w:w="687" w:type="pct"/>
            <w:tcBorders>
              <w:top w:val="single" w:color="auto" w:sz="4" w:space="0"/>
              <w:left w:val="single" w:color="auto" w:sz="4" w:space="0"/>
              <w:bottom w:val="single" w:color="auto" w:sz="4" w:space="0"/>
              <w:right w:val="single" w:color="auto" w:sz="4" w:space="0"/>
            </w:tcBorders>
            <w:vAlign w:val="center"/>
          </w:tcPr>
          <w:p w14:paraId="04891AF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服务方案</w:t>
            </w:r>
          </w:p>
        </w:tc>
        <w:tc>
          <w:tcPr>
            <w:tcW w:w="3036" w:type="pct"/>
            <w:tcBorders>
              <w:top w:val="single" w:color="auto" w:sz="4" w:space="0"/>
              <w:left w:val="single" w:color="auto" w:sz="4" w:space="0"/>
              <w:bottom w:val="single" w:color="auto" w:sz="4" w:space="0"/>
              <w:right w:val="single" w:color="auto" w:sz="4" w:space="0"/>
            </w:tcBorders>
            <w:vAlign w:val="center"/>
          </w:tcPr>
          <w:p w14:paraId="5886D23C">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服务方案包括但不限于：1.服务制度、2.保障措施、3.应急措施、4.人员配备方案、5.培训计划、6.本地化服务、7.其他以及正常的缝补工作及所需辅料等要求进行编制，</w:t>
            </w:r>
            <w:r>
              <w:rPr>
                <w:rFonts w:hint="eastAsia" w:ascii="宋体" w:hAnsi="宋体" w:eastAsia="宋体" w:cs="宋体"/>
                <w:color w:val="auto"/>
                <w:sz w:val="21"/>
                <w:szCs w:val="21"/>
                <w:highlight w:val="none"/>
                <w:lang w:val="en-US" w:eastAsia="zh-CN"/>
              </w:rPr>
              <w:t>评标委员会针对各投标人提供的方案进行横向评审：优秀的得9分</w:t>
            </w:r>
            <w:r>
              <w:rPr>
                <w:rFonts w:hint="eastAsia" w:ascii="宋体" w:hAnsi="宋体" w:eastAsia="宋体" w:cs="宋体"/>
                <w:color w:val="auto"/>
                <w:sz w:val="21"/>
                <w:szCs w:val="21"/>
                <w:highlight w:val="none"/>
              </w:rPr>
              <w:t>，良</w:t>
            </w:r>
            <w:r>
              <w:rPr>
                <w:rFonts w:hint="eastAsia" w:ascii="宋体" w:hAnsi="宋体" w:eastAsia="宋体" w:cs="宋体"/>
                <w:color w:val="auto"/>
                <w:sz w:val="21"/>
                <w:szCs w:val="21"/>
                <w:highlight w:val="none"/>
                <w:lang w:val="en-US" w:eastAsia="zh-CN"/>
              </w:rPr>
              <w:t>好的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6分，</w:t>
            </w:r>
            <w:r>
              <w:rPr>
                <w:rFonts w:hint="eastAsia" w:ascii="宋体" w:hAnsi="宋体" w:eastAsia="宋体" w:cs="宋体"/>
                <w:color w:val="auto"/>
                <w:sz w:val="21"/>
                <w:szCs w:val="21"/>
                <w:highlight w:val="none"/>
              </w:rPr>
              <w:t>一般</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差的得1分，</w:t>
            </w:r>
            <w:r>
              <w:rPr>
                <w:rFonts w:hint="eastAsia" w:ascii="宋体" w:hAnsi="宋体" w:eastAsia="宋体" w:cs="宋体"/>
                <w:color w:val="auto"/>
                <w:sz w:val="21"/>
                <w:szCs w:val="21"/>
                <w:highlight w:val="none"/>
              </w:rPr>
              <w:t>未提供</w:t>
            </w:r>
            <w:r>
              <w:rPr>
                <w:rFonts w:hint="eastAsia" w:ascii="宋体" w:hAnsi="宋体" w:eastAsia="宋体" w:cs="宋体"/>
                <w:color w:val="auto"/>
                <w:sz w:val="21"/>
                <w:szCs w:val="21"/>
                <w:highlight w:val="none"/>
                <w:lang w:val="en-US" w:eastAsia="zh-CN"/>
              </w:rPr>
              <w:t>或内容不相关的</w:t>
            </w:r>
            <w:r>
              <w:rPr>
                <w:rFonts w:hint="eastAsia" w:ascii="宋体" w:hAnsi="宋体" w:eastAsia="宋体" w:cs="宋体"/>
                <w:color w:val="auto"/>
                <w:sz w:val="21"/>
                <w:szCs w:val="21"/>
                <w:highlight w:val="none"/>
              </w:rPr>
              <w:t>不得分。</w:t>
            </w:r>
          </w:p>
        </w:tc>
        <w:tc>
          <w:tcPr>
            <w:tcW w:w="537" w:type="pct"/>
            <w:tcBorders>
              <w:top w:val="single" w:color="auto" w:sz="4" w:space="0"/>
              <w:left w:val="single" w:color="auto" w:sz="4" w:space="0"/>
              <w:bottom w:val="single" w:color="auto" w:sz="4" w:space="0"/>
              <w:right w:val="single" w:color="auto" w:sz="4" w:space="0"/>
            </w:tcBorders>
            <w:vAlign w:val="center"/>
          </w:tcPr>
          <w:p w14:paraId="37B7E7D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0-9分</w:t>
            </w:r>
          </w:p>
        </w:tc>
      </w:tr>
      <w:tr w14:paraId="20CD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tcBorders>
              <w:left w:val="single" w:color="auto" w:sz="4" w:space="0"/>
              <w:right w:val="single" w:color="auto" w:sz="4" w:space="0"/>
            </w:tcBorders>
            <w:vAlign w:val="center"/>
          </w:tcPr>
          <w:p w14:paraId="28FF68F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价格分</w:t>
            </w:r>
          </w:p>
          <w:p w14:paraId="11839EE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（40分）</w:t>
            </w:r>
          </w:p>
        </w:tc>
        <w:tc>
          <w:tcPr>
            <w:tcW w:w="4260" w:type="pct"/>
            <w:gridSpan w:val="3"/>
            <w:tcBorders>
              <w:top w:val="single" w:color="auto" w:sz="4" w:space="0"/>
              <w:left w:val="single" w:color="auto" w:sz="4" w:space="0"/>
              <w:bottom w:val="single" w:color="auto" w:sz="4" w:space="0"/>
              <w:right w:val="single" w:color="auto" w:sz="4" w:space="0"/>
            </w:tcBorders>
            <w:vAlign w:val="center"/>
          </w:tcPr>
          <w:p w14:paraId="0CBA31D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价格分统一采用低价优先法，即满足招标文件要求且投标价格最低的投标报价为评标基准价，其价格分为满分</w:t>
            </w:r>
            <w:r>
              <w:rPr>
                <w:rFonts w:hint="eastAsia" w:ascii="宋体" w:hAnsi="宋体" w:eastAsia="宋体" w:cs="宋体"/>
                <w:color w:val="auto"/>
                <w:sz w:val="21"/>
                <w:szCs w:val="21"/>
                <w:highlight w:val="none"/>
                <w:u w:val="single"/>
                <w:lang w:val="en-US" w:eastAsia="zh-CN"/>
              </w:rPr>
              <w:t>40</w:t>
            </w:r>
            <w:r>
              <w:rPr>
                <w:rFonts w:hint="eastAsia" w:ascii="宋体" w:hAnsi="宋体" w:eastAsia="宋体" w:cs="宋体"/>
                <w:color w:val="auto"/>
                <w:sz w:val="21"/>
                <w:szCs w:val="21"/>
                <w:highlight w:val="none"/>
              </w:rPr>
              <w:t>分。其他投标人的价格分统一按照下列公式计算：</w:t>
            </w:r>
          </w:p>
          <w:p w14:paraId="5892C7D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u w:val="single"/>
                <w:lang w:val="en-US" w:eastAsia="zh-CN"/>
              </w:rPr>
              <w:t>40</w:t>
            </w:r>
            <w:r>
              <w:rPr>
                <w:rFonts w:hint="eastAsia" w:ascii="宋体" w:hAnsi="宋体" w:eastAsia="宋体" w:cs="宋体"/>
                <w:color w:val="auto"/>
                <w:sz w:val="21"/>
                <w:szCs w:val="21"/>
                <w:highlight w:val="none"/>
              </w:rPr>
              <w:t>％×100</w:t>
            </w:r>
          </w:p>
        </w:tc>
      </w:tr>
    </w:tbl>
    <w:p w14:paraId="2378DD7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.3.3</w:t>
      </w:r>
      <w:r>
        <w:rPr>
          <w:rFonts w:hint="eastAsia" w:ascii="宋体" w:hAnsi="宋体" w:eastAsia="宋体"/>
          <w:color w:val="auto"/>
          <w:sz w:val="24"/>
          <w:highlight w:val="none"/>
        </w:rPr>
        <w:t>分值汇总</w:t>
      </w:r>
    </w:p>
    <w:p w14:paraId="42D2D67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评标委员会各成员应当独立对每个</w:t>
      </w:r>
      <w:r>
        <w:rPr>
          <w:rFonts w:hint="eastAsia" w:ascii="宋体" w:hAnsi="宋体" w:eastAsia="宋体"/>
          <w:color w:val="auto"/>
          <w:sz w:val="24"/>
          <w:highlight w:val="none"/>
        </w:rPr>
        <w:t>有效</w:t>
      </w:r>
      <w:r>
        <w:rPr>
          <w:rFonts w:ascii="宋体" w:hAnsi="宋体" w:eastAsia="宋体"/>
          <w:color w:val="auto"/>
          <w:sz w:val="24"/>
          <w:highlight w:val="none"/>
        </w:rPr>
        <w:t>投标人的投标文件进行评</w:t>
      </w:r>
      <w:r>
        <w:rPr>
          <w:rFonts w:hint="eastAsia" w:ascii="宋体" w:hAnsi="宋体" w:eastAsia="宋体"/>
          <w:color w:val="auto"/>
          <w:sz w:val="24"/>
          <w:highlight w:val="none"/>
        </w:rPr>
        <w:t>分</w:t>
      </w:r>
      <w:r>
        <w:rPr>
          <w:rFonts w:ascii="宋体" w:hAnsi="宋体" w:eastAsia="宋体"/>
          <w:color w:val="auto"/>
          <w:sz w:val="24"/>
          <w:highlight w:val="none"/>
        </w:rPr>
        <w:t>，并汇总每个投</w:t>
      </w:r>
      <w:r>
        <w:rPr>
          <w:rFonts w:hint="eastAsia" w:ascii="宋体" w:hAnsi="宋体" w:eastAsia="宋体"/>
          <w:color w:val="auto"/>
          <w:sz w:val="24"/>
          <w:highlight w:val="none"/>
        </w:rPr>
        <w:t>标人的得分。取各位评委评分之平均值，四舍五入保留至小数点后两位数，</w:t>
      </w:r>
      <w:r>
        <w:rPr>
          <w:rFonts w:ascii="宋体" w:hAnsi="宋体" w:eastAsia="宋体"/>
          <w:color w:val="auto"/>
          <w:sz w:val="24"/>
          <w:highlight w:val="none"/>
        </w:rPr>
        <w:t>得到该投标</w:t>
      </w:r>
      <w:r>
        <w:rPr>
          <w:rFonts w:hint="eastAsia" w:ascii="宋体" w:hAnsi="宋体" w:eastAsia="宋体"/>
          <w:color w:val="auto"/>
          <w:sz w:val="24"/>
          <w:highlight w:val="none"/>
        </w:rPr>
        <w:t>人</w:t>
      </w:r>
      <w:r>
        <w:rPr>
          <w:rFonts w:ascii="宋体" w:hAnsi="宋体" w:eastAsia="宋体"/>
          <w:color w:val="auto"/>
          <w:sz w:val="24"/>
          <w:highlight w:val="none"/>
        </w:rPr>
        <w:t>的技术资信分</w:t>
      </w:r>
      <w:r>
        <w:rPr>
          <w:rFonts w:hint="eastAsia" w:ascii="宋体" w:hAnsi="宋体" w:eastAsia="宋体"/>
          <w:color w:val="auto"/>
          <w:sz w:val="24"/>
          <w:highlight w:val="none"/>
        </w:rPr>
        <w:t>。</w:t>
      </w:r>
    </w:p>
    <w:p w14:paraId="6BCE54EC">
      <w:pPr>
        <w:widowControl/>
        <w:jc w:val="left"/>
        <w:rPr>
          <w:rFonts w:asciiTheme="minorEastAsia" w:hAnsiTheme="minorEastAsia" w:eastAsiaTheme="minorEastAsia"/>
          <w:bCs/>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将投标</w:t>
      </w:r>
      <w:r>
        <w:rPr>
          <w:rFonts w:hint="eastAsia" w:ascii="宋体" w:hAnsi="宋体" w:eastAsia="宋体"/>
          <w:color w:val="auto"/>
          <w:sz w:val="24"/>
          <w:highlight w:val="none"/>
        </w:rPr>
        <w:t>人</w:t>
      </w:r>
      <w:r>
        <w:rPr>
          <w:rFonts w:ascii="宋体" w:hAnsi="宋体" w:eastAsia="宋体"/>
          <w:color w:val="auto"/>
          <w:sz w:val="24"/>
          <w:highlight w:val="none"/>
        </w:rPr>
        <w:t>的技术资信分加上根据上述标准计算出的价格分，即为该投标</w:t>
      </w:r>
      <w:r>
        <w:rPr>
          <w:rFonts w:hint="eastAsia" w:ascii="宋体" w:hAnsi="宋体" w:eastAsia="宋体"/>
          <w:color w:val="auto"/>
          <w:sz w:val="24"/>
          <w:highlight w:val="none"/>
        </w:rPr>
        <w:t>人</w:t>
      </w:r>
      <w:r>
        <w:rPr>
          <w:rFonts w:ascii="宋体" w:hAnsi="宋体" w:eastAsia="宋体"/>
          <w:color w:val="auto"/>
          <w:sz w:val="24"/>
          <w:highlight w:val="none"/>
        </w:rPr>
        <w:t>的综合总得分。</w:t>
      </w:r>
      <w:r>
        <w:rPr>
          <w:rFonts w:asciiTheme="minorEastAsia" w:hAnsiTheme="minorEastAsia" w:eastAsiaTheme="minorEastAsia"/>
          <w:bCs/>
          <w:color w:val="auto"/>
          <w:sz w:val="24"/>
          <w:highlight w:val="none"/>
        </w:rPr>
        <w:br w:type="page"/>
      </w:r>
    </w:p>
    <w:p w14:paraId="02EF3DF1">
      <w:pPr>
        <w:spacing w:line="360" w:lineRule="auto"/>
        <w:jc w:val="center"/>
        <w:outlineLvl w:val="0"/>
        <w:rPr>
          <w:rFonts w:asciiTheme="minorEastAsia" w:hAnsiTheme="minorEastAsia" w:eastAsiaTheme="minorEastAsia"/>
          <w:color w:val="auto"/>
          <w:sz w:val="24"/>
          <w:highlight w:val="none"/>
        </w:rPr>
      </w:pPr>
    </w:p>
    <w:p w14:paraId="5A3A8863">
      <w:pPr>
        <w:spacing w:line="360" w:lineRule="auto"/>
        <w:jc w:val="center"/>
        <w:outlineLvl w:val="0"/>
        <w:rPr>
          <w:rFonts w:hint="eastAsia" w:ascii="宋体" w:hAnsi="宋体" w:eastAsia="宋体"/>
          <w:b/>
          <w:color w:val="auto"/>
          <w:sz w:val="28"/>
          <w:highlight w:val="none"/>
          <w:lang w:eastAsia="zh-CN"/>
        </w:rPr>
      </w:pPr>
      <w:r>
        <w:rPr>
          <w:rFonts w:hint="eastAsia" w:ascii="宋体" w:hAnsi="宋体" w:eastAsia="宋体"/>
          <w:b/>
          <w:color w:val="auto"/>
          <w:sz w:val="28"/>
          <w:highlight w:val="none"/>
        </w:rPr>
        <w:t xml:space="preserve">第五章  </w:t>
      </w:r>
      <w:r>
        <w:rPr>
          <w:rFonts w:ascii="宋体" w:hAnsi="宋体" w:eastAsia="宋体"/>
          <w:b/>
          <w:color w:val="auto"/>
          <w:sz w:val="28"/>
          <w:highlight w:val="none"/>
        </w:rPr>
        <w:t>政府采购合同</w:t>
      </w:r>
      <w:bookmarkEnd w:id="41"/>
    </w:p>
    <w:p w14:paraId="2E9CE7C4">
      <w:pPr>
        <w:pStyle w:val="8"/>
        <w:pageBreakBefore w:val="0"/>
        <w:kinsoku/>
        <w:wordWrap/>
        <w:overflowPunct/>
        <w:topLinePunct w:val="0"/>
        <w:bidi w:val="0"/>
        <w:spacing w:after="0" w:line="360" w:lineRule="auto"/>
        <w:jc w:val="both"/>
        <w:textAlignment w:val="auto"/>
        <w:rPr>
          <w:rFonts w:hint="eastAsia" w:ascii="宋体" w:hAnsi="宋体" w:eastAsia="宋体" w:cs="宋体"/>
          <w:b/>
          <w:bCs/>
          <w:spacing w:val="-20"/>
          <w:kern w:val="44"/>
          <w:sz w:val="24"/>
          <w:szCs w:val="24"/>
          <w:highlight w:val="none"/>
        </w:rPr>
      </w:pPr>
    </w:p>
    <w:p w14:paraId="13190B5A">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36BB4363">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6C3EA4A1">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0B036B6A">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16AFEF5F">
      <w:pPr>
        <w:pStyle w:val="8"/>
        <w:rPr>
          <w:rFonts w:hint="eastAsia" w:ascii="宋体" w:hAnsi="宋体" w:eastAsia="宋体" w:cs="宋体"/>
          <w:b/>
          <w:bCs/>
          <w:spacing w:val="-20"/>
          <w:kern w:val="44"/>
          <w:sz w:val="24"/>
          <w:szCs w:val="24"/>
          <w:highlight w:val="none"/>
        </w:rPr>
      </w:pPr>
    </w:p>
    <w:p w14:paraId="1017F30A">
      <w:pPr>
        <w:pStyle w:val="8"/>
        <w:rPr>
          <w:rFonts w:hint="eastAsia" w:ascii="宋体" w:hAnsi="宋体" w:eastAsia="宋体" w:cs="宋体"/>
          <w:b/>
          <w:bCs/>
          <w:spacing w:val="-20"/>
          <w:kern w:val="44"/>
          <w:sz w:val="24"/>
          <w:szCs w:val="24"/>
          <w:highlight w:val="none"/>
        </w:rPr>
      </w:pPr>
    </w:p>
    <w:p w14:paraId="600CB460">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539898C4">
      <w:pPr>
        <w:pStyle w:val="8"/>
        <w:pageBreakBefore w:val="0"/>
        <w:kinsoku/>
        <w:wordWrap/>
        <w:overflowPunct/>
        <w:topLinePunct w:val="0"/>
        <w:bidi w:val="0"/>
        <w:spacing w:line="360" w:lineRule="auto"/>
        <w:textAlignment w:val="auto"/>
        <w:rPr>
          <w:rFonts w:hint="eastAsia"/>
          <w:highlight w:val="none"/>
        </w:rPr>
      </w:pPr>
    </w:p>
    <w:p w14:paraId="2CF1886F">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6C34BC5D">
      <w:pPr>
        <w:pageBreakBefore w:val="0"/>
        <w:kinsoku/>
        <w:wordWrap/>
        <w:overflowPunct/>
        <w:topLinePunct w:val="0"/>
        <w:bidi w:val="0"/>
        <w:spacing w:line="360" w:lineRule="auto"/>
        <w:ind w:left="420" w:leftChars="200"/>
        <w:textAlignment w:val="auto"/>
        <w:rPr>
          <w:rFonts w:hint="eastAsia" w:ascii="宋体" w:hAnsi="宋体" w:eastAsia="宋体" w:cs="Times New Roman"/>
          <w:i/>
          <w:iCs/>
          <w:color w:val="000000"/>
          <w:sz w:val="24"/>
          <w:szCs w:val="24"/>
          <w:highlight w:val="none"/>
        </w:rPr>
      </w:pPr>
      <w:r>
        <w:rPr>
          <w:rFonts w:hint="eastAsia" w:ascii="宋体" w:hAnsi="宋体" w:eastAsia="宋体" w:cs="宋体"/>
          <w:kern w:val="0"/>
          <w:sz w:val="24"/>
          <w:szCs w:val="24"/>
          <w:highlight w:val="none"/>
        </w:rPr>
        <w:t>项目名称：</w:t>
      </w:r>
      <w:r>
        <w:rPr>
          <w:rFonts w:hint="eastAsia" w:ascii="宋体" w:hAnsi="宋体" w:eastAsia="宋体" w:cs="宋体"/>
          <w:sz w:val="24"/>
          <w:szCs w:val="24"/>
          <w:highlight w:val="none"/>
          <w:u w:val="single"/>
        </w:rPr>
        <w:t xml:space="preserve">                             </w:t>
      </w:r>
    </w:p>
    <w:p w14:paraId="2B1FE3DC">
      <w:pPr>
        <w:pageBreakBefore w:val="0"/>
        <w:kinsoku/>
        <w:wordWrap/>
        <w:overflowPunct/>
        <w:topLinePunct w:val="0"/>
        <w:bidi w:val="0"/>
        <w:spacing w:line="360" w:lineRule="auto"/>
        <w:ind w:left="420" w:leftChars="200"/>
        <w:textAlignment w:val="auto"/>
        <w:rPr>
          <w:rFonts w:hint="eastAsia"/>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p>
    <w:p w14:paraId="3F9E28C9">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 xml:space="preserve">                             </w:t>
      </w:r>
    </w:p>
    <w:p w14:paraId="24C3A50D">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Times New Roman"/>
          <w:color w:val="000000"/>
          <w:sz w:val="24"/>
          <w:szCs w:val="24"/>
          <w:highlight w:val="none"/>
        </w:rPr>
        <w:t>甲方（采购人）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滁州市第二人民医院（市传染病医院、市精神病医院）</w:t>
      </w:r>
    </w:p>
    <w:p w14:paraId="6B4A075E">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Times New Roman"/>
          <w:color w:val="000000"/>
          <w:sz w:val="24"/>
          <w:szCs w:val="24"/>
          <w:highlight w:val="none"/>
        </w:rPr>
        <w:t>乙方（中标人）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0BB2E20A">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u w:val="single"/>
        </w:rPr>
        <w:t xml:space="preserve">                             </w:t>
      </w:r>
    </w:p>
    <w:p w14:paraId="171459AE">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p>
    <w:p w14:paraId="20AB5705">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3E4C12A0">
      <w:pPr>
        <w:pageBreakBefore w:val="0"/>
        <w:kinsoku/>
        <w:wordWrap/>
        <w:overflowPunct/>
        <w:topLinePunct w:val="0"/>
        <w:bidi w:val="0"/>
        <w:spacing w:line="360" w:lineRule="auto"/>
        <w:ind w:firstLine="480" w:firstLineChars="200"/>
        <w:jc w:val="both"/>
        <w:textAlignment w:val="auto"/>
        <w:rPr>
          <w:rFonts w:hint="eastAsia" w:ascii="宋体" w:hAnsi="宋体" w:eastAsia="宋体" w:cs="宋体"/>
          <w:sz w:val="24"/>
          <w:szCs w:val="24"/>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72D2B0B7">
      <w:pPr>
        <w:pageBreakBefore w:val="0"/>
        <w:kinsoku/>
        <w:wordWrap/>
        <w:overflowPunct/>
        <w:topLinePunct w:val="0"/>
        <w:bidi w:val="0"/>
        <w:spacing w:line="360" w:lineRule="auto"/>
        <w:jc w:val="center"/>
        <w:textAlignment w:val="auto"/>
        <w:outlineLvl w:val="1"/>
        <w:rPr>
          <w:rFonts w:hint="eastAsia" w:ascii="宋体" w:hAnsi="宋体" w:eastAsia="宋体" w:cs="@仿宋_GB2312"/>
          <w:b/>
          <w:color w:val="000000"/>
          <w:sz w:val="24"/>
          <w:szCs w:val="20"/>
          <w:highlight w:val="none"/>
        </w:rPr>
      </w:pPr>
      <w:bookmarkStart w:id="48" w:name="_Toc22209"/>
      <w:r>
        <w:rPr>
          <w:rFonts w:hint="eastAsia" w:ascii="宋体" w:hAnsi="宋体" w:eastAsia="宋体" w:cs="@仿宋_GB2312"/>
          <w:b/>
          <w:color w:val="000000"/>
          <w:sz w:val="24"/>
          <w:szCs w:val="20"/>
          <w:highlight w:val="none"/>
        </w:rPr>
        <w:t>第一节 政府采购合同协议书</w:t>
      </w:r>
      <w:bookmarkEnd w:id="48"/>
    </w:p>
    <w:p w14:paraId="3CFAAAC5">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rPr>
      </w:pPr>
    </w:p>
    <w:p w14:paraId="48F83BA9">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甲方（全称）：</w:t>
      </w:r>
      <w:r>
        <w:rPr>
          <w:rFonts w:hint="eastAsia" w:ascii="宋体" w:hAnsi="宋体" w:eastAsia="宋体" w:cs="宋体"/>
          <w:sz w:val="24"/>
          <w:szCs w:val="24"/>
          <w:highlight w:val="none"/>
          <w:u w:val="single"/>
          <w:lang w:eastAsia="zh-CN"/>
        </w:rPr>
        <w:t>滁州市第二人民医院（市传染病医院、市精神病医院）</w:t>
      </w:r>
    </w:p>
    <w:p w14:paraId="6C356262">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乙方（全称）：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w:t>
      </w:r>
    </w:p>
    <w:p w14:paraId="33C15F07">
      <w:pPr>
        <w:pStyle w:val="9"/>
        <w:pageBreakBefore w:val="0"/>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依据《中华人民共和国民法典》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《中华人民共和国政府采购法》等有关的法律法规，以及</w:t>
      </w:r>
      <w:r>
        <w:rPr>
          <w:rFonts w:hint="eastAsia" w:ascii="宋体" w:hAnsi="宋体" w:eastAsia="宋体" w:cs="宋体"/>
          <w:i w:val="0"/>
          <w:iCs w:val="0"/>
          <w:sz w:val="24"/>
          <w:szCs w:val="24"/>
          <w:highlight w:val="none"/>
          <w:u w:val="none"/>
          <w:lang w:eastAsia="zh-CN"/>
        </w:rPr>
        <w:t>本采购项目</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招标等</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乙方的《投标（响应）文件》及《中标（成交）通知书》，甲乙双方同意签订本合同。具体情况及要求如下：     </w:t>
      </w:r>
    </w:p>
    <w:p w14:paraId="5BE828F6">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项目信息</w:t>
      </w:r>
    </w:p>
    <w:p w14:paraId="40CE4D0A">
      <w:pPr>
        <w:pStyle w:val="9"/>
        <w:pageBreakBefore w:val="0"/>
        <w:numPr>
          <w:ilvl w:val="0"/>
          <w:numId w:val="2"/>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滁州市第二人民医院被服洗涤服务采购项目</w:t>
      </w:r>
      <w:r>
        <w:rPr>
          <w:rFonts w:hint="eastAsia" w:ascii="宋体" w:hAnsi="宋体" w:eastAsia="宋体" w:cs="宋体"/>
          <w:sz w:val="24"/>
          <w:szCs w:val="24"/>
          <w:highlight w:val="none"/>
          <w:u w:val="single"/>
        </w:rPr>
        <w:t xml:space="preserve"> </w:t>
      </w:r>
    </w:p>
    <w:p w14:paraId="6AAE4482">
      <w:pPr>
        <w:pStyle w:val="9"/>
        <w:pageBreakBefore w:val="0"/>
        <w:numPr>
          <w:ilvl w:val="0"/>
          <w:numId w:val="2"/>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采购项目编号：</w:t>
      </w:r>
      <w:r>
        <w:rPr>
          <w:rFonts w:hint="eastAsia" w:ascii="宋体" w:hAnsi="宋体" w:eastAsia="宋体" w:cs="宋体"/>
          <w:sz w:val="24"/>
          <w:szCs w:val="24"/>
          <w:highlight w:val="none"/>
          <w:u w:val="single"/>
          <w:lang w:eastAsia="zh-CN"/>
        </w:rPr>
        <w:t>CZEY-2025001</w:t>
      </w:r>
      <w:r>
        <w:rPr>
          <w:rFonts w:hint="eastAsia" w:ascii="宋体" w:hAnsi="宋体" w:eastAsia="宋体" w:cs="宋体"/>
          <w:sz w:val="24"/>
          <w:szCs w:val="24"/>
          <w:highlight w:val="none"/>
          <w:u w:val="single"/>
        </w:rPr>
        <w:t xml:space="preserve"> </w:t>
      </w:r>
    </w:p>
    <w:p w14:paraId="6A58944D">
      <w:pPr>
        <w:pStyle w:val="9"/>
        <w:pageBreakBefore w:val="0"/>
        <w:numPr>
          <w:ilvl w:val="0"/>
          <w:numId w:val="2"/>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p w14:paraId="69EECCC5">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采购标的及数量：</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p>
    <w:p w14:paraId="7AF6F0B4">
      <w:pPr>
        <w:pageBreakBefore w:val="0"/>
        <w:numPr>
          <w:ilvl w:val="-1"/>
          <w:numId w:val="0"/>
        </w:numP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iCs w:val="0"/>
          <w:sz w:val="24"/>
          <w:szCs w:val="24"/>
          <w:highlight w:val="none"/>
          <w:lang w:val="en-US" w:eastAsia="zh-CN"/>
        </w:rPr>
      </w:pPr>
      <w:r>
        <w:rPr>
          <w:rFonts w:hint="eastAsia" w:ascii="宋体" w:hAnsi="宋体" w:eastAsia="宋体" w:cs="宋体"/>
          <w:iCs w:val="0"/>
          <w:sz w:val="24"/>
          <w:szCs w:val="24"/>
          <w:highlight w:val="none"/>
          <w:lang w:val="en-US" w:eastAsia="zh-CN"/>
        </w:rPr>
        <w:t>（</w:t>
      </w:r>
      <w:r>
        <w:rPr>
          <w:rFonts w:hint="eastAsia" w:ascii="宋体" w:hAnsi="宋体" w:eastAsia="宋体" w:cs="宋体"/>
          <w:iCs w:val="0"/>
          <w:sz w:val="24"/>
          <w:szCs w:val="24"/>
          <w:highlight w:val="none"/>
          <w:lang w:eastAsia="zh-CN"/>
        </w:rPr>
        <w:t>4</w:t>
      </w:r>
      <w:r>
        <w:rPr>
          <w:rFonts w:hint="eastAsia" w:ascii="宋体" w:hAnsi="宋体" w:eastAsia="宋体" w:cs="宋体"/>
          <w:iCs w:val="0"/>
          <w:sz w:val="24"/>
          <w:szCs w:val="24"/>
          <w:highlight w:val="none"/>
          <w:lang w:val="en-US" w:eastAsia="zh-CN"/>
        </w:rPr>
        <w:t>）政府采购组织形式：分散采购</w:t>
      </w:r>
    </w:p>
    <w:p w14:paraId="080D590B">
      <w:pPr>
        <w:pStyle w:val="58"/>
        <w:pageBreakBefore w:val="0"/>
        <w:numPr>
          <w:ilvl w:val="-1"/>
          <w:numId w:val="0"/>
        </w:numPr>
        <w:kinsoku/>
        <w:wordWrap/>
        <w:overflowPunct/>
        <w:topLinePunct w:val="0"/>
        <w:bidi w:val="0"/>
        <w:adjustRightInd w:val="0"/>
        <w:snapToGrid w:val="0"/>
        <w:spacing w:before="0" w:line="360" w:lineRule="auto"/>
        <w:ind w:left="0" w:firstLine="420" w:firstLineChars="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iCs w:val="0"/>
          <w:sz w:val="24"/>
          <w:szCs w:val="24"/>
          <w:highlight w:val="none"/>
          <w:lang w:val="en-US" w:eastAsia="zh-CN"/>
        </w:rPr>
        <w:t>（</w:t>
      </w:r>
      <w:r>
        <w:rPr>
          <w:rFonts w:hint="eastAsia" w:ascii="宋体" w:hAnsi="宋体" w:eastAsia="宋体" w:cs="宋体"/>
          <w:iCs w:val="0"/>
          <w:sz w:val="24"/>
          <w:szCs w:val="24"/>
          <w:highlight w:val="none"/>
          <w:lang w:eastAsia="zh-CN"/>
        </w:rPr>
        <w:t>5</w:t>
      </w:r>
      <w:r>
        <w:rPr>
          <w:rFonts w:hint="eastAsia" w:ascii="宋体" w:hAnsi="宋体" w:eastAsia="宋体" w:cs="宋体"/>
          <w:iCs w:val="0"/>
          <w:sz w:val="24"/>
          <w:szCs w:val="24"/>
          <w:highlight w:val="none"/>
          <w:lang w:val="en-US" w:eastAsia="zh-CN"/>
        </w:rPr>
        <w:t>）政府采购方式：</w:t>
      </w:r>
      <w:r>
        <w:rPr>
          <w:rFonts w:hint="eastAsia" w:ascii="宋体" w:hAnsi="宋体" w:eastAsia="宋体" w:cs="宋体"/>
          <w:iCs w:val="0"/>
          <w:sz w:val="24"/>
          <w:szCs w:val="24"/>
          <w:highlight w:val="none"/>
          <w:lang w:eastAsia="zh-CN"/>
        </w:rPr>
        <w:t>公开招标</w:t>
      </w:r>
      <w:r>
        <w:rPr>
          <w:rFonts w:hint="eastAsia" w:ascii="宋体" w:hAnsi="宋体" w:eastAsia="宋体" w:cs="宋体"/>
          <w:iCs w:val="0"/>
          <w:sz w:val="24"/>
          <w:szCs w:val="24"/>
          <w:highlight w:val="none"/>
          <w:lang w:val="en-US" w:eastAsia="zh-CN"/>
        </w:rPr>
        <w:t xml:space="preserve"> </w:t>
      </w:r>
    </w:p>
    <w:p w14:paraId="7627F33A">
      <w:pPr>
        <w:pageBreakBefore w:val="0"/>
        <w:numPr>
          <w:ilvl w:val="-1"/>
          <w:numId w:val="0"/>
        </w:numPr>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iCs/>
          <w:sz w:val="24"/>
          <w:szCs w:val="24"/>
          <w:highlight w:val="none"/>
        </w:rPr>
      </w:pPr>
      <w:r>
        <w:rPr>
          <w:rFonts w:hint="eastAsia" w:ascii="宋体" w:hAnsi="宋体" w:eastAsia="宋体" w:cs="宋体"/>
          <w:sz w:val="24"/>
          <w:szCs w:val="24"/>
          <w:highlight w:val="none"/>
          <w:u w:val="none"/>
          <w:lang w:val="en-US" w:eastAsia="zh-CN"/>
        </w:rPr>
        <w:t xml:space="preserve">    （6）中标（成交）供应商是否为外商投资企业：</w:t>
      </w:r>
      <w:r>
        <w:rPr>
          <w:rFonts w:hint="eastAsia" w:ascii="宋体" w:hAnsi="宋体" w:eastAsia="宋体" w:cs="宋体"/>
          <w:iCs/>
          <w:sz w:val="24"/>
          <w:szCs w:val="24"/>
          <w:highlight w:val="none"/>
        </w:rPr>
        <w:t>否</w:t>
      </w:r>
    </w:p>
    <w:p w14:paraId="1FFED41C">
      <w:pPr>
        <w:pageBreakBefore w:val="0"/>
        <w:numPr>
          <w:ilvl w:val="-1"/>
          <w:numId w:val="0"/>
        </w:numP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w:t>
      </w:r>
      <w:r>
        <w:rPr>
          <w:rFonts w:hint="eastAsia" w:ascii="宋体" w:hAnsi="宋体" w:eastAsia="宋体" w:cs="宋体"/>
          <w:b w:val="0"/>
          <w:bCs w:val="0"/>
          <w:sz w:val="24"/>
          <w:szCs w:val="24"/>
          <w:highlight w:val="none"/>
          <w:u w:val="none"/>
          <w:lang w:eastAsia="zh-CN"/>
        </w:rPr>
        <w:t>9</w:t>
      </w:r>
      <w:r>
        <w:rPr>
          <w:rFonts w:hint="eastAsia" w:ascii="宋体" w:hAnsi="宋体" w:eastAsia="宋体" w:cs="宋体"/>
          <w:b w:val="0"/>
          <w:bCs w:val="0"/>
          <w:sz w:val="24"/>
          <w:szCs w:val="24"/>
          <w:highlight w:val="none"/>
          <w:u w:val="none"/>
          <w:lang w:val="en-US" w:eastAsia="zh-CN"/>
        </w:rPr>
        <w:t>）是否涉及进口产品：</w:t>
      </w:r>
    </w:p>
    <w:p w14:paraId="4149E78D">
      <w:pPr>
        <w:pageBreakBefore w:val="0"/>
        <w:kinsoku/>
        <w:wordWrap/>
        <w:overflowPunct/>
        <w:topLinePunct w:val="0"/>
        <w:bidi w:val="0"/>
        <w:adjustRightInd w:val="0"/>
        <w:snapToGrid w:val="0"/>
        <w:spacing w:before="0" w:line="360" w:lineRule="auto"/>
        <w:ind w:firstLine="960" w:firstLineChars="4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eastAsia="zh-CN"/>
        </w:rPr>
        <w:t>否</w:t>
      </w:r>
    </w:p>
    <w:p w14:paraId="7CBDC87E">
      <w:pPr>
        <w:pageBreakBefore w:val="0"/>
        <w:numPr>
          <w:ilvl w:val="-1"/>
          <w:numId w:val="0"/>
        </w:numPr>
        <w:tabs>
          <w:tab w:val="left" w:pos="740"/>
        </w:tabs>
        <w:kinsoku/>
        <w:wordWrap/>
        <w:overflowPunct/>
        <w:topLinePunct w:val="0"/>
        <w:bidi w:val="0"/>
        <w:adjustRightInd w:val="0"/>
        <w:snapToGrid w:val="0"/>
        <w:spacing w:before="0" w:line="360" w:lineRule="auto"/>
        <w:ind w:left="0" w:firstLine="0" w:firstLineChars="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 xml:space="preserve">    （1</w:t>
      </w:r>
      <w:r>
        <w:rPr>
          <w:rFonts w:hint="eastAsia" w:ascii="宋体" w:hAnsi="宋体" w:eastAsia="宋体" w:cs="宋体"/>
          <w:b w:val="0"/>
          <w:bCs w:val="0"/>
          <w:sz w:val="24"/>
          <w:szCs w:val="24"/>
          <w:highlight w:val="none"/>
          <w:u w:val="none"/>
          <w:lang w:eastAsia="zh-CN"/>
        </w:rPr>
        <w:t>0</w:t>
      </w:r>
      <w:r>
        <w:rPr>
          <w:rFonts w:hint="eastAsia" w:ascii="宋体" w:hAnsi="宋体" w:eastAsia="宋体" w:cs="宋体"/>
          <w:b w:val="0"/>
          <w:bCs w:val="0"/>
          <w:sz w:val="24"/>
          <w:szCs w:val="24"/>
          <w:highlight w:val="none"/>
          <w:u w:val="none"/>
          <w:lang w:val="en-US" w:eastAsia="zh-CN"/>
        </w:rPr>
        <w:t>）是否涉及节能产品：</w:t>
      </w:r>
    </w:p>
    <w:p w14:paraId="43621AB3">
      <w:pPr>
        <w:pageBreakBefore w:val="0"/>
        <w:numPr>
          <w:ilvl w:val="-1"/>
          <w:numId w:val="0"/>
        </w:numPr>
        <w:tabs>
          <w:tab w:val="left" w:pos="740"/>
        </w:tabs>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iCs w:val="0"/>
          <w:sz w:val="24"/>
          <w:szCs w:val="24"/>
          <w:highlight w:val="none"/>
        </w:rPr>
      </w:pPr>
      <w:r>
        <w:rPr>
          <w:rFonts w:hint="eastAsia" w:ascii="宋体" w:hAnsi="宋体" w:eastAsia="宋体" w:cs="宋体"/>
          <w:b w:val="0"/>
          <w:bCs w:val="0"/>
          <w:sz w:val="24"/>
          <w:szCs w:val="24"/>
          <w:highlight w:val="none"/>
          <w:u w:val="none"/>
          <w:lang w:val="en-US" w:eastAsia="zh-CN"/>
        </w:rPr>
        <w:t xml:space="preserve">    </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rPr>
        <w:t>否</w:t>
      </w:r>
    </w:p>
    <w:p w14:paraId="467134F0">
      <w:pPr>
        <w:pageBreakBefore w:val="0"/>
        <w:numPr>
          <w:ilvl w:val="-1"/>
          <w:numId w:val="0"/>
        </w:numPr>
        <w:tabs>
          <w:tab w:val="left" w:pos="740"/>
        </w:tabs>
        <w:kinsoku/>
        <w:wordWrap/>
        <w:overflowPunct/>
        <w:topLinePunct w:val="0"/>
        <w:bidi w:val="0"/>
        <w:adjustRightInd w:val="0"/>
        <w:snapToGrid w:val="0"/>
        <w:spacing w:before="0" w:line="360" w:lineRule="auto"/>
        <w:ind w:left="0" w:firstLine="0" w:firstLineChars="0"/>
        <w:textAlignment w:val="auto"/>
        <w:rPr>
          <w:rFonts w:hint="eastAsia" w:ascii="宋体" w:hAnsi="宋体" w:eastAsia="宋体" w:cs="宋体"/>
          <w:iCs w:val="0"/>
          <w:sz w:val="24"/>
          <w:szCs w:val="24"/>
          <w:highlight w:val="none"/>
          <w:lang w:val="en-US" w:eastAsia="zh-CN"/>
        </w:rPr>
      </w:pPr>
      <w:r>
        <w:rPr>
          <w:rFonts w:hint="eastAsia" w:ascii="宋体" w:hAnsi="宋体" w:eastAsia="宋体" w:cs="宋体"/>
          <w:b w:val="0"/>
          <w:bCs w:val="0"/>
          <w:sz w:val="24"/>
          <w:szCs w:val="24"/>
          <w:highlight w:val="none"/>
          <w:u w:val="none"/>
          <w:lang w:val="en-US" w:eastAsia="zh-CN"/>
        </w:rPr>
        <w:t xml:space="preserve">          是否涉及环境标志产品：</w:t>
      </w:r>
      <w:r>
        <w:rPr>
          <w:rFonts w:hint="eastAsia" w:ascii="宋体" w:hAnsi="宋体" w:eastAsia="宋体" w:cs="宋体"/>
          <w:sz w:val="24"/>
          <w:szCs w:val="24"/>
          <w:highlight w:val="none"/>
          <w:lang w:val="en-US" w:eastAsia="zh-CN"/>
        </w:rPr>
        <w:t xml:space="preserve">  </w:t>
      </w:r>
    </w:p>
    <w:p w14:paraId="177CCD5D">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017693E8">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（1）合同金额小写：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78CC426B">
      <w:pPr>
        <w:pageBreakBefore w:val="0"/>
        <w:kinsoku/>
        <w:wordWrap/>
        <w:overflowPunct/>
        <w:topLinePunct w:val="0"/>
        <w:bidi w:val="0"/>
        <w:adjustRightInd w:val="0"/>
        <w:snapToGrid w:val="0"/>
        <w:spacing w:before="0" w:line="360" w:lineRule="auto"/>
        <w:ind w:left="0" w:firstLine="0" w:firstLineChars="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3954CE94">
      <w:pPr>
        <w:pageBreakBefore w:val="0"/>
        <w:numPr>
          <w:ilvl w:val="-1"/>
          <w:numId w:val="0"/>
        </w:numPr>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合同定价方式</w:t>
      </w:r>
      <w:r>
        <w:rPr>
          <w:rFonts w:hint="eastAsia" w:ascii="宋体" w:hAnsi="宋体" w:eastAsia="宋体" w:cs="宋体"/>
          <w:sz w:val="24"/>
          <w:szCs w:val="24"/>
          <w:highlight w:val="none"/>
          <w:lang w:eastAsia="zh-CN"/>
        </w:rPr>
        <w:t>（采用组合定价方式的，可以勾选多项）</w:t>
      </w:r>
      <w:r>
        <w:rPr>
          <w:rFonts w:hint="eastAsia" w:ascii="宋体" w:hAnsi="宋体" w:eastAsia="宋体" w:cs="宋体"/>
          <w:sz w:val="24"/>
          <w:szCs w:val="24"/>
          <w:highlight w:val="none"/>
        </w:rPr>
        <w:t>：</w:t>
      </w:r>
    </w:p>
    <w:p w14:paraId="2C26EA48">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固定总价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固定单价</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固定费率</w:t>
      </w: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成本补偿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绩效激励</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其他</w:t>
      </w:r>
      <w:r>
        <w:rPr>
          <w:rFonts w:hint="eastAsia" w:ascii="宋体" w:hAnsi="宋体" w:eastAsia="宋体" w:cs="宋体"/>
          <w:sz w:val="24"/>
          <w:szCs w:val="24"/>
          <w:highlight w:val="none"/>
          <w:u w:val="single"/>
        </w:rPr>
        <w:t xml:space="preserve">       </w:t>
      </w:r>
    </w:p>
    <w:p w14:paraId="012A70D9">
      <w:pPr>
        <w:pStyle w:val="59"/>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）付款方式（按项目实际勾选填写）：</w:t>
      </w:r>
    </w:p>
    <w:p w14:paraId="5D5A8345">
      <w:pPr>
        <w:pageBreakBefore w:val="0"/>
        <w:kinsoku/>
        <w:wordWrap/>
        <w:overflowPunct/>
        <w:topLinePunct w:val="0"/>
        <w:bidi w:val="0"/>
        <w:adjustRightInd w:val="0"/>
        <w:snapToGrid w:val="0"/>
        <w:spacing w:before="0" w:line="360" w:lineRule="auto"/>
        <w:ind w:firstLine="720" w:firstLineChars="3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全额付款：</w:t>
      </w:r>
      <w:r>
        <w:rPr>
          <w:rFonts w:hint="eastAsia" w:ascii="宋体" w:hAnsi="宋体" w:eastAsia="宋体" w:cs="宋体"/>
          <w:sz w:val="24"/>
          <w:szCs w:val="24"/>
          <w:highlight w:val="none"/>
          <w:u w:val="single"/>
        </w:rPr>
        <w:t xml:space="preserve">     （应</w:t>
      </w:r>
      <w:r>
        <w:rPr>
          <w:rFonts w:hint="eastAsia" w:ascii="宋体" w:hAnsi="宋体" w:eastAsia="宋体" w:cs="宋体"/>
          <w:sz w:val="24"/>
          <w:szCs w:val="24"/>
          <w:highlight w:val="none"/>
          <w:u w:val="single"/>
          <w:lang w:eastAsia="zh-CN"/>
        </w:rPr>
        <w:t>明确</w:t>
      </w:r>
      <w:r>
        <w:rPr>
          <w:rFonts w:hint="eastAsia" w:ascii="宋体" w:hAnsi="宋体" w:eastAsia="宋体" w:cs="宋体"/>
          <w:sz w:val="24"/>
          <w:szCs w:val="24"/>
          <w:highlight w:val="none"/>
          <w:u w:val="single"/>
        </w:rPr>
        <w:t>一次性支付合同款项</w:t>
      </w:r>
      <w:r>
        <w:rPr>
          <w:rFonts w:hint="eastAsia" w:ascii="宋体" w:hAnsi="宋体" w:eastAsia="宋体" w:cs="宋体"/>
          <w:sz w:val="24"/>
          <w:szCs w:val="24"/>
          <w:highlight w:val="none"/>
          <w:u w:val="single"/>
          <w:lang w:eastAsia="zh-CN"/>
        </w:rPr>
        <w:t>的条件</w:t>
      </w:r>
      <w:r>
        <w:rPr>
          <w:rFonts w:hint="eastAsia" w:ascii="宋体" w:hAnsi="宋体" w:eastAsia="宋体" w:cs="宋体"/>
          <w:sz w:val="24"/>
          <w:szCs w:val="24"/>
          <w:highlight w:val="none"/>
          <w:u w:val="single"/>
        </w:rPr>
        <w:t xml:space="preserve">）                    </w:t>
      </w:r>
    </w:p>
    <w:p w14:paraId="260B648C">
      <w:pPr>
        <w:pageBreakBefore w:val="0"/>
        <w:kinsoku/>
        <w:wordWrap/>
        <w:overflowPunct/>
        <w:topLinePunct w:val="0"/>
        <w:bidi w:val="0"/>
        <w:snapToGrid w:val="0"/>
        <w:spacing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分期付款：</w:t>
      </w:r>
      <w:r>
        <w:rPr>
          <w:rFonts w:hint="eastAsia" w:ascii="宋体" w:hAnsi="宋体" w:eastAsia="宋体" w:cs="宋体"/>
          <w:sz w:val="24"/>
          <w:szCs w:val="24"/>
          <w:highlight w:val="none"/>
          <w:u w:val="single"/>
        </w:rPr>
        <w:t xml:space="preserve">  （应明确分期支付合同款项的各期比例和支付条件</w:t>
      </w:r>
      <w:r>
        <w:rPr>
          <w:rFonts w:hint="eastAsia" w:ascii="宋体" w:hAnsi="宋体" w:eastAsia="宋体" w:cs="宋体"/>
          <w:sz w:val="24"/>
          <w:szCs w:val="24"/>
          <w:highlight w:val="none"/>
          <w:u w:val="single"/>
          <w:lang w:eastAsia="zh-CN"/>
        </w:rPr>
        <w:t>，各期支付条件应与分期履约验收情况挂钩</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lang w:eastAsia="zh-CN"/>
        </w:rPr>
        <w:t>其中涉及预付款的</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（应明确预付款的支付比例和支付条件） </w:t>
      </w:r>
    </w:p>
    <w:p w14:paraId="7C200095">
      <w:pPr>
        <w:pageBreakBefore w:val="0"/>
        <w:kinsoku/>
        <w:wordWrap/>
        <w:overflowPunct/>
        <w:topLinePunct w:val="0"/>
        <w:bidi w:val="0"/>
        <w:adjustRightInd w:val="0"/>
        <w:snapToGrid w:val="0"/>
        <w:spacing w:before="0" w:line="360" w:lineRule="auto"/>
        <w:ind w:firstLine="720" w:firstLineChars="3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成本补偿：</w:t>
      </w:r>
      <w:r>
        <w:rPr>
          <w:rFonts w:hint="eastAsia" w:ascii="宋体" w:hAnsi="宋体" w:eastAsia="宋体" w:cs="宋体"/>
          <w:sz w:val="24"/>
          <w:szCs w:val="24"/>
          <w:highlight w:val="none"/>
          <w:u w:val="single"/>
        </w:rPr>
        <w:t xml:space="preserve">      （应明确按照成本补偿方式的支付方式和支付条件）   </w:t>
      </w:r>
    </w:p>
    <w:p w14:paraId="0B986212">
      <w:pPr>
        <w:pageBreakBefore w:val="0"/>
        <w:kinsoku/>
        <w:wordWrap/>
        <w:overflowPunct/>
        <w:topLinePunct w:val="0"/>
        <w:bidi w:val="0"/>
        <w:adjustRightInd w:val="0"/>
        <w:snapToGrid w:val="0"/>
        <w:spacing w:before="0"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绩效激励：</w:t>
      </w:r>
      <w:r>
        <w:rPr>
          <w:rFonts w:hint="eastAsia" w:ascii="宋体" w:hAnsi="宋体" w:eastAsia="宋体" w:cs="宋体"/>
          <w:sz w:val="24"/>
          <w:szCs w:val="24"/>
          <w:highlight w:val="none"/>
          <w:u w:val="single"/>
        </w:rPr>
        <w:t xml:space="preserve">      （应明确按照绩效激励方式的支付方式和支付条件）   </w:t>
      </w:r>
    </w:p>
    <w:p w14:paraId="08D9228F">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bCs w:val="0"/>
          <w:sz w:val="24"/>
          <w:szCs w:val="24"/>
          <w:highlight w:val="none"/>
          <w:u w:val="single"/>
        </w:rPr>
      </w:pPr>
      <w:r>
        <w:rPr>
          <w:rFonts w:hint="eastAsia" w:ascii="宋体" w:hAnsi="宋体" w:eastAsia="宋体" w:cs="宋体"/>
          <w:b/>
          <w:bCs w:val="0"/>
          <w:sz w:val="24"/>
          <w:szCs w:val="24"/>
          <w:highlight w:val="none"/>
        </w:rPr>
        <w:t>合同履行</w:t>
      </w:r>
    </w:p>
    <w:p w14:paraId="7D1D86C2">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（1）起始日期：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日，完成日期：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009F9D0">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履约</w:t>
      </w:r>
      <w:r>
        <w:rPr>
          <w:rFonts w:hint="eastAsia" w:ascii="宋体" w:hAnsi="宋体" w:eastAsia="宋体" w:cs="宋体"/>
          <w:sz w:val="24"/>
          <w:szCs w:val="24"/>
          <w:highlight w:val="none"/>
        </w:rPr>
        <w:t>地点</w:t>
      </w:r>
      <w:r>
        <w:rPr>
          <w:rFonts w:hint="eastAsia" w:ascii="宋体" w:hAnsi="宋体" w:eastAsia="宋体" w:cs="宋体"/>
          <w:b w:val="0"/>
          <w:bCs/>
          <w:sz w:val="24"/>
          <w:szCs w:val="24"/>
          <w:highlight w:val="none"/>
        </w:rPr>
        <w:t>：</w:t>
      </w:r>
      <w:r>
        <w:rPr>
          <w:rFonts w:hint="eastAsia" w:ascii="宋体" w:hAnsi="宋体" w:eastAsia="宋体" w:cs="宋体"/>
          <w:sz w:val="24"/>
          <w:szCs w:val="24"/>
          <w:highlight w:val="none"/>
          <w:u w:val="single"/>
        </w:rPr>
        <w:t xml:space="preserve">                             </w:t>
      </w:r>
    </w:p>
    <w:p w14:paraId="301C8F2E">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rPr>
        <w:t>（3）履约担保：</w:t>
      </w:r>
      <w:r>
        <w:rPr>
          <w:rFonts w:hint="eastAsia" w:ascii="宋体" w:hAnsi="宋体" w:eastAsia="宋体" w:cs="宋体"/>
          <w:sz w:val="24"/>
          <w:szCs w:val="24"/>
          <w:highlight w:val="none"/>
          <w:lang w:val="en-US" w:eastAsia="zh-CN"/>
        </w:rPr>
        <w:t>是否收取履约保证金：</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lang w:eastAsia="zh-CN"/>
        </w:rPr>
        <w:t>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lang w:eastAsia="zh-CN"/>
        </w:rPr>
        <w:t>否</w:t>
      </w:r>
    </w:p>
    <w:p w14:paraId="3855F0B8">
      <w:pPr>
        <w:pStyle w:val="58"/>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u w:val="none"/>
          <w:lang w:val="en-US" w:eastAsia="zh-CN"/>
        </w:rPr>
        <w:t xml:space="preserve">  </w:t>
      </w:r>
      <w:r>
        <w:rPr>
          <w:rFonts w:hint="eastAsia" w:ascii="宋体" w:hAnsi="宋体" w:eastAsia="宋体" w:cs="宋体"/>
          <w:sz w:val="24"/>
          <w:szCs w:val="24"/>
          <w:highlight w:val="none"/>
          <w:lang w:val="en-US" w:eastAsia="zh-CN"/>
        </w:rPr>
        <w:t xml:space="preserve">  收取履约保证金形式：</w:t>
      </w:r>
      <w:r>
        <w:rPr>
          <w:rFonts w:hint="eastAsia" w:ascii="宋体" w:hAnsi="宋体" w:eastAsia="宋体" w:cs="宋体"/>
          <w:bCs/>
          <w:sz w:val="24"/>
          <w:szCs w:val="24"/>
          <w:highlight w:val="none"/>
          <w:u w:val="single"/>
        </w:rPr>
        <w:t xml:space="preserve">                            </w:t>
      </w:r>
    </w:p>
    <w:p w14:paraId="4815D15A">
      <w:pPr>
        <w:pStyle w:val="58"/>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收取履约保证金金额：</w:t>
      </w:r>
      <w:r>
        <w:rPr>
          <w:rFonts w:hint="eastAsia" w:ascii="宋体" w:hAnsi="宋体" w:eastAsia="宋体" w:cs="宋体"/>
          <w:bCs/>
          <w:sz w:val="24"/>
          <w:szCs w:val="24"/>
          <w:highlight w:val="none"/>
          <w:u w:val="single"/>
        </w:rPr>
        <w:t xml:space="preserve">                            </w:t>
      </w:r>
    </w:p>
    <w:p w14:paraId="4F4F18DD">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u w:val="none"/>
          <w:lang w:val="en-US" w:eastAsia="zh-CN"/>
        </w:rPr>
        <w:t xml:space="preserve">    履约担保期限</w:t>
      </w:r>
      <w:r>
        <w:rPr>
          <w:rFonts w:hint="eastAsia" w:ascii="宋体" w:hAnsi="宋体" w:eastAsia="宋体" w:cs="宋体"/>
          <w:bCs/>
          <w:sz w:val="24"/>
          <w:szCs w:val="24"/>
          <w:highlight w:val="none"/>
          <w:u w:val="none"/>
          <w:lang w:eastAsia="zh-CN"/>
        </w:rPr>
        <w:t>：</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p>
    <w:p w14:paraId="74DE52E7">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（4）分期履行要求：</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p>
    <w:p w14:paraId="3583D709">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eastAsia="zh-CN"/>
        </w:rPr>
        <w:t>风险处置措施和替代方案</w:t>
      </w:r>
      <w:r>
        <w:rPr>
          <w:rFonts w:hint="eastAsia" w:ascii="宋体" w:hAnsi="宋体" w:eastAsia="宋体" w:cs="宋体"/>
          <w:bCs/>
          <w:sz w:val="24"/>
          <w:szCs w:val="24"/>
          <w:highlight w:val="none"/>
        </w:rPr>
        <w:t>：</w:t>
      </w:r>
      <w:r>
        <w:rPr>
          <w:rFonts w:hint="eastAsia" w:ascii="宋体" w:hAnsi="宋体" w:eastAsia="宋体" w:cs="宋体"/>
          <w:color w:val="0000FF"/>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sz w:val="24"/>
          <w:szCs w:val="24"/>
          <w:highlight w:val="none"/>
          <w:u w:val="single"/>
        </w:rPr>
        <w:t xml:space="preserve">                                                </w:t>
      </w:r>
    </w:p>
    <w:p w14:paraId="4EEB5511">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合同验收</w:t>
      </w:r>
    </w:p>
    <w:p w14:paraId="7C81A33D">
      <w:pPr>
        <w:pageBreakBefore w:val="0"/>
        <w:numPr>
          <w:ilvl w:val="0"/>
          <w:numId w:val="3"/>
        </w:numP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验收组织方式：</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自行组织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委托第三方组织</w:t>
      </w:r>
    </w:p>
    <w:p w14:paraId="2789C244">
      <w:pPr>
        <w:pageBreakBefore w:val="0"/>
        <w:numPr>
          <w:ilvl w:val="0"/>
          <w:numId w:val="0"/>
        </w:numPr>
        <w:kinsoku/>
        <w:wordWrap/>
        <w:overflowPunct/>
        <w:topLinePunct w:val="0"/>
        <w:bidi w:val="0"/>
        <w:adjustRightInd w:val="0"/>
        <w:snapToGrid w:val="0"/>
        <w:spacing w:before="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验收主体：</w:t>
      </w:r>
      <w:r>
        <w:rPr>
          <w:rFonts w:hint="eastAsia" w:ascii="宋体" w:hAnsi="宋体" w:eastAsia="宋体" w:cs="宋体"/>
          <w:bCs/>
          <w:sz w:val="24"/>
          <w:szCs w:val="24"/>
          <w:highlight w:val="none"/>
          <w:u w:val="single"/>
          <w:lang w:val="en-US" w:eastAsia="zh-CN"/>
        </w:rPr>
        <w:t>滁州市第二人民医院</w:t>
      </w:r>
      <w:r>
        <w:rPr>
          <w:rFonts w:hint="eastAsia" w:ascii="宋体" w:hAnsi="宋体" w:eastAsia="宋体" w:cs="宋体"/>
          <w:bCs/>
          <w:sz w:val="24"/>
          <w:szCs w:val="24"/>
          <w:highlight w:val="none"/>
          <w:u w:val="single"/>
        </w:rPr>
        <w:t xml:space="preserve">  </w:t>
      </w:r>
    </w:p>
    <w:p w14:paraId="1A03F984">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（2）履约验收时间：</w:t>
      </w:r>
      <w:r>
        <w:rPr>
          <w:rFonts w:hint="eastAsia" w:ascii="宋体" w:hAnsi="宋体" w:eastAsia="宋体" w:cs="宋体"/>
          <w:bCs/>
          <w:sz w:val="24"/>
          <w:szCs w:val="24"/>
          <w:highlight w:val="none"/>
          <w:u w:val="single"/>
        </w:rPr>
        <w:t>（计划于何时验收/供应商提出验收申请之日起   日内组织验收）</w:t>
      </w:r>
      <w:r>
        <w:rPr>
          <w:rFonts w:hint="eastAsia" w:ascii="宋体" w:hAnsi="宋体" w:eastAsia="宋体" w:cs="宋体"/>
          <w:bCs/>
          <w:sz w:val="24"/>
          <w:szCs w:val="24"/>
          <w:highlight w:val="none"/>
          <w:u w:val="single"/>
          <w:lang w:val="en-US" w:eastAsia="zh-CN"/>
        </w:rPr>
        <w:t xml:space="preserve"> </w:t>
      </w:r>
    </w:p>
    <w:p w14:paraId="53D25BCC">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（3）履约验收方式：</w:t>
      </w:r>
      <w:r>
        <w:rPr>
          <w:rFonts w:hint="eastAsia" w:ascii="宋体" w:hAnsi="宋体" w:eastAsia="宋体" w:cs="宋体"/>
          <w:sz w:val="24"/>
          <w:szCs w:val="24"/>
          <w:highlight w:val="none"/>
        </w:rPr>
        <w:sym w:font="Wingdings" w:char="00FE"/>
      </w:r>
      <w:r>
        <w:rPr>
          <w:rFonts w:hint="eastAsia" w:ascii="宋体" w:hAnsi="宋体" w:eastAsia="宋体" w:cs="宋体"/>
          <w:bCs/>
          <w:sz w:val="24"/>
          <w:szCs w:val="24"/>
          <w:highlight w:val="none"/>
        </w:rPr>
        <w:t xml:space="preserve">一次性验收         </w:t>
      </w:r>
    </w:p>
    <w:p w14:paraId="40B3F06C">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（4）履约验收程序：</w:t>
      </w:r>
      <w:r>
        <w:rPr>
          <w:rFonts w:hint="eastAsia" w:ascii="宋体" w:hAnsi="宋体" w:eastAsia="宋体" w:cs="宋体"/>
          <w:bCs/>
          <w:sz w:val="24"/>
          <w:szCs w:val="24"/>
          <w:highlight w:val="none"/>
          <w:u w:val="single"/>
        </w:rPr>
        <w:t xml:space="preserve">                                         </w:t>
      </w:r>
    </w:p>
    <w:p w14:paraId="24B2343D">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（5）履约验收的内容：</w:t>
      </w:r>
      <w:r>
        <w:rPr>
          <w:rFonts w:hint="eastAsia" w:ascii="宋体" w:hAnsi="宋体" w:eastAsia="宋体" w:cs="宋体"/>
          <w:bCs/>
          <w:sz w:val="24"/>
          <w:szCs w:val="24"/>
          <w:highlight w:val="none"/>
          <w:u w:val="single"/>
        </w:rPr>
        <w:t xml:space="preserve">                                       </w:t>
      </w:r>
    </w:p>
    <w:p w14:paraId="57A1F503">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（6）履约验收标准：</w:t>
      </w:r>
      <w:r>
        <w:rPr>
          <w:rFonts w:hint="eastAsia" w:ascii="宋体" w:hAnsi="宋体" w:eastAsia="宋体" w:cs="宋体"/>
          <w:bCs/>
          <w:sz w:val="24"/>
          <w:szCs w:val="24"/>
          <w:highlight w:val="none"/>
          <w:u w:val="single"/>
        </w:rPr>
        <w:t xml:space="preserve">                                         </w:t>
      </w:r>
    </w:p>
    <w:p w14:paraId="7E50A408">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组成合同的文件</w:t>
      </w:r>
    </w:p>
    <w:p w14:paraId="584B9EA0">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本协议书与下列文件一起构成合同文件，如下述文件之间有任何抵触、矛盾或歧义，应按以下顺序解释：</w:t>
      </w:r>
    </w:p>
    <w:p w14:paraId="7FA15B15">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1F9F3576">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）政府采购合同专用条款</w:t>
      </w:r>
    </w:p>
    <w:p w14:paraId="63D571CB">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）政府采购合同通用条款</w:t>
      </w:r>
    </w:p>
    <w:p w14:paraId="38C366F0">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5339440E">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）投标（响应）文件</w:t>
      </w:r>
    </w:p>
    <w:p w14:paraId="40AA5F72">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（6）采购文件</w:t>
      </w:r>
    </w:p>
    <w:p w14:paraId="534BDDF3">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（7）有关技术文件，图纸</w:t>
      </w:r>
    </w:p>
    <w:p w14:paraId="4B95F35B">
      <w:pPr>
        <w:pStyle w:val="58"/>
        <w:pageBreakBefore w:val="0"/>
        <w:kinsoku/>
        <w:wordWrap/>
        <w:overflowPunct/>
        <w:topLinePunct w:val="0"/>
        <w:bidi w:val="0"/>
        <w:spacing w:line="360" w:lineRule="auto"/>
        <w:textAlignment w:val="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p>
    <w:p w14:paraId="55EC180A">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合同生效</w:t>
      </w:r>
    </w:p>
    <w:p w14:paraId="040DA0C6">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本合同自</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生效。</w:t>
      </w:r>
    </w:p>
    <w:p w14:paraId="659A3B81">
      <w:pPr>
        <w:pageBreakBefore w:val="0"/>
        <w:numPr>
          <w:ilvl w:val="0"/>
          <w:numId w:val="1"/>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合同份数</w:t>
      </w:r>
    </w:p>
    <w:p w14:paraId="3CDE01BD">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份，均具有同等法律效力。</w:t>
      </w:r>
    </w:p>
    <w:p w14:paraId="5C3D3603">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合同订立时间：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日合同订立地点：</w:t>
      </w:r>
      <w:r>
        <w:rPr>
          <w:rFonts w:hint="eastAsia" w:ascii="宋体" w:hAnsi="宋体" w:eastAsia="宋体" w:cs="宋体"/>
          <w:sz w:val="24"/>
          <w:szCs w:val="24"/>
          <w:highlight w:val="none"/>
          <w:u w:val="single"/>
          <w:lang w:val="en-US" w:eastAsia="zh-CN"/>
        </w:rPr>
        <w:t>滁州市第二人民医院</w:t>
      </w: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2"/>
        <w:gridCol w:w="1979"/>
        <w:gridCol w:w="2117"/>
      </w:tblGrid>
      <w:tr w14:paraId="5C4BA3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3EF74F2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甲方（采购人</w:t>
            </w:r>
            <w:r>
              <w:rPr>
                <w:rFonts w:hint="eastAsia" w:ascii="宋体" w:hAnsi="宋体" w:eastAsia="宋体" w:cs="宋体"/>
                <w:sz w:val="24"/>
                <w:szCs w:val="24"/>
                <w:highlight w:val="none"/>
                <w:lang w:eastAsia="zh-CN"/>
              </w:rPr>
              <w:t>、受采购人委托签订合同的单位</w:t>
            </w:r>
            <w:r>
              <w:rPr>
                <w:rFonts w:hint="eastAsia" w:ascii="宋体" w:hAnsi="宋体" w:eastAsia="宋体" w:cs="宋体"/>
                <w:sz w:val="24"/>
                <w:szCs w:val="24"/>
                <w:highlight w:val="none"/>
              </w:rPr>
              <w:t>或采购文件约定的合同甲方）</w:t>
            </w:r>
          </w:p>
        </w:tc>
        <w:tc>
          <w:tcPr>
            <w:tcW w:w="2438" w:type="pct"/>
            <w:gridSpan w:val="2"/>
            <w:tcBorders>
              <w:left w:val="single" w:color="auto" w:sz="2" w:space="0"/>
              <w:bottom w:val="single" w:color="auto" w:sz="2" w:space="0"/>
            </w:tcBorders>
            <w:vAlign w:val="center"/>
          </w:tcPr>
          <w:p w14:paraId="7EC0299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乙方（供应商）</w:t>
            </w:r>
          </w:p>
        </w:tc>
      </w:tr>
      <w:tr w14:paraId="617C58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38A4EB4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741C613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C0880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260" w:type="pct"/>
            <w:tcBorders>
              <w:top w:val="single" w:color="auto" w:sz="2" w:space="0"/>
              <w:left w:val="single" w:color="auto" w:sz="2" w:space="0"/>
              <w:bottom w:val="single" w:color="auto" w:sz="2" w:space="0"/>
            </w:tcBorders>
            <w:vAlign w:val="center"/>
          </w:tcPr>
          <w:p w14:paraId="72643A6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74E8B4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669A308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12B9088E">
            <w:pPr>
              <w:pageBreakBefore w:val="0"/>
              <w:kinsoku/>
              <w:wordWrap/>
              <w:overflowPunct/>
              <w:topLinePunct w:val="0"/>
              <w:bidi w:val="0"/>
              <w:adjustRightInd w:val="0"/>
              <w:snapToGrid w:val="0"/>
              <w:spacing w:line="360" w:lineRule="auto"/>
              <w:ind w:firstLine="115" w:firstLineChars="48"/>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571BB88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right w:val="single" w:color="auto" w:sz="2" w:space="0"/>
            </w:tcBorders>
            <w:vAlign w:val="center"/>
          </w:tcPr>
          <w:p w14:paraId="4102E97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37A9621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260" w:type="pct"/>
            <w:tcBorders>
              <w:top w:val="single" w:color="auto" w:sz="2" w:space="0"/>
              <w:left w:val="single" w:color="auto" w:sz="2" w:space="0"/>
              <w:bottom w:val="single" w:color="auto" w:sz="2" w:space="0"/>
            </w:tcBorders>
            <w:vAlign w:val="center"/>
          </w:tcPr>
          <w:p w14:paraId="5422795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r>
      <w:tr w14:paraId="6BB843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64666EC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42F4C3E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A8BFCA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拥有者性别</w:t>
            </w:r>
          </w:p>
        </w:tc>
        <w:tc>
          <w:tcPr>
            <w:tcW w:w="1260" w:type="pct"/>
            <w:tcBorders>
              <w:top w:val="single" w:color="auto" w:sz="2" w:space="0"/>
              <w:left w:val="single" w:color="auto" w:sz="2" w:space="0"/>
              <w:bottom w:val="single" w:color="auto" w:sz="2" w:space="0"/>
            </w:tcBorders>
            <w:vAlign w:val="center"/>
          </w:tcPr>
          <w:p w14:paraId="0571B6A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417278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BC937F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5E34F9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4645DD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260" w:type="pct"/>
            <w:tcBorders>
              <w:top w:val="single" w:color="auto" w:sz="2" w:space="0"/>
              <w:left w:val="single" w:color="auto" w:sz="2" w:space="0"/>
              <w:bottom w:val="single" w:color="auto" w:sz="2" w:space="0"/>
            </w:tcBorders>
            <w:vAlign w:val="center"/>
          </w:tcPr>
          <w:p w14:paraId="44B2579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1B848C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BD4C20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AFD120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C51AA2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260" w:type="pct"/>
            <w:tcBorders>
              <w:top w:val="single" w:color="auto" w:sz="2" w:space="0"/>
              <w:left w:val="single" w:color="auto" w:sz="2" w:space="0"/>
              <w:bottom w:val="single" w:color="auto" w:sz="2" w:space="0"/>
            </w:tcBorders>
            <w:vAlign w:val="center"/>
          </w:tcPr>
          <w:p w14:paraId="667EF2E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504B55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4A51428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636B48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25D32F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260" w:type="pct"/>
            <w:tcBorders>
              <w:top w:val="single" w:color="auto" w:sz="2" w:space="0"/>
              <w:left w:val="single" w:color="auto" w:sz="2" w:space="0"/>
              <w:bottom w:val="single" w:color="auto" w:sz="2" w:space="0"/>
            </w:tcBorders>
            <w:vAlign w:val="center"/>
          </w:tcPr>
          <w:p w14:paraId="6406F7B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6721C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3146D9F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A19507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1EF73D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通信地址</w:t>
            </w:r>
          </w:p>
        </w:tc>
        <w:tc>
          <w:tcPr>
            <w:tcW w:w="1260" w:type="pct"/>
            <w:tcBorders>
              <w:top w:val="single" w:color="auto" w:sz="2" w:space="0"/>
              <w:left w:val="single" w:color="auto" w:sz="2" w:space="0"/>
              <w:bottom w:val="single" w:color="auto" w:sz="2" w:space="0"/>
            </w:tcBorders>
            <w:vAlign w:val="center"/>
          </w:tcPr>
          <w:p w14:paraId="2C58003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0D4638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F946B1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ED396F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55540C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260" w:type="pct"/>
            <w:tcBorders>
              <w:top w:val="single" w:color="auto" w:sz="2" w:space="0"/>
              <w:left w:val="single" w:color="auto" w:sz="2" w:space="0"/>
              <w:bottom w:val="single" w:color="auto" w:sz="2" w:space="0"/>
            </w:tcBorders>
            <w:vAlign w:val="center"/>
          </w:tcPr>
          <w:p w14:paraId="4D5D064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03254B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B1D4DA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C3AB93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D5D0E9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260" w:type="pct"/>
            <w:tcBorders>
              <w:top w:val="single" w:color="auto" w:sz="2" w:space="0"/>
              <w:left w:val="single" w:color="auto" w:sz="2" w:space="0"/>
              <w:bottom w:val="single" w:color="auto" w:sz="2" w:space="0"/>
            </w:tcBorders>
            <w:vAlign w:val="center"/>
          </w:tcPr>
          <w:p w14:paraId="4C36CD9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2E4669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25607E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12B946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95751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260" w:type="pct"/>
            <w:tcBorders>
              <w:top w:val="single" w:color="auto" w:sz="2" w:space="0"/>
              <w:left w:val="single" w:color="auto" w:sz="2" w:space="0"/>
              <w:bottom w:val="single" w:color="auto" w:sz="2" w:space="0"/>
            </w:tcBorders>
            <w:vAlign w:val="center"/>
          </w:tcPr>
          <w:p w14:paraId="14C95F5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0ECC6C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554329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6E4F93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D43E0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开户名称</w:t>
            </w:r>
          </w:p>
        </w:tc>
        <w:tc>
          <w:tcPr>
            <w:tcW w:w="1260" w:type="pct"/>
            <w:tcBorders>
              <w:top w:val="single" w:color="auto" w:sz="2" w:space="0"/>
              <w:left w:val="single" w:color="auto" w:sz="2" w:space="0"/>
              <w:bottom w:val="single" w:color="auto" w:sz="2" w:space="0"/>
            </w:tcBorders>
            <w:vAlign w:val="center"/>
          </w:tcPr>
          <w:p w14:paraId="56308F2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CA355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6D92DA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5F4AD0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3A876F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1260" w:type="pct"/>
            <w:tcBorders>
              <w:top w:val="single" w:color="auto" w:sz="2" w:space="0"/>
              <w:left w:val="single" w:color="auto" w:sz="2" w:space="0"/>
              <w:bottom w:val="single" w:color="auto" w:sz="2" w:space="0"/>
            </w:tcBorders>
            <w:vAlign w:val="center"/>
          </w:tcPr>
          <w:p w14:paraId="49F23CD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F444F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73BA26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9E28B2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7CA88D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银行账号</w:t>
            </w:r>
          </w:p>
        </w:tc>
        <w:tc>
          <w:tcPr>
            <w:tcW w:w="1260" w:type="pct"/>
            <w:tcBorders>
              <w:top w:val="single" w:color="auto" w:sz="2" w:space="0"/>
              <w:left w:val="single" w:color="auto" w:sz="2" w:space="0"/>
              <w:bottom w:val="single" w:color="auto" w:sz="2" w:space="0"/>
            </w:tcBorders>
            <w:vAlign w:val="center"/>
          </w:tcPr>
          <w:p w14:paraId="437A656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bl>
    <w:p w14:paraId="385AB39C">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0C3C35A">
      <w:pPr>
        <w:pStyle w:val="3"/>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sz w:val="24"/>
          <w:szCs w:val="24"/>
          <w:highlight w:val="none"/>
        </w:rPr>
      </w:pPr>
      <w:bookmarkStart w:id="49" w:name="_Toc27624"/>
      <w:r>
        <w:rPr>
          <w:rFonts w:hint="eastAsia" w:ascii="宋体" w:hAnsi="宋体" w:eastAsia="宋体" w:cs="@仿宋_GB2312"/>
          <w:b/>
          <w:bCs w:val="0"/>
          <w:color w:val="000000"/>
          <w:kern w:val="2"/>
          <w:sz w:val="24"/>
          <w:szCs w:val="20"/>
          <w:highlight w:val="none"/>
          <w:lang w:val="en-US" w:eastAsia="zh-CN" w:bidi="ar-SA"/>
        </w:rPr>
        <w:t>第二节 政府采购合同通用条款</w:t>
      </w:r>
      <w:bookmarkEnd w:id="49"/>
    </w:p>
    <w:p w14:paraId="6AA78251">
      <w:pPr>
        <w:pageBreakBefore w:val="0"/>
        <w:tabs>
          <w:tab w:val="left" w:pos="8820"/>
          <w:tab w:val="left" w:pos="9345"/>
          <w:tab w:val="left" w:pos="9765"/>
        </w:tabs>
        <w:kinsoku/>
        <w:wordWrap/>
        <w:overflowPunct/>
        <w:topLinePunct w:val="0"/>
        <w:bidi w:val="0"/>
        <w:adjustRightInd w:val="0"/>
        <w:snapToGrid w:val="0"/>
        <w:spacing w:before="0"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bCs/>
          <w:sz w:val="24"/>
          <w:szCs w:val="24"/>
          <w:highlight w:val="none"/>
        </w:rPr>
        <w:t>定义</w:t>
      </w:r>
    </w:p>
    <w:p w14:paraId="3CB15C3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1.1合同当事人</w:t>
      </w:r>
    </w:p>
    <w:p w14:paraId="2DC1B50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5213E56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231B7A6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000000"/>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7D30B8A1">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4FE268AB">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000000"/>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sz w:val="24"/>
          <w:szCs w:val="24"/>
          <w:highlight w:val="none"/>
        </w:rPr>
        <w:t>政府采购合同专用条款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政府采购合同通用条款</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投标（响应）文件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有关技术文件</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图纸</w:t>
      </w:r>
      <w:r>
        <w:rPr>
          <w:rFonts w:hint="eastAsia" w:ascii="宋体" w:hAnsi="宋体" w:eastAsia="宋体" w:cs="宋体"/>
          <w:sz w:val="24"/>
          <w:szCs w:val="24"/>
          <w:highlight w:val="none"/>
          <w:lang w:eastAsia="zh-CN"/>
        </w:rPr>
        <w:t>，以及</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62E14B83">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363127CB">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w:t>
      </w:r>
      <w:r>
        <w:rPr>
          <w:rFonts w:hint="eastAsia" w:ascii="宋体" w:hAnsi="宋体" w:eastAsia="宋体" w:cs="宋体"/>
          <w:color w:val="000000"/>
          <w:sz w:val="24"/>
          <w:szCs w:val="24"/>
          <w:highlight w:val="none"/>
        </w:rPr>
        <w:t>包括软件）及相关的其备品备件、工具、手册及其他技术资料和材料</w:t>
      </w:r>
      <w:r>
        <w:rPr>
          <w:rFonts w:hint="eastAsia" w:ascii="宋体" w:hAnsi="宋体" w:eastAsia="宋体" w:cs="宋体"/>
          <w:color w:val="000000"/>
          <w:sz w:val="24"/>
          <w:szCs w:val="24"/>
          <w:highlight w:val="none"/>
          <w:lang w:eastAsia="zh-CN"/>
        </w:rPr>
        <w:t>等</w:t>
      </w:r>
      <w:r>
        <w:rPr>
          <w:rFonts w:hint="eastAsia" w:ascii="宋体" w:hAnsi="宋体" w:eastAsia="宋体" w:cs="宋体"/>
          <w:color w:val="000000"/>
          <w:sz w:val="24"/>
          <w:szCs w:val="24"/>
          <w:highlight w:val="none"/>
        </w:rPr>
        <w:t>。</w:t>
      </w:r>
    </w:p>
    <w:p w14:paraId="6102B1DE">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000000"/>
          <w:sz w:val="24"/>
          <w:szCs w:val="24"/>
          <w:highlight w:val="none"/>
        </w:rPr>
        <w:t>服务”系指根据合同规定，乙方应提供的</w:t>
      </w:r>
      <w:r>
        <w:rPr>
          <w:rFonts w:hint="eastAsia" w:ascii="宋体" w:hAnsi="宋体" w:eastAsia="宋体" w:cs="宋体"/>
          <w:color w:val="000000"/>
          <w:sz w:val="24"/>
          <w:szCs w:val="24"/>
          <w:highlight w:val="none"/>
          <w:lang w:val="en-US" w:eastAsia="zh-CN"/>
        </w:rPr>
        <w:t>与货物有关的</w:t>
      </w:r>
      <w:r>
        <w:rPr>
          <w:rFonts w:hint="eastAsia" w:ascii="宋体" w:hAnsi="宋体" w:eastAsia="宋体" w:cs="宋体"/>
          <w:color w:val="000000"/>
          <w:sz w:val="24"/>
          <w:szCs w:val="24"/>
          <w:highlight w:val="none"/>
        </w:rPr>
        <w:t>技术、管理和其他服务，包括但不限于：管理和质量保证、运输、保险、检验、现场准备、安装、集成、调试、培训、维修、</w:t>
      </w:r>
      <w:r>
        <w:rPr>
          <w:rFonts w:hint="eastAsia" w:ascii="宋体" w:hAnsi="宋体" w:eastAsia="宋体" w:cs="宋体"/>
          <w:color w:val="000000"/>
          <w:sz w:val="24"/>
          <w:szCs w:val="24"/>
          <w:highlight w:val="none"/>
          <w:lang w:eastAsia="zh-CN"/>
        </w:rPr>
        <w:t>废弃处置、</w:t>
      </w:r>
      <w:r>
        <w:rPr>
          <w:rFonts w:hint="eastAsia" w:ascii="宋体" w:hAnsi="宋体" w:eastAsia="宋体" w:cs="宋体"/>
          <w:color w:val="000000"/>
          <w:sz w:val="24"/>
          <w:szCs w:val="24"/>
          <w:highlight w:val="none"/>
        </w:rPr>
        <w:t>技术支持等以及合同中规定乙方应承担的其他义务。</w:t>
      </w:r>
    </w:p>
    <w:p w14:paraId="597C6EFD">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）“分包”系指中标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供应商按采购文件、投标（响应）文件的规定，根据分包意向协议，将中标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项目中的部分履约内容，分给具有相应资质条件的供应商履行合同的行为。</w:t>
      </w:r>
    </w:p>
    <w:p w14:paraId="7664DCFD">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“联合体”系指</w:t>
      </w:r>
      <w:r>
        <w:rPr>
          <w:rFonts w:hint="eastAsia" w:ascii="宋体" w:hAnsi="宋体" w:eastAsia="宋体" w:cs="宋体"/>
          <w:sz w:val="24"/>
          <w:szCs w:val="24"/>
          <w:highlight w:val="none"/>
          <w:lang w:eastAsia="zh-CN"/>
        </w:rPr>
        <w:t>由</w:t>
      </w:r>
      <w:r>
        <w:rPr>
          <w:rFonts w:hint="eastAsia" w:ascii="宋体" w:hAnsi="宋体" w:eastAsia="宋体" w:cs="宋体"/>
          <w:sz w:val="24"/>
          <w:szCs w:val="24"/>
          <w:highlight w:val="none"/>
        </w:rPr>
        <w:t>两个以上的自然人、法人或者</w:t>
      </w:r>
      <w:r>
        <w:rPr>
          <w:rFonts w:hint="eastAsia" w:ascii="宋体" w:hAnsi="宋体" w:eastAsia="宋体" w:cs="宋体"/>
          <w:sz w:val="24"/>
          <w:szCs w:val="24"/>
          <w:highlight w:val="none"/>
          <w:lang w:val="en-US" w:eastAsia="zh-CN"/>
        </w:rPr>
        <w:t>非法人</w:t>
      </w:r>
      <w:r>
        <w:rPr>
          <w:rFonts w:hint="eastAsia" w:ascii="宋体" w:hAnsi="宋体" w:eastAsia="宋体" w:cs="宋体"/>
          <w:sz w:val="24"/>
          <w:szCs w:val="24"/>
          <w:highlight w:val="none"/>
        </w:rPr>
        <w:t>组织组成，</w:t>
      </w:r>
      <w:r>
        <w:rPr>
          <w:rFonts w:hint="eastAsia" w:ascii="宋体" w:hAnsi="宋体" w:eastAsia="宋体" w:cs="宋体"/>
          <w:sz w:val="24"/>
          <w:szCs w:val="24"/>
          <w:highlight w:val="none"/>
          <w:lang w:eastAsia="zh-CN"/>
        </w:rPr>
        <w:t>以一个供应商的身份共同参加政府采购的主体</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承担连带责任。联合体具体要求见【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78159B19">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）其他术语解释，见【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7557C85C">
      <w:pPr>
        <w:pageBreakBefore w:val="0"/>
        <w:numPr>
          <w:ilvl w:val="0"/>
          <w:numId w:val="4"/>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合同标的及金额</w:t>
      </w:r>
    </w:p>
    <w:p w14:paraId="033205B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
          <w:bCs/>
          <w:i/>
          <w:iCs/>
          <w:color w:val="000000"/>
          <w:sz w:val="24"/>
          <w:szCs w:val="24"/>
          <w:highlight w:val="none"/>
        </w:rPr>
      </w:pPr>
      <w:r>
        <w:rPr>
          <w:rFonts w:hint="eastAsia" w:ascii="宋体" w:hAnsi="宋体" w:eastAsia="宋体" w:cs="宋体"/>
          <w:color w:val="000000"/>
          <w:sz w:val="24"/>
          <w:szCs w:val="24"/>
          <w:highlight w:val="none"/>
          <w:lang w:eastAsia="zh-CN"/>
        </w:rPr>
        <w:t>2</w:t>
      </w:r>
      <w:r>
        <w:rPr>
          <w:rFonts w:hint="eastAsia" w:ascii="宋体" w:hAnsi="宋体" w:eastAsia="宋体" w:cs="宋体"/>
          <w:color w:val="000000"/>
          <w:sz w:val="24"/>
          <w:szCs w:val="24"/>
          <w:highlight w:val="none"/>
        </w:rPr>
        <w:t>.1 合同标的及金额应与中标（成交）结果一致。乙方为履行本合同而发生的所有费用均应包含在合同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中，甲方不再另行支付其他任何费用。</w:t>
      </w:r>
    </w:p>
    <w:p w14:paraId="4165A9FE">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3</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履行合同的时间、地点和方式</w:t>
      </w:r>
    </w:p>
    <w:p w14:paraId="5A866E7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3</w:t>
      </w:r>
      <w:r>
        <w:rPr>
          <w:rFonts w:hint="eastAsia" w:ascii="宋体" w:hAnsi="宋体" w:eastAsia="宋体" w:cs="宋体"/>
          <w:color w:val="000000"/>
          <w:sz w:val="24"/>
          <w:szCs w:val="24"/>
          <w:highlight w:val="none"/>
        </w:rPr>
        <w:t xml:space="preserve">.1 </w:t>
      </w:r>
      <w:r>
        <w:rPr>
          <w:rFonts w:hint="eastAsia" w:ascii="宋体" w:hAnsi="宋体" w:eastAsia="宋体" w:cs="宋体"/>
          <w:sz w:val="24"/>
          <w:szCs w:val="24"/>
          <w:highlight w:val="none"/>
        </w:rPr>
        <w:t>乙方应当在约定的时间、地点</w:t>
      </w:r>
      <w:r>
        <w:rPr>
          <w:rFonts w:hint="eastAsia" w:ascii="宋体" w:hAnsi="宋体" w:eastAsia="宋体" w:cs="宋体"/>
          <w:sz w:val="24"/>
          <w:szCs w:val="24"/>
          <w:highlight w:val="none"/>
          <w:lang w:eastAsia="zh-CN"/>
        </w:rPr>
        <w:t>，按照约定</w:t>
      </w:r>
      <w:r>
        <w:rPr>
          <w:rFonts w:hint="eastAsia" w:ascii="宋体" w:hAnsi="宋体" w:eastAsia="宋体" w:cs="宋体"/>
          <w:sz w:val="24"/>
          <w:szCs w:val="24"/>
          <w:highlight w:val="none"/>
        </w:rPr>
        <w:t>方式履行合同。</w:t>
      </w:r>
    </w:p>
    <w:p w14:paraId="4DDFECE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4</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甲方的权利和义务</w:t>
      </w:r>
    </w:p>
    <w:p w14:paraId="61A7672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.1 签署合同后，甲方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，负责与本合同有关的事务。甲方有权对乙方的履约行为进行检查，并及时确认乙方提交的事项。甲方应当配合乙方完成相关项目实施工作。</w:t>
      </w:r>
    </w:p>
    <w:p w14:paraId="4292F00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.2 甲方有权要求乙方按时提交各阶段有关安排计划，并有权定期核对乙方提供货物数量、规格、质量等内容。甲方有权督促乙方工作并要求乙方更换不符合要求的货物。</w:t>
      </w:r>
    </w:p>
    <w:p w14:paraId="2893531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.3 甲方有权要求乙方对缺陷部分予以修复，并按合同约定享有货物保修及其他合同约定的权利。</w:t>
      </w:r>
    </w:p>
    <w:p w14:paraId="69B7D219">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4.4 甲方应当按照合同约定及时对交付的货物进行验收，</w:t>
      </w:r>
      <w:r>
        <w:rPr>
          <w:rFonts w:hint="eastAsia" w:ascii="宋体" w:hAnsi="宋体" w:eastAsia="宋体" w:cs="宋体"/>
          <w:b w:val="0"/>
          <w:bCs w:val="0"/>
          <w:sz w:val="24"/>
          <w:szCs w:val="24"/>
          <w:highlight w:val="none"/>
          <w:lang w:eastAsia="zh-CN"/>
        </w:rPr>
        <w:t>未</w:t>
      </w:r>
      <w:r>
        <w:rPr>
          <w:rFonts w:hint="eastAsia" w:ascii="宋体" w:hAnsi="宋体" w:eastAsia="宋体" w:cs="宋体"/>
          <w:color w:val="000000"/>
          <w:sz w:val="24"/>
          <w:szCs w:val="24"/>
          <w:highlight w:val="none"/>
          <w:lang w:val="en-US" w:eastAsia="zh-CN"/>
        </w:rPr>
        <w:t>在</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约定的期限内对乙方履约提出任何异议或者向乙方作出任何说明的，</w:t>
      </w:r>
      <w:r>
        <w:rPr>
          <w:rFonts w:hint="eastAsia" w:ascii="宋体" w:hAnsi="宋体" w:eastAsia="宋体" w:cs="宋体"/>
          <w:color w:val="000000"/>
          <w:sz w:val="24"/>
          <w:szCs w:val="24"/>
          <w:highlight w:val="none"/>
          <w:lang w:val="en-US" w:eastAsia="zh-CN"/>
        </w:rPr>
        <w:t>视为验收通过。</w:t>
      </w:r>
    </w:p>
    <w:p w14:paraId="12032333">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 xml:space="preserve"> 甲方应当根据合同约定</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时向乙方支付</w:t>
      </w:r>
      <w:r>
        <w:rPr>
          <w:rFonts w:hint="eastAsia" w:ascii="宋体" w:hAnsi="宋体" w:eastAsia="宋体" w:cs="宋体"/>
          <w:color w:val="000000"/>
          <w:sz w:val="24"/>
          <w:szCs w:val="24"/>
          <w:highlight w:val="none"/>
          <w:lang w:eastAsia="zh-CN"/>
        </w:rPr>
        <w:t>合同价款，不得以内部人员变更、履行内部付款流程等为由，拒绝或迟延支付。</w:t>
      </w:r>
    </w:p>
    <w:p w14:paraId="445A402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 xml:space="preserve"> 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lang w:eastAsia="zh-CN"/>
        </w:rPr>
        <w:t>约定应</w:t>
      </w:r>
      <w:r>
        <w:rPr>
          <w:rFonts w:hint="eastAsia" w:ascii="宋体" w:hAnsi="宋体" w:eastAsia="宋体" w:cs="宋体"/>
          <w:color w:val="000000"/>
          <w:sz w:val="24"/>
          <w:szCs w:val="24"/>
          <w:highlight w:val="none"/>
        </w:rPr>
        <w:t>由甲方承担的其他义务和责任。</w:t>
      </w:r>
    </w:p>
    <w:p w14:paraId="75398470">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5</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乙方的权利和义务</w:t>
      </w:r>
    </w:p>
    <w:p w14:paraId="49739CD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.1 签署合同后，乙方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w:t>
      </w:r>
    </w:p>
    <w:p w14:paraId="4C5A096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.2 乙方应按照合同要求履约，充分合理安排，确保提供的货物</w:t>
      </w:r>
      <w:r>
        <w:rPr>
          <w:rFonts w:hint="eastAsia" w:ascii="宋体" w:hAnsi="宋体" w:eastAsia="宋体" w:cs="宋体"/>
          <w:color w:val="000000"/>
          <w:sz w:val="24"/>
          <w:szCs w:val="24"/>
          <w:highlight w:val="none"/>
          <w:lang w:eastAsia="zh-CN"/>
        </w:rPr>
        <w:t>及相关</w:t>
      </w:r>
      <w:r>
        <w:rPr>
          <w:rFonts w:hint="eastAsia" w:ascii="宋体" w:hAnsi="宋体" w:eastAsia="宋体" w:cs="宋体"/>
          <w:color w:val="000000"/>
          <w:sz w:val="24"/>
          <w:szCs w:val="24"/>
          <w:highlight w:val="none"/>
        </w:rPr>
        <w:t>服务符合合同</w:t>
      </w:r>
      <w:r>
        <w:rPr>
          <w:rFonts w:hint="eastAsia" w:ascii="宋体" w:hAnsi="宋体" w:eastAsia="宋体" w:cs="宋体"/>
          <w:color w:val="000000"/>
          <w:sz w:val="24"/>
          <w:szCs w:val="24"/>
          <w:highlight w:val="none"/>
          <w:lang w:eastAsia="zh-CN"/>
        </w:rPr>
        <w:t>有关</w:t>
      </w:r>
      <w:r>
        <w:rPr>
          <w:rFonts w:hint="eastAsia" w:ascii="宋体" w:hAnsi="宋体" w:eastAsia="宋体" w:cs="宋体"/>
          <w:color w:val="000000"/>
          <w:sz w:val="24"/>
          <w:szCs w:val="24"/>
          <w:highlight w:val="none"/>
        </w:rPr>
        <w:t>要求。接受项目行业管理部门及政府有关部门的指导，配合甲方的履约检查</w:t>
      </w:r>
      <w:r>
        <w:rPr>
          <w:rFonts w:hint="eastAsia" w:ascii="宋体" w:hAnsi="宋体" w:eastAsia="宋体" w:cs="宋体"/>
          <w:color w:val="000000"/>
          <w:sz w:val="24"/>
          <w:szCs w:val="24"/>
          <w:highlight w:val="none"/>
          <w:lang w:eastAsia="zh-CN"/>
        </w:rPr>
        <w:t>及验收</w:t>
      </w:r>
      <w:r>
        <w:rPr>
          <w:rFonts w:hint="eastAsia" w:ascii="宋体" w:hAnsi="宋体" w:eastAsia="宋体" w:cs="宋体"/>
          <w:color w:val="000000"/>
          <w:sz w:val="24"/>
          <w:szCs w:val="24"/>
          <w:highlight w:val="none"/>
        </w:rPr>
        <w:t>，并负责项目实施过程中的所有协调工作。</w:t>
      </w:r>
    </w:p>
    <w:p w14:paraId="4E777B03">
      <w:pPr>
        <w:pStyle w:val="8"/>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.3乙方有权根据合同约定向甲方收取</w:t>
      </w:r>
      <w:r>
        <w:rPr>
          <w:rFonts w:hint="eastAsia" w:ascii="宋体" w:hAnsi="宋体" w:eastAsia="宋体" w:cs="宋体"/>
          <w:color w:val="000000"/>
          <w:sz w:val="24"/>
          <w:szCs w:val="24"/>
          <w:highlight w:val="none"/>
          <w:lang w:eastAsia="zh-CN"/>
        </w:rPr>
        <w:t>合同价款</w:t>
      </w:r>
      <w:r>
        <w:rPr>
          <w:rFonts w:hint="eastAsia" w:ascii="宋体" w:hAnsi="宋体" w:eastAsia="宋体" w:cs="宋体"/>
          <w:color w:val="000000"/>
          <w:sz w:val="24"/>
          <w:szCs w:val="24"/>
          <w:highlight w:val="none"/>
        </w:rPr>
        <w:t>。</w:t>
      </w:r>
    </w:p>
    <w:p w14:paraId="79534BF4">
      <w:pPr>
        <w:pStyle w:val="8"/>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.4国家法律法规规定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约定应</w:t>
      </w:r>
      <w:r>
        <w:rPr>
          <w:rFonts w:hint="eastAsia" w:ascii="宋体" w:hAnsi="宋体" w:eastAsia="宋体" w:cs="宋体"/>
          <w:color w:val="000000"/>
          <w:sz w:val="24"/>
          <w:szCs w:val="24"/>
          <w:highlight w:val="none"/>
        </w:rPr>
        <w:t>由乙方承担的其他义务和责任。</w:t>
      </w:r>
    </w:p>
    <w:p w14:paraId="7250F31C">
      <w:pPr>
        <w:pageBreakBefore w:val="0"/>
        <w:numPr>
          <w:ilvl w:val="0"/>
          <w:numId w:val="5"/>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合同履</w:t>
      </w:r>
      <w:r>
        <w:rPr>
          <w:rFonts w:hint="eastAsia" w:ascii="宋体" w:hAnsi="宋体" w:eastAsia="宋体" w:cs="宋体"/>
          <w:b/>
          <w:bCs/>
          <w:color w:val="000000"/>
          <w:sz w:val="24"/>
          <w:szCs w:val="24"/>
          <w:highlight w:val="none"/>
          <w:lang w:val="en-US" w:eastAsia="zh-CN"/>
        </w:rPr>
        <w:t>行</w:t>
      </w:r>
    </w:p>
    <w:p w14:paraId="587F8E3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rPr>
        <w:t>约定顺序履行合同义务；如果没有先后顺序的，应当同时履行。</w:t>
      </w:r>
    </w:p>
    <w:p w14:paraId="130A7FD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620E5DEB">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7</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货物包装、运输</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保险</w:t>
      </w:r>
      <w:r>
        <w:rPr>
          <w:rFonts w:hint="eastAsia" w:ascii="宋体" w:hAnsi="宋体" w:eastAsia="宋体" w:cs="宋体"/>
          <w:b/>
          <w:bCs/>
          <w:color w:val="000000"/>
          <w:sz w:val="24"/>
          <w:szCs w:val="24"/>
          <w:highlight w:val="none"/>
          <w:lang w:eastAsia="zh-CN"/>
        </w:rPr>
        <w:t>和交付</w:t>
      </w:r>
      <w:r>
        <w:rPr>
          <w:rFonts w:hint="eastAsia" w:ascii="宋体" w:hAnsi="宋体" w:eastAsia="宋体" w:cs="宋体"/>
          <w:b/>
          <w:bCs/>
          <w:color w:val="000000"/>
          <w:sz w:val="24"/>
          <w:szCs w:val="24"/>
          <w:highlight w:val="none"/>
        </w:rPr>
        <w:t>要求</w:t>
      </w:r>
    </w:p>
    <w:p w14:paraId="6E789BA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.1 本合同</w:t>
      </w:r>
      <w:r>
        <w:rPr>
          <w:rFonts w:hint="eastAsia" w:ascii="宋体" w:hAnsi="宋体" w:eastAsia="宋体" w:cs="宋体"/>
          <w:bCs/>
          <w:color w:val="000000"/>
          <w:sz w:val="24"/>
          <w:szCs w:val="24"/>
          <w:highlight w:val="none"/>
        </w:rPr>
        <w:t>涉及商品包装</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快递包装的，</w:t>
      </w:r>
      <w:r>
        <w:rPr>
          <w:rFonts w:hint="eastAsia" w:ascii="宋体" w:hAnsi="宋体" w:eastAsia="宋体" w:cs="宋体"/>
          <w:color w:val="000000"/>
          <w:sz w:val="24"/>
          <w:szCs w:val="24"/>
          <w:highlight w:val="none"/>
        </w:rPr>
        <w:t>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包装应适应远距离运输、防潮、防震、防锈和防野蛮装卸等要求，确保货物安全无损地运抵</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 w:val="0"/>
          <w:bCs/>
          <w:color w:val="000000"/>
          <w:sz w:val="24"/>
          <w:szCs w:val="24"/>
          <w:highlight w:val="none"/>
          <w:lang w:eastAsia="zh-CN"/>
        </w:rPr>
        <w:t>约定的</w:t>
      </w:r>
      <w:r>
        <w:rPr>
          <w:rFonts w:hint="eastAsia" w:ascii="宋体" w:hAnsi="宋体" w:eastAsia="宋体" w:cs="宋体"/>
          <w:color w:val="000000"/>
          <w:sz w:val="24"/>
          <w:szCs w:val="24"/>
          <w:highlight w:val="none"/>
        </w:rPr>
        <w:t>指定现场。</w:t>
      </w:r>
    </w:p>
    <w:p w14:paraId="70649EC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.2 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乙方负责办理将货物运抵本合同规定的交货地点</w:t>
      </w:r>
      <w:r>
        <w:rPr>
          <w:rFonts w:hint="eastAsia" w:ascii="宋体" w:hAnsi="宋体" w:eastAsia="宋体" w:cs="宋体"/>
          <w:color w:val="000000"/>
          <w:sz w:val="24"/>
          <w:szCs w:val="24"/>
          <w:highlight w:val="none"/>
          <w:lang w:eastAsia="zh-CN"/>
        </w:rPr>
        <w:t>，并装卸、交付至甲方</w:t>
      </w:r>
      <w:r>
        <w:rPr>
          <w:rFonts w:hint="eastAsia" w:ascii="宋体" w:hAnsi="宋体" w:eastAsia="宋体" w:cs="宋体"/>
          <w:color w:val="000000"/>
          <w:sz w:val="24"/>
          <w:szCs w:val="24"/>
          <w:highlight w:val="none"/>
        </w:rPr>
        <w:t>的一切运输事项，相关费用应</w:t>
      </w:r>
      <w:r>
        <w:rPr>
          <w:rFonts w:hint="eastAsia" w:ascii="宋体" w:hAnsi="宋体" w:eastAsia="宋体" w:cs="宋体"/>
          <w:color w:val="000000"/>
          <w:sz w:val="24"/>
          <w:szCs w:val="24"/>
          <w:highlight w:val="none"/>
          <w:lang w:eastAsia="zh-CN"/>
        </w:rPr>
        <w:t>包含</w:t>
      </w:r>
      <w:r>
        <w:rPr>
          <w:rFonts w:hint="eastAsia" w:ascii="宋体" w:hAnsi="宋体" w:eastAsia="宋体" w:cs="宋体"/>
          <w:color w:val="000000"/>
          <w:sz w:val="24"/>
          <w:szCs w:val="24"/>
          <w:highlight w:val="none"/>
        </w:rPr>
        <w:t>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w:t>
      </w:r>
    </w:p>
    <w:p w14:paraId="2D04A9FC">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.3 货物保险要求按</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规定执行</w:t>
      </w:r>
      <w:r>
        <w:rPr>
          <w:rFonts w:hint="eastAsia" w:ascii="宋体" w:hAnsi="宋体" w:eastAsia="宋体" w:cs="宋体"/>
          <w:color w:val="000000"/>
          <w:sz w:val="24"/>
          <w:szCs w:val="24"/>
          <w:highlight w:val="none"/>
        </w:rPr>
        <w:t>。</w:t>
      </w:r>
    </w:p>
    <w:p w14:paraId="78298A8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 xml:space="preserve">.4 </w:t>
      </w:r>
      <w:r>
        <w:rPr>
          <w:rFonts w:hint="eastAsia" w:ascii="宋体" w:hAnsi="宋体" w:eastAsia="宋体" w:cs="宋体"/>
          <w:color w:val="000000"/>
          <w:sz w:val="24"/>
          <w:szCs w:val="24"/>
          <w:highlight w:val="none"/>
          <w:lang w:val="en-US" w:eastAsia="zh-CN"/>
        </w:rPr>
        <w:t>除采购活动</w:t>
      </w:r>
      <w:r>
        <w:rPr>
          <w:rFonts w:hint="eastAsia" w:ascii="宋体" w:hAnsi="宋体" w:eastAsia="宋体" w:cs="宋体"/>
          <w:color w:val="000000"/>
          <w:sz w:val="24"/>
          <w:szCs w:val="24"/>
          <w:highlight w:val="none"/>
        </w:rPr>
        <w:t>对商品包装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w:t>
      </w:r>
      <w:r>
        <w:rPr>
          <w:rFonts w:hint="eastAsia" w:ascii="宋体" w:hAnsi="宋体" w:eastAsia="宋体" w:cs="宋体"/>
          <w:color w:val="000000"/>
          <w:sz w:val="24"/>
          <w:szCs w:val="24"/>
          <w:highlight w:val="none"/>
          <w:lang w:val="en-US" w:eastAsia="zh-CN"/>
        </w:rPr>
        <w:t>达成具体约定外</w:t>
      </w:r>
      <w:r>
        <w:rPr>
          <w:rFonts w:hint="eastAsia" w:ascii="宋体" w:hAnsi="宋体" w:eastAsia="宋体" w:cs="宋体"/>
          <w:color w:val="000000"/>
          <w:sz w:val="24"/>
          <w:szCs w:val="24"/>
          <w:highlight w:val="none"/>
        </w:rPr>
        <w:t>，乙方提供产品及相关快递服务</w:t>
      </w:r>
      <w:r>
        <w:rPr>
          <w:rFonts w:hint="eastAsia" w:ascii="宋体" w:hAnsi="宋体" w:eastAsia="宋体" w:cs="宋体"/>
          <w:color w:val="000000"/>
          <w:sz w:val="24"/>
          <w:szCs w:val="24"/>
          <w:highlight w:val="none"/>
          <w:lang w:val="en-US" w:eastAsia="zh-CN"/>
        </w:rPr>
        <w:t>涉及到</w:t>
      </w:r>
      <w:r>
        <w:rPr>
          <w:rFonts w:hint="eastAsia" w:ascii="宋体" w:hAnsi="宋体" w:eastAsia="宋体" w:cs="宋体"/>
          <w:color w:val="000000"/>
          <w:sz w:val="24"/>
          <w:szCs w:val="24"/>
          <w:highlight w:val="none"/>
        </w:rPr>
        <w:t>具体包装要求</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应</w:t>
      </w:r>
      <w:r>
        <w:rPr>
          <w:rFonts w:hint="eastAsia" w:ascii="宋体" w:hAnsi="宋体" w:eastAsia="宋体" w:cs="宋体"/>
          <w:color w:val="000000"/>
          <w:sz w:val="24"/>
          <w:szCs w:val="24"/>
          <w:highlight w:val="none"/>
          <w:lang w:val="en-US" w:eastAsia="zh-CN"/>
        </w:rPr>
        <w:t>不低于</w:t>
      </w:r>
      <w:r>
        <w:rPr>
          <w:rFonts w:hint="eastAsia" w:ascii="宋体" w:hAnsi="宋体" w:eastAsia="宋体" w:cs="宋体"/>
          <w:color w:val="000000"/>
          <w:sz w:val="24"/>
          <w:szCs w:val="24"/>
          <w:highlight w:val="none"/>
        </w:rPr>
        <w:t>《商品包装政府采购需求标准（试行）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快递包装政府采购需求标准（试行）》</w:t>
      </w:r>
      <w:r>
        <w:rPr>
          <w:rFonts w:hint="eastAsia" w:ascii="宋体" w:hAnsi="宋体" w:eastAsia="宋体" w:cs="宋体"/>
          <w:color w:val="000000"/>
          <w:sz w:val="24"/>
          <w:szCs w:val="24"/>
          <w:highlight w:val="none"/>
          <w:lang w:val="en-US" w:eastAsia="zh-CN"/>
        </w:rPr>
        <w:t>标准</w:t>
      </w:r>
      <w:r>
        <w:rPr>
          <w:rFonts w:hint="eastAsia" w:ascii="宋体" w:hAnsi="宋体" w:eastAsia="宋体" w:cs="宋体"/>
          <w:color w:val="000000"/>
          <w:sz w:val="24"/>
          <w:szCs w:val="24"/>
          <w:highlight w:val="none"/>
        </w:rPr>
        <w:t>，并作为履约验收的内容，必要时甲方可以要求乙方在履约验收环节出具检测报告。</w:t>
      </w:r>
    </w:p>
    <w:p w14:paraId="357DBE5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7.5 </w:t>
      </w:r>
      <w:r>
        <w:rPr>
          <w:rFonts w:hint="eastAsia" w:ascii="宋体" w:hAnsi="宋体" w:eastAsia="宋体" w:cs="宋体"/>
          <w:color w:val="000000"/>
          <w:sz w:val="24"/>
          <w:szCs w:val="24"/>
          <w:highlight w:val="none"/>
        </w:rPr>
        <w:t>乙方在运输到达之前</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提前通知</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，并提示货物运输装卸的注意事项</w:t>
      </w:r>
      <w:r>
        <w:rPr>
          <w:rFonts w:hint="eastAsia" w:ascii="宋体" w:hAnsi="宋体" w:eastAsia="宋体" w:cs="宋体"/>
          <w:color w:val="000000"/>
          <w:sz w:val="24"/>
          <w:szCs w:val="24"/>
          <w:highlight w:val="none"/>
          <w:lang w:eastAsia="zh-CN"/>
        </w:rPr>
        <w:t>，甲方配合乙方做好货物的接收工作。</w:t>
      </w:r>
    </w:p>
    <w:p w14:paraId="61162AAD">
      <w:pPr>
        <w:pStyle w:val="58"/>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2"/>
          <w:sz w:val="24"/>
          <w:szCs w:val="24"/>
          <w:highlight w:val="none"/>
          <w:lang w:val="en-US" w:eastAsia="zh-CN"/>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kern w:val="2"/>
          <w:sz w:val="24"/>
          <w:szCs w:val="24"/>
          <w:highlight w:val="none"/>
          <w:lang w:eastAsia="zh-CN"/>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14:paraId="382E35BD">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000000"/>
          <w:sz w:val="24"/>
          <w:szCs w:val="24"/>
          <w:highlight w:val="none"/>
          <w:lang w:eastAsia="zh-CN"/>
        </w:rPr>
        <w:t>8</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16A03D2E">
      <w:pPr>
        <w:pStyle w:val="11"/>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745FC11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rPr>
        <w:t>定的</w:t>
      </w:r>
      <w:r>
        <w:rPr>
          <w:rFonts w:hint="eastAsia" w:ascii="宋体" w:hAnsi="宋体" w:eastAsia="宋体" w:cs="宋体"/>
          <w:sz w:val="24"/>
          <w:szCs w:val="24"/>
          <w:highlight w:val="none"/>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37DB08F1">
      <w:pPr>
        <w:pStyle w:val="11"/>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63B23E3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2E5559B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36BE262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4F4E42C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highlight w:val="none"/>
        </w:rPr>
        <w:t>在其使用寿命期内具</w:t>
      </w:r>
      <w:r>
        <w:rPr>
          <w:rFonts w:hint="eastAsia" w:ascii="宋体" w:hAnsi="宋体" w:eastAsia="宋体" w:cs="宋体"/>
          <w:sz w:val="24"/>
          <w:szCs w:val="24"/>
          <w:highlight w:val="none"/>
          <w:lang w:eastAsia="zh-CN"/>
        </w:rPr>
        <w:t>备合同约定</w:t>
      </w:r>
      <w:r>
        <w:rPr>
          <w:rFonts w:hint="eastAsia" w:ascii="宋体" w:hAnsi="宋体" w:eastAsia="宋体" w:cs="宋体"/>
          <w:sz w:val="24"/>
          <w:szCs w:val="24"/>
          <w:highlight w:val="none"/>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4ECE759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5CA2F30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3141736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000000"/>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sz w:val="24"/>
          <w:szCs w:val="24"/>
          <w:highlight w:val="none"/>
          <w:lang w:eastAsia="zh-CN"/>
        </w:rPr>
        <w:t>的违约责任</w:t>
      </w:r>
      <w:r>
        <w:rPr>
          <w:rFonts w:hint="eastAsia" w:ascii="宋体" w:hAnsi="宋体" w:eastAsia="宋体" w:cs="宋体"/>
          <w:color w:val="auto"/>
          <w:sz w:val="24"/>
          <w:szCs w:val="24"/>
          <w:highlight w:val="none"/>
        </w:rPr>
        <w:t>。</w:t>
      </w:r>
    </w:p>
    <w:p w14:paraId="21EBBA96">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75BAEE87">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000000"/>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20048EF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.1 乙方保证对其出售的货物享有合法的权利。</w:t>
      </w:r>
    </w:p>
    <w:p w14:paraId="009203B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 xml:space="preserve">.2 </w:t>
      </w:r>
      <w:r>
        <w:rPr>
          <w:rFonts w:hint="eastAsia" w:ascii="宋体" w:hAnsi="宋体" w:eastAsia="宋体" w:cs="宋体"/>
          <w:sz w:val="24"/>
          <w:szCs w:val="24"/>
          <w:highlight w:val="none"/>
        </w:rPr>
        <w:t>乙方保证在交付的货物上不存在抵押权等担保物权。</w:t>
      </w:r>
    </w:p>
    <w:p w14:paraId="2CE700F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.3 如甲方使用</w:t>
      </w:r>
      <w:r>
        <w:rPr>
          <w:rFonts w:hint="eastAsia" w:ascii="宋体" w:hAnsi="宋体" w:eastAsia="宋体" w:cs="宋体"/>
          <w:color w:val="000000"/>
          <w:sz w:val="24"/>
          <w:szCs w:val="24"/>
          <w:highlight w:val="none"/>
          <w:lang w:val="en-US" w:eastAsia="zh-CN"/>
        </w:rPr>
        <w:t>上述</w:t>
      </w:r>
      <w:r>
        <w:rPr>
          <w:rFonts w:hint="eastAsia" w:ascii="宋体" w:hAnsi="宋体" w:eastAsia="宋体" w:cs="宋体"/>
          <w:color w:val="000000"/>
          <w:sz w:val="24"/>
          <w:szCs w:val="24"/>
          <w:highlight w:val="none"/>
        </w:rPr>
        <w:t>货物构成</w:t>
      </w:r>
      <w:r>
        <w:rPr>
          <w:rFonts w:hint="eastAsia" w:ascii="宋体" w:hAnsi="宋体" w:eastAsia="宋体" w:cs="宋体"/>
          <w:color w:val="000000"/>
          <w:sz w:val="24"/>
          <w:szCs w:val="24"/>
          <w:highlight w:val="none"/>
          <w:lang w:val="en-US" w:eastAsia="zh-CN"/>
        </w:rPr>
        <w:t>对第三人</w:t>
      </w:r>
      <w:r>
        <w:rPr>
          <w:rFonts w:hint="eastAsia" w:ascii="宋体" w:hAnsi="宋体" w:eastAsia="宋体" w:cs="宋体"/>
          <w:color w:val="000000"/>
          <w:sz w:val="24"/>
          <w:szCs w:val="24"/>
          <w:highlight w:val="none"/>
        </w:rPr>
        <w:t>侵权的，则由乙方承担全部责任。</w:t>
      </w:r>
    </w:p>
    <w:p w14:paraId="3BB06A4E">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0</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知识产权保护</w:t>
      </w:r>
    </w:p>
    <w:p w14:paraId="68175A0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0</w:t>
      </w:r>
      <w:r>
        <w:rPr>
          <w:rFonts w:hint="eastAsia" w:ascii="宋体" w:hAnsi="宋体" w:eastAsia="宋体" w:cs="宋体"/>
          <w:color w:val="000000"/>
          <w:sz w:val="24"/>
          <w:szCs w:val="24"/>
          <w:highlight w:val="none"/>
        </w:rPr>
        <w:t>.1 乙方对其所销售的货物应当享有知识产权或经权利人合法授权，保证没有侵犯任</w:t>
      </w:r>
      <w:r>
        <w:rPr>
          <w:rFonts w:hint="eastAsia" w:ascii="宋体" w:hAnsi="宋体" w:eastAsia="宋体" w:cs="宋体"/>
          <w:color w:val="auto"/>
          <w:sz w:val="24"/>
          <w:szCs w:val="24"/>
          <w:highlight w:val="none"/>
        </w:rPr>
        <w:t>何第三人的知识产权等权利。</w:t>
      </w:r>
      <w:bookmarkStart w:id="50" w:name="_Hlk163047038"/>
      <w:r>
        <w:rPr>
          <w:rFonts w:hint="eastAsia" w:ascii="宋体" w:hAnsi="宋体" w:eastAsia="宋体" w:cs="宋体"/>
          <w:sz w:val="24"/>
          <w:szCs w:val="24"/>
          <w:highlight w:val="none"/>
        </w:rPr>
        <w:t>因违反前述约定对第三人构成侵权的，应当由乙方向第三人承担法律责任；甲方依法向第三人赔偿后，有权向乙方追偿。甲方有其他损失的，乙方应当赔偿</w:t>
      </w:r>
      <w:bookmarkEnd w:id="50"/>
      <w:r>
        <w:rPr>
          <w:rFonts w:hint="eastAsia" w:ascii="宋体" w:hAnsi="宋体" w:eastAsia="宋体" w:cs="宋体"/>
          <w:color w:val="auto"/>
          <w:sz w:val="24"/>
          <w:szCs w:val="24"/>
          <w:highlight w:val="none"/>
        </w:rPr>
        <w:t>。</w:t>
      </w:r>
    </w:p>
    <w:p w14:paraId="1A430B36">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23E1B9A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11.1 </w:t>
      </w:r>
      <w:r>
        <w:rPr>
          <w:rFonts w:hint="eastAsia" w:ascii="宋体" w:hAnsi="宋体" w:eastAsia="宋体" w:cs="宋体"/>
          <w:sz w:val="24"/>
          <w:szCs w:val="24"/>
          <w:highlight w:val="none"/>
        </w:rPr>
        <w:t>甲、乙双方</w:t>
      </w:r>
      <w:r>
        <w:rPr>
          <w:rFonts w:hint="eastAsia" w:ascii="宋体" w:hAnsi="宋体" w:eastAsia="宋体" w:cs="宋体"/>
          <w:sz w:val="24"/>
          <w:szCs w:val="24"/>
          <w:highlight w:val="none"/>
          <w:lang w:eastAsia="zh-CN"/>
        </w:rPr>
        <w:t>对</w:t>
      </w:r>
      <w:r>
        <w:rPr>
          <w:rFonts w:hint="eastAsia" w:ascii="宋体" w:hAnsi="宋体" w:eastAsia="宋体" w:cs="宋体"/>
          <w:sz w:val="24"/>
          <w:szCs w:val="24"/>
          <w:highlight w:val="none"/>
        </w:rPr>
        <w:t>采购和合同履行过程中所获悉的</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商业秘密或者其他应当保密的信息，均有保密义务</w:t>
      </w:r>
      <w:r>
        <w:rPr>
          <w:rFonts w:hint="eastAsia" w:ascii="宋体" w:hAnsi="宋体" w:eastAsia="宋体" w:cs="宋体"/>
          <w:sz w:val="24"/>
          <w:szCs w:val="24"/>
          <w:highlight w:val="none"/>
          <w:lang w:eastAsia="zh-CN"/>
        </w:rPr>
        <w:t>且不受合同有效期所限，直至该信息成为公开信息</w:t>
      </w:r>
      <w:r>
        <w:rPr>
          <w:rFonts w:hint="eastAsia" w:ascii="宋体" w:hAnsi="宋体" w:eastAsia="宋体" w:cs="宋体"/>
          <w:sz w:val="24"/>
          <w:szCs w:val="24"/>
          <w:highlight w:val="none"/>
        </w:rPr>
        <w:t>。泄露、不正当地使用</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w:t>
      </w:r>
      <w:r>
        <w:rPr>
          <w:rFonts w:hint="eastAsia" w:ascii="宋体" w:hAnsi="宋体" w:eastAsia="宋体" w:cs="宋体"/>
          <w:sz w:val="24"/>
          <w:szCs w:val="24"/>
          <w:highlight w:val="none"/>
          <w:lang w:eastAsia="zh-CN"/>
        </w:rPr>
        <w:t>其他应当保密的</w:t>
      </w:r>
      <w:r>
        <w:rPr>
          <w:rFonts w:hint="eastAsia" w:ascii="宋体" w:hAnsi="宋体" w:eastAsia="宋体" w:cs="宋体"/>
          <w:sz w:val="24"/>
          <w:szCs w:val="24"/>
          <w:highlight w:val="none"/>
        </w:rPr>
        <w:t>信息，应当承担</w:t>
      </w:r>
      <w:r>
        <w:rPr>
          <w:rFonts w:hint="eastAsia" w:ascii="宋体" w:hAnsi="宋体" w:eastAsia="宋体" w:cs="宋体"/>
          <w:sz w:val="24"/>
          <w:szCs w:val="24"/>
          <w:highlight w:val="none"/>
          <w:lang w:eastAsia="zh-CN"/>
        </w:rPr>
        <w:t>相应</w:t>
      </w:r>
      <w:r>
        <w:rPr>
          <w:rFonts w:hint="eastAsia" w:ascii="宋体" w:hAnsi="宋体" w:eastAsia="宋体" w:cs="宋体"/>
          <w:sz w:val="24"/>
          <w:szCs w:val="24"/>
          <w:highlight w:val="none"/>
        </w:rPr>
        <w:t>责任。其他应当保密的信息由双方在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中约定。</w:t>
      </w:r>
    </w:p>
    <w:p w14:paraId="2F5D794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2E66611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12.1 合同价款支付按照国库集中支付制度及财政管理相关规定执行。</w:t>
      </w:r>
    </w:p>
    <w:p w14:paraId="067ED6B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 xml:space="preserve">12.2 </w:t>
      </w:r>
      <w:r>
        <w:rPr>
          <w:rFonts w:hint="eastAsia" w:ascii="宋体" w:hAnsi="宋体" w:eastAsia="宋体" w:cs="宋体"/>
          <w:sz w:val="24"/>
          <w:szCs w:val="24"/>
          <w:highlight w:val="none"/>
          <w:lang w:eastAsia="zh-CN"/>
        </w:rPr>
        <w:t>对于满足合同约定支付条件的，</w:t>
      </w:r>
      <w:r>
        <w:rPr>
          <w:rFonts w:hint="eastAsia" w:ascii="宋体" w:hAnsi="宋体" w:eastAsia="宋体" w:cs="宋体"/>
          <w:sz w:val="24"/>
          <w:szCs w:val="24"/>
          <w:highlight w:val="none"/>
          <w:lang w:val="en-US" w:eastAsia="zh-CN"/>
        </w:rPr>
        <w:t>甲方</w:t>
      </w:r>
      <w:r>
        <w:rPr>
          <w:rFonts w:hint="eastAsia" w:ascii="宋体" w:hAnsi="宋体" w:eastAsia="宋体" w:cs="宋体"/>
          <w:sz w:val="24"/>
          <w:szCs w:val="24"/>
          <w:highlight w:val="none"/>
          <w:lang w:eastAsia="zh-CN"/>
        </w:rPr>
        <w:t>原则上应当自收到发票后10个工</w:t>
      </w:r>
      <w:r>
        <w:rPr>
          <w:rFonts w:hint="eastAsia" w:ascii="宋体" w:hAnsi="宋体" w:eastAsia="宋体" w:cs="宋体"/>
          <w:b w:val="0"/>
          <w:bCs w:val="0"/>
          <w:i w:val="0"/>
          <w:iCs w:val="0"/>
          <w:caps w:val="0"/>
          <w:color w:val="auto"/>
          <w:spacing w:val="0"/>
          <w:sz w:val="24"/>
          <w:szCs w:val="24"/>
          <w:highlight w:val="none"/>
          <w:shd w:val="clear" w:color="auto" w:fill="auto"/>
          <w:vertAlign w:val="baseline"/>
        </w:rPr>
        <w:t>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3FB7F829">
      <w:pPr>
        <w:pStyle w:val="8"/>
        <w:pageBreakBefore w:val="0"/>
        <w:kinsoku/>
        <w:wordWrap/>
        <w:overflowPunct/>
        <w:topLinePunct w:val="0"/>
        <w:bidi w:val="0"/>
        <w:spacing w:after="0"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不要求</w:t>
      </w:r>
      <w:r>
        <w:rPr>
          <w:rFonts w:hint="eastAsia" w:ascii="宋体" w:hAnsi="宋体" w:eastAsia="宋体" w:cs="宋体"/>
          <w:b/>
          <w:bCs/>
          <w:color w:val="auto"/>
          <w:sz w:val="24"/>
          <w:szCs w:val="24"/>
          <w:highlight w:val="none"/>
          <w:lang w:eastAsia="zh-CN"/>
        </w:rPr>
        <w:t>）</w:t>
      </w:r>
    </w:p>
    <w:p w14:paraId="32CD9410">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sz w:val="24"/>
          <w:szCs w:val="24"/>
          <w:highlight w:val="none"/>
        </w:rPr>
        <w:t>乙方应当以支票、汇票、本票或者金融机构、担保机构出具的保函等非现金形式提交。</w:t>
      </w:r>
    </w:p>
    <w:p w14:paraId="701A5FE9">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0CDC8358">
      <w:pPr>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73B29E44">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0EC29C3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73D55BB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51E690C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71E5000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12746F2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highlight w:val="none"/>
          <w:lang w:eastAsia="zh-CN"/>
        </w:rPr>
        <w:t>；</w:t>
      </w:r>
    </w:p>
    <w:p w14:paraId="3CAB7BA8">
      <w:pPr>
        <w:pStyle w:val="58"/>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（5）依照法律、行政法规的规定或者按照</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约定，货物在有效使用年限届满后应予回收的，乙方负有自行或者委托第三人对货物予以回收的义务；</w:t>
      </w:r>
    </w:p>
    <w:p w14:paraId="18E886C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533305A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3548E006">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76BB9EAC">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5A5C39E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7AB8CBA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2A8B977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4E7D2A4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4267036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77DFEA8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19C08D3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46ED4FAA">
      <w:pPr>
        <w:pageBreakBefore w:val="0"/>
        <w:numPr>
          <w:ilvl w:val="0"/>
          <w:numId w:val="6"/>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66F71BEA">
      <w:pPr>
        <w:pageBreakBefore w:val="0"/>
        <w:kinsoku/>
        <w:wordWrap/>
        <w:overflowPunct/>
        <w:topLinePunct w:val="0"/>
        <w:autoSpaceDE/>
        <w:autoSpaceDN/>
        <w:bidi w:val="0"/>
        <w:adjustRightInd w:val="0"/>
        <w:snapToGrid w:val="0"/>
        <w:spacing w:before="0"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61CF750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0B11258A">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7B790AB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47E69DF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440C9EED">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（3）乙方分立、合并或者变更住所的，应当及时以书面形式告知甲方。乙方没有</w:t>
      </w:r>
      <w:r>
        <w:rPr>
          <w:rFonts w:hint="eastAsia" w:ascii="宋体" w:hAnsi="宋体" w:eastAsia="宋体" w:cs="宋体"/>
          <w:sz w:val="24"/>
          <w:szCs w:val="24"/>
          <w:highlight w:val="none"/>
          <w:lang w:eastAsia="zh-CN"/>
        </w:rPr>
        <w:t>及时告知</w:t>
      </w:r>
      <w:r>
        <w:rPr>
          <w:rFonts w:hint="eastAsia" w:ascii="宋体" w:hAnsi="宋体" w:eastAsia="宋体" w:cs="宋体"/>
          <w:sz w:val="24"/>
          <w:szCs w:val="24"/>
          <w:highlight w:val="none"/>
        </w:rPr>
        <w:t>甲方，致使</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履行发生困难的，甲方可以中止合同履行并要求乙方承担由此给甲方造成的损失。</w:t>
      </w:r>
    </w:p>
    <w:p w14:paraId="04B74CA4">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5BAA9DB1">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097E943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4E918AD2">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并追究乙方的违约责</w:t>
      </w:r>
      <w:r>
        <w:rPr>
          <w:rFonts w:hint="eastAsia" w:ascii="宋体" w:hAnsi="宋体" w:eastAsia="宋体" w:cs="宋体"/>
          <w:sz w:val="24"/>
          <w:szCs w:val="24"/>
          <w:highlight w:val="none"/>
          <w:lang w:val="en-US" w:eastAsia="zh-CN"/>
        </w:rPr>
        <w:t>任</w:t>
      </w:r>
      <w:r>
        <w:rPr>
          <w:rFonts w:hint="eastAsia" w:ascii="宋体" w:hAnsi="宋体" w:eastAsia="宋体" w:cs="宋体"/>
          <w:color w:val="auto"/>
          <w:sz w:val="24"/>
          <w:szCs w:val="24"/>
          <w:highlight w:val="none"/>
        </w:rPr>
        <w:t>。</w:t>
      </w:r>
    </w:p>
    <w:p w14:paraId="553A87D7">
      <w:pPr>
        <w:pStyle w:val="58"/>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4F02A34E">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highlight w:val="none"/>
        </w:rPr>
        <w:t>中止</w:t>
      </w:r>
      <w:r>
        <w:rPr>
          <w:rFonts w:hint="eastAsia" w:ascii="宋体" w:hAnsi="宋体" w:eastAsia="宋体" w:cs="宋体"/>
          <w:sz w:val="24"/>
          <w:szCs w:val="24"/>
          <w:highlight w:val="none"/>
          <w:lang w:eastAsia="zh-CN"/>
        </w:rPr>
        <w:t>或者终止</w:t>
      </w:r>
      <w:r>
        <w:rPr>
          <w:rFonts w:hint="eastAsia" w:ascii="宋体" w:hAnsi="宋体" w:eastAsia="宋体" w:cs="宋体"/>
          <w:sz w:val="24"/>
          <w:szCs w:val="24"/>
          <w:highlight w:val="none"/>
        </w:rPr>
        <w:t>合同。有过错的一方应当承担赔偿责任，双方都有过错的，各自承担相应的责任。</w:t>
      </w:r>
    </w:p>
    <w:p w14:paraId="70EB8B92">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5AA9D59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07804E4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10EEB90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0B81007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0644AD1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74A8932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6C11EB5D">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3A075F69">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.1 因本合同及合同有关事项发生的争议，由</w:t>
      </w:r>
      <w:r>
        <w:rPr>
          <w:rFonts w:hint="eastAsia" w:ascii="宋体" w:hAnsi="宋体" w:eastAsia="宋体" w:cs="宋体"/>
          <w:sz w:val="24"/>
          <w:szCs w:val="24"/>
          <w:highlight w:val="none"/>
          <w:lang w:eastAsia="zh-CN"/>
        </w:rPr>
        <w:t>甲乙双</w:t>
      </w:r>
      <w:r>
        <w:rPr>
          <w:rFonts w:hint="eastAsia" w:ascii="宋体" w:hAnsi="宋体" w:eastAsia="宋体" w:cs="宋体"/>
          <w:sz w:val="24"/>
          <w:szCs w:val="24"/>
          <w:highlight w:val="none"/>
        </w:rPr>
        <w:t>方友好协商解决。协商不成时，可以</w:t>
      </w:r>
      <w:r>
        <w:rPr>
          <w:rFonts w:hint="eastAsia" w:ascii="宋体" w:hAnsi="宋体" w:eastAsia="宋体" w:cs="宋体"/>
          <w:sz w:val="24"/>
          <w:szCs w:val="24"/>
          <w:highlight w:val="none"/>
          <w:lang w:eastAsia="zh-CN"/>
        </w:rPr>
        <w:t>向有关组织申请</w:t>
      </w:r>
      <w:r>
        <w:rPr>
          <w:rFonts w:hint="eastAsia" w:ascii="宋体" w:hAnsi="宋体" w:eastAsia="宋体" w:cs="宋体"/>
          <w:sz w:val="24"/>
          <w:szCs w:val="24"/>
          <w:highlight w:val="none"/>
        </w:rPr>
        <w:t>调解。合同一方或</w:t>
      </w:r>
      <w:r>
        <w:rPr>
          <w:rFonts w:hint="eastAsia" w:ascii="宋体" w:hAnsi="宋体" w:eastAsia="宋体" w:cs="宋体"/>
          <w:sz w:val="24"/>
          <w:szCs w:val="24"/>
          <w:highlight w:val="none"/>
          <w:lang w:eastAsia="zh-CN"/>
        </w:rPr>
        <w:t>双</w:t>
      </w:r>
      <w:r>
        <w:rPr>
          <w:rFonts w:hint="eastAsia" w:ascii="宋体" w:hAnsi="宋体" w:eastAsia="宋体" w:cs="宋体"/>
          <w:sz w:val="24"/>
          <w:szCs w:val="24"/>
          <w:highlight w:val="none"/>
        </w:rPr>
        <w:t>方不愿调解或调解不成的，可以通过仲裁或诉讼的方式解决争议。</w:t>
      </w:r>
    </w:p>
    <w:p w14:paraId="40F42B9E">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中进一步约定选择与争议有实际联系的地点的人民法院管辖，但管辖法院的约定不得违反级别管辖和专属管辖的规定。</w:t>
      </w:r>
    </w:p>
    <w:p w14:paraId="71DC56E8">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.3 如</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有争议的事项不影响合同其他部分的履行，在争议解决期间，合同其他部分应</w:t>
      </w:r>
      <w:r>
        <w:rPr>
          <w:rFonts w:hint="eastAsia" w:ascii="宋体" w:hAnsi="宋体" w:eastAsia="宋体" w:cs="宋体"/>
          <w:sz w:val="24"/>
          <w:szCs w:val="24"/>
          <w:highlight w:val="none"/>
          <w:lang w:eastAsia="zh-CN"/>
        </w:rPr>
        <w:t>当</w:t>
      </w:r>
      <w:r>
        <w:rPr>
          <w:rFonts w:hint="eastAsia" w:ascii="宋体" w:hAnsi="宋体" w:eastAsia="宋体" w:cs="宋体"/>
          <w:sz w:val="24"/>
          <w:szCs w:val="24"/>
          <w:highlight w:val="none"/>
        </w:rPr>
        <w:t>继续履行。</w:t>
      </w:r>
    </w:p>
    <w:p w14:paraId="3A2A4C55">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4527044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sz w:val="24"/>
          <w:szCs w:val="24"/>
          <w:highlight w:val="none"/>
          <w:lang w:val="en-GB"/>
        </w:rPr>
        <w:t>本合同应当按照规定执行政府采购政策。</w:t>
      </w:r>
    </w:p>
    <w:p w14:paraId="1BF21B7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5438F9F8">
      <w:pPr>
        <w:pStyle w:val="8"/>
        <w:pageBreakBefore w:val="0"/>
        <w:kinsoku/>
        <w:wordWrap/>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7F15FD7">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7375D786">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 本合同的订立、生效、解释、履行及与本合同有关的争议解决，均适用法律、行政法规。</w:t>
      </w:r>
    </w:p>
    <w:p w14:paraId="0DD9285B">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 本合同条款与法律、行政法规的强制性规定不一致的，双方当事人应按照法律、行政法规的强制性规定修改本合同的相关条款。</w:t>
      </w:r>
    </w:p>
    <w:p w14:paraId="646614FE">
      <w:pPr>
        <w:pageBreakBefore w:val="0"/>
        <w:numPr>
          <w:ilvl w:val="-1"/>
          <w:numId w:val="0"/>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6E8D0C4F">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本合同任何一方向对方发出的通知、信件、数据电文等，应当发送至本合同第一部分《政府采购合同协议书》所约定的通讯地址、联系人、联系电话或电子邮箱。</w:t>
      </w:r>
    </w:p>
    <w:p w14:paraId="4E4DC897">
      <w:pPr>
        <w:pStyle w:val="58"/>
        <w:pageBreakBefore w:val="0"/>
        <w:kinsoku/>
        <w:wordWrap/>
        <w:overflowPunct/>
        <w:topLinePunct w:val="0"/>
        <w:bidi w:val="0"/>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一方当事人变更名称、</w:t>
      </w:r>
      <w:r>
        <w:rPr>
          <w:rFonts w:hint="eastAsia" w:ascii="宋体" w:hAnsi="宋体" w:eastAsia="宋体" w:cs="宋体"/>
          <w:sz w:val="24"/>
          <w:szCs w:val="24"/>
          <w:highlight w:val="none"/>
          <w:lang w:eastAsia="zh-CN"/>
        </w:rPr>
        <w:t>住所</w:t>
      </w:r>
      <w:r>
        <w:rPr>
          <w:rFonts w:hint="eastAsia" w:ascii="宋体" w:hAnsi="宋体" w:eastAsia="宋体" w:cs="宋体"/>
          <w:sz w:val="24"/>
          <w:szCs w:val="24"/>
          <w:highlight w:val="none"/>
        </w:rPr>
        <w:t>、联系人、联系电话或电子邮箱</w:t>
      </w:r>
      <w:r>
        <w:rPr>
          <w:rFonts w:hint="eastAsia" w:ascii="宋体" w:hAnsi="宋体" w:eastAsia="宋体" w:cs="宋体"/>
          <w:sz w:val="24"/>
          <w:szCs w:val="24"/>
          <w:highlight w:val="none"/>
          <w:lang w:eastAsia="zh-CN"/>
        </w:rPr>
        <w:t>等信息</w:t>
      </w:r>
      <w:r>
        <w:rPr>
          <w:rFonts w:hint="eastAsia" w:ascii="宋体" w:hAnsi="宋体" w:eastAsia="宋体" w:cs="宋体"/>
          <w:sz w:val="24"/>
          <w:szCs w:val="24"/>
          <w:highlight w:val="none"/>
        </w:rPr>
        <w:t>的，应当在变更后3日内及时书面通知对方，对方实际收到变更通知前的送达仍为有效送达。</w:t>
      </w:r>
    </w:p>
    <w:p w14:paraId="00D32E5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656FA053">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618972D1">
      <w:pPr>
        <w:pageBreakBefore w:val="0"/>
        <w:numPr>
          <w:ilvl w:val="0"/>
          <w:numId w:val="7"/>
        </w:numP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6131A2F4">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4D9B2589">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51" w:name="_Toc20313"/>
    </w:p>
    <w:p w14:paraId="29B51941">
      <w:pPr>
        <w:pStyle w:val="3"/>
        <w:pageBreakBefore w:val="0"/>
        <w:kinsoku/>
        <w:wordWrap/>
        <w:overflowPunct/>
        <w:topLinePunct w:val="0"/>
        <w:bidi w:val="0"/>
        <w:adjustRightInd w:val="0"/>
        <w:snapToGrid w:val="0"/>
        <w:spacing w:before="156" w:beforeLines="50" w:line="360" w:lineRule="auto"/>
        <w:jc w:val="center"/>
        <w:textAlignment w:val="auto"/>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7291BAA1">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D7B5A6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396D002">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786063DC">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C6D735A">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3D2C3055">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47AD2DD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8A8447F">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B3C8260">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616360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C80D0E2">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EA5ACD9">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06A76CBE">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33D9D2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br w:type="page"/>
      </w:r>
    </w:p>
    <w:bookmarkEnd w:id="51"/>
    <w:p w14:paraId="26820FA4">
      <w:pPr>
        <w:spacing w:line="360" w:lineRule="auto"/>
        <w:jc w:val="center"/>
        <w:outlineLvl w:val="0"/>
        <w:rPr>
          <w:rFonts w:ascii="宋体" w:hAnsi="宋体" w:eastAsia="宋体"/>
          <w:b/>
          <w:color w:val="auto"/>
          <w:sz w:val="28"/>
          <w:highlight w:val="none"/>
        </w:rPr>
      </w:pPr>
      <w:bookmarkStart w:id="52" w:name="_Toc22492"/>
      <w:r>
        <w:rPr>
          <w:rFonts w:hint="eastAsia" w:ascii="宋体" w:hAnsi="宋体" w:eastAsia="宋体"/>
          <w:b/>
          <w:color w:val="auto"/>
          <w:sz w:val="28"/>
          <w:highlight w:val="none"/>
        </w:rPr>
        <w:t>第六章  投标文件格式</w:t>
      </w:r>
      <w:bookmarkEnd w:id="52"/>
    </w:p>
    <w:p w14:paraId="6F01D733">
      <w:pPr>
        <w:spacing w:line="900" w:lineRule="exact"/>
        <w:jc w:val="center"/>
        <w:rPr>
          <w:rFonts w:ascii="宋体" w:hAnsi="宋体" w:eastAsia="宋体"/>
          <w:b/>
          <w:color w:val="auto"/>
          <w:sz w:val="72"/>
          <w:highlight w:val="none"/>
        </w:rPr>
      </w:pPr>
    </w:p>
    <w:p w14:paraId="38543885">
      <w:pPr>
        <w:spacing w:line="900" w:lineRule="exact"/>
        <w:jc w:val="center"/>
        <w:outlineLvl w:val="1"/>
        <w:rPr>
          <w:rFonts w:ascii="宋体" w:hAnsi="宋体" w:eastAsia="宋体"/>
          <w:b/>
          <w:color w:val="auto"/>
          <w:sz w:val="72"/>
          <w:highlight w:val="none"/>
        </w:rPr>
      </w:pPr>
      <w:bookmarkStart w:id="53" w:name="_Toc651"/>
      <w:r>
        <w:rPr>
          <w:rFonts w:hint="eastAsia" w:ascii="宋体" w:hAnsi="宋体" w:eastAsia="宋体"/>
          <w:b/>
          <w:color w:val="auto"/>
          <w:sz w:val="72"/>
          <w:highlight w:val="none"/>
        </w:rPr>
        <w:t>投</w:t>
      </w:r>
      <w:bookmarkEnd w:id="53"/>
    </w:p>
    <w:p w14:paraId="556CBF89">
      <w:pPr>
        <w:spacing w:line="900" w:lineRule="exact"/>
        <w:jc w:val="center"/>
        <w:rPr>
          <w:rFonts w:ascii="宋体" w:hAnsi="宋体" w:eastAsia="宋体"/>
          <w:b/>
          <w:color w:val="auto"/>
          <w:sz w:val="72"/>
          <w:highlight w:val="none"/>
        </w:rPr>
      </w:pPr>
    </w:p>
    <w:p w14:paraId="7B32B97A">
      <w:pPr>
        <w:spacing w:line="900" w:lineRule="exact"/>
        <w:jc w:val="center"/>
        <w:outlineLvl w:val="1"/>
        <w:rPr>
          <w:rFonts w:ascii="宋体" w:hAnsi="宋体" w:eastAsia="宋体"/>
          <w:b/>
          <w:color w:val="auto"/>
          <w:sz w:val="72"/>
          <w:highlight w:val="none"/>
        </w:rPr>
      </w:pPr>
      <w:bookmarkStart w:id="54" w:name="_Toc6148"/>
      <w:r>
        <w:rPr>
          <w:rFonts w:hint="eastAsia" w:ascii="宋体" w:hAnsi="宋体" w:eastAsia="宋体"/>
          <w:b/>
          <w:color w:val="auto"/>
          <w:sz w:val="72"/>
          <w:highlight w:val="none"/>
        </w:rPr>
        <w:t>标</w:t>
      </w:r>
      <w:bookmarkEnd w:id="54"/>
    </w:p>
    <w:p w14:paraId="1FDDE5F7">
      <w:pPr>
        <w:spacing w:line="900" w:lineRule="exact"/>
        <w:jc w:val="center"/>
        <w:rPr>
          <w:rFonts w:ascii="宋体" w:hAnsi="宋体" w:eastAsia="宋体"/>
          <w:b/>
          <w:color w:val="auto"/>
          <w:sz w:val="72"/>
          <w:highlight w:val="none"/>
        </w:rPr>
      </w:pPr>
    </w:p>
    <w:p w14:paraId="5B42200E">
      <w:pPr>
        <w:spacing w:line="900" w:lineRule="exact"/>
        <w:jc w:val="center"/>
        <w:outlineLvl w:val="1"/>
        <w:rPr>
          <w:rFonts w:ascii="宋体" w:hAnsi="宋体" w:eastAsia="宋体"/>
          <w:b/>
          <w:color w:val="auto"/>
          <w:sz w:val="72"/>
          <w:highlight w:val="none"/>
        </w:rPr>
      </w:pPr>
      <w:bookmarkStart w:id="55" w:name="_Toc1338"/>
      <w:r>
        <w:rPr>
          <w:rFonts w:hint="eastAsia" w:ascii="宋体" w:hAnsi="宋体" w:eastAsia="宋体"/>
          <w:b/>
          <w:color w:val="auto"/>
          <w:sz w:val="72"/>
          <w:highlight w:val="none"/>
        </w:rPr>
        <w:t>文</w:t>
      </w:r>
      <w:bookmarkEnd w:id="55"/>
    </w:p>
    <w:p w14:paraId="0FB205A1">
      <w:pPr>
        <w:spacing w:line="900" w:lineRule="exact"/>
        <w:jc w:val="center"/>
        <w:rPr>
          <w:rFonts w:ascii="宋体" w:hAnsi="宋体" w:eastAsia="宋体"/>
          <w:b/>
          <w:color w:val="auto"/>
          <w:sz w:val="72"/>
          <w:highlight w:val="none"/>
        </w:rPr>
      </w:pPr>
    </w:p>
    <w:p w14:paraId="6F4188FE">
      <w:pPr>
        <w:jc w:val="center"/>
        <w:outlineLvl w:val="1"/>
        <w:rPr>
          <w:rFonts w:ascii="宋体" w:hAnsi="宋体" w:eastAsia="宋体"/>
          <w:b/>
          <w:color w:val="auto"/>
          <w:sz w:val="72"/>
          <w:highlight w:val="none"/>
        </w:rPr>
      </w:pPr>
      <w:bookmarkStart w:id="56" w:name="_Toc10796"/>
      <w:r>
        <w:rPr>
          <w:rFonts w:hint="eastAsia" w:ascii="宋体" w:hAnsi="宋体" w:eastAsia="宋体"/>
          <w:b/>
          <w:color w:val="auto"/>
          <w:sz w:val="72"/>
          <w:highlight w:val="none"/>
        </w:rPr>
        <w:t>件</w:t>
      </w:r>
      <w:bookmarkEnd w:id="56"/>
    </w:p>
    <w:p w14:paraId="7C5BE7EA">
      <w:pPr>
        <w:spacing w:before="156" w:beforeLines="50" w:after="156" w:afterLines="50"/>
        <w:jc w:val="center"/>
        <w:outlineLvl w:val="9"/>
        <w:rPr>
          <w:rFonts w:hint="default"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资信证明文件（一）</w:t>
      </w:r>
    </w:p>
    <w:p w14:paraId="7F796F65">
      <w:pPr>
        <w:spacing w:after="156" w:afterLines="50" w:line="500" w:lineRule="exact"/>
        <w:jc w:val="center"/>
        <w:rPr>
          <w:rFonts w:ascii="宋体" w:hAnsi="宋体" w:eastAsia="宋体"/>
          <w:b/>
          <w:color w:val="auto"/>
          <w:sz w:val="28"/>
          <w:szCs w:val="28"/>
          <w:highlight w:val="none"/>
        </w:rPr>
      </w:pPr>
    </w:p>
    <w:p w14:paraId="57A235CF">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362BDD6C">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5510C159">
      <w:pP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2D23044C">
      <w:pP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bookmarkStart w:id="57" w:name="_Toc9994"/>
      <w:bookmarkStart w:id="58" w:name="_Toc8037"/>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bookmarkEnd w:id="57"/>
      <w:bookmarkEnd w:id="58"/>
    </w:p>
    <w:p w14:paraId="7EB7087D">
      <w:pPr>
        <w:widowControl/>
        <w:jc w:val="left"/>
        <w:rPr>
          <w:rFonts w:ascii="宋体" w:hAnsi="宋体" w:eastAsia="宋体"/>
          <w:b/>
          <w:color w:val="auto"/>
          <w:sz w:val="28"/>
          <w:highlight w:val="none"/>
        </w:rPr>
      </w:pPr>
      <w:r>
        <w:rPr>
          <w:rFonts w:ascii="宋体" w:hAnsi="宋体" w:eastAsia="宋体"/>
          <w:b/>
          <w:color w:val="auto"/>
          <w:sz w:val="28"/>
          <w:highlight w:val="none"/>
        </w:rPr>
        <w:br w:type="page"/>
      </w:r>
    </w:p>
    <w:p w14:paraId="6072E310">
      <w:pPr>
        <w:widowControl/>
        <w:jc w:val="center"/>
        <w:rPr>
          <w:rFonts w:hint="eastAsia" w:ascii="宋体" w:hAnsi="宋体" w:eastAsia="宋体"/>
          <w:b/>
          <w:color w:val="auto"/>
          <w:sz w:val="28"/>
          <w:highlight w:val="none"/>
          <w:lang w:val="en-US" w:eastAsia="zh-CN"/>
        </w:rPr>
      </w:pPr>
      <w:r>
        <w:rPr>
          <w:rFonts w:hint="eastAsia" w:ascii="宋体" w:hAnsi="宋体" w:eastAsia="宋体"/>
          <w:b/>
          <w:color w:val="auto"/>
          <w:sz w:val="28"/>
          <w:highlight w:val="none"/>
          <w:lang w:val="en-US" w:eastAsia="zh-CN"/>
        </w:rPr>
        <w:t>目录</w:t>
      </w:r>
    </w:p>
    <w:p w14:paraId="38D8362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（1）法定代表人身份证明文件及其有效身份证（或法人代表授权委托书及其有效身份证）；（格式见附件）</w:t>
      </w:r>
    </w:p>
    <w:p w14:paraId="5D88E626">
      <w:pPr>
        <w:spacing w:line="360" w:lineRule="auto"/>
        <w:ind w:firstLine="435"/>
        <w:outlineLvl w:val="9"/>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（2）供应商须具有有效的营业执照、税务登记证、组织机构代码证（或三证合一的证书）；</w:t>
      </w:r>
    </w:p>
    <w:p w14:paraId="4AF0FFFA">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（3）供应商资格声明书（格式见附件）</w:t>
      </w:r>
    </w:p>
    <w:p w14:paraId="50783036">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诚信履约承诺函</w:t>
      </w:r>
      <w:r>
        <w:rPr>
          <w:rFonts w:hint="eastAsia" w:ascii="宋体" w:hAnsi="宋体" w:eastAsia="宋体" w:cs="宋体"/>
          <w:color w:val="auto"/>
          <w:sz w:val="24"/>
          <w:highlight w:val="none"/>
          <w:lang w:val="en-US" w:eastAsia="zh-CN"/>
        </w:rPr>
        <w:t>（格式见附件）</w:t>
      </w:r>
    </w:p>
    <w:p w14:paraId="769950CD">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（5）投标人认为需要提供的其他评审及证明材料</w:t>
      </w:r>
    </w:p>
    <w:p w14:paraId="7FBBA626">
      <w:pPr>
        <w:spacing w:line="360" w:lineRule="auto"/>
        <w:ind w:firstLine="435"/>
        <w:rPr>
          <w:rFonts w:hint="eastAsia" w:ascii="宋体" w:hAnsi="宋体" w:eastAsia="宋体" w:cs="宋体"/>
          <w:color w:val="auto"/>
          <w:sz w:val="24"/>
          <w:highlight w:val="none"/>
          <w:lang w:val="en-US" w:eastAsia="zh-CN"/>
        </w:rPr>
      </w:pPr>
    </w:p>
    <w:p w14:paraId="43242718">
      <w:pPr>
        <w:spacing w:line="360" w:lineRule="auto"/>
        <w:ind w:firstLine="435"/>
        <w:rPr>
          <w:rFonts w:hint="eastAsia" w:ascii="宋体" w:hAnsi="宋体" w:eastAsia="宋体" w:cs="宋体"/>
          <w:color w:val="auto"/>
          <w:sz w:val="24"/>
          <w:highlight w:val="none"/>
          <w:lang w:val="en-US" w:eastAsia="zh-CN"/>
        </w:rPr>
      </w:pPr>
    </w:p>
    <w:p w14:paraId="5A5AF1F6">
      <w:pPr>
        <w:spacing w:line="360" w:lineRule="auto"/>
        <w:ind w:firstLine="435"/>
        <w:rPr>
          <w:rFonts w:hint="eastAsia" w:ascii="宋体" w:hAnsi="宋体" w:eastAsia="宋体" w:cs="宋体"/>
          <w:color w:val="auto"/>
          <w:sz w:val="24"/>
          <w:highlight w:val="none"/>
          <w:lang w:val="en-US" w:eastAsia="zh-CN"/>
        </w:rPr>
      </w:pPr>
    </w:p>
    <w:p w14:paraId="18962569">
      <w:pPr>
        <w:spacing w:line="360" w:lineRule="auto"/>
        <w:ind w:firstLine="435"/>
        <w:rPr>
          <w:rFonts w:hint="eastAsia" w:ascii="宋体" w:hAnsi="宋体" w:eastAsia="宋体" w:cs="宋体"/>
          <w:color w:val="auto"/>
          <w:sz w:val="24"/>
          <w:highlight w:val="none"/>
          <w:lang w:val="en-US" w:eastAsia="zh-CN"/>
        </w:rPr>
      </w:pPr>
    </w:p>
    <w:p w14:paraId="52E790FC">
      <w:pPr>
        <w:spacing w:line="360" w:lineRule="auto"/>
        <w:ind w:firstLine="435"/>
        <w:rPr>
          <w:rFonts w:hint="eastAsia" w:ascii="宋体" w:hAnsi="宋体" w:eastAsia="宋体" w:cs="宋体"/>
          <w:color w:val="auto"/>
          <w:sz w:val="24"/>
          <w:highlight w:val="none"/>
          <w:lang w:val="en-US" w:eastAsia="zh-CN"/>
        </w:rPr>
      </w:pPr>
    </w:p>
    <w:p w14:paraId="743DE764">
      <w:pPr>
        <w:spacing w:line="360" w:lineRule="auto"/>
        <w:ind w:firstLine="435"/>
        <w:rPr>
          <w:rFonts w:hint="eastAsia" w:ascii="宋体" w:hAnsi="宋体" w:eastAsia="宋体" w:cs="宋体"/>
          <w:color w:val="auto"/>
          <w:sz w:val="24"/>
          <w:highlight w:val="none"/>
          <w:lang w:val="en-US" w:eastAsia="zh-CN"/>
        </w:rPr>
      </w:pPr>
    </w:p>
    <w:p w14:paraId="7347BE39">
      <w:pPr>
        <w:spacing w:line="360" w:lineRule="auto"/>
        <w:ind w:firstLine="435"/>
        <w:rPr>
          <w:rFonts w:hint="eastAsia" w:ascii="宋体" w:hAnsi="宋体" w:eastAsia="宋体" w:cs="宋体"/>
          <w:color w:val="auto"/>
          <w:sz w:val="24"/>
          <w:highlight w:val="none"/>
          <w:lang w:val="en-US" w:eastAsia="zh-CN"/>
        </w:rPr>
      </w:pPr>
    </w:p>
    <w:p w14:paraId="4B80581D">
      <w:pPr>
        <w:spacing w:line="360" w:lineRule="auto"/>
        <w:ind w:firstLine="435"/>
        <w:rPr>
          <w:rFonts w:hint="eastAsia" w:ascii="宋体" w:hAnsi="宋体" w:eastAsia="宋体" w:cs="宋体"/>
          <w:color w:val="auto"/>
          <w:sz w:val="24"/>
          <w:highlight w:val="none"/>
          <w:lang w:val="en-US" w:eastAsia="zh-CN"/>
        </w:rPr>
      </w:pPr>
    </w:p>
    <w:p w14:paraId="716D690B">
      <w:pPr>
        <w:spacing w:line="360" w:lineRule="auto"/>
        <w:ind w:firstLine="435"/>
        <w:rPr>
          <w:rFonts w:hint="eastAsia" w:ascii="宋体" w:hAnsi="宋体" w:eastAsia="宋体" w:cs="宋体"/>
          <w:color w:val="auto"/>
          <w:sz w:val="24"/>
          <w:highlight w:val="none"/>
          <w:lang w:val="en-US" w:eastAsia="zh-CN"/>
        </w:rPr>
      </w:pPr>
    </w:p>
    <w:p w14:paraId="41FDCCC2">
      <w:pPr>
        <w:spacing w:line="360" w:lineRule="auto"/>
        <w:ind w:firstLine="435"/>
        <w:rPr>
          <w:rFonts w:hint="eastAsia" w:ascii="宋体" w:hAnsi="宋体" w:eastAsia="宋体" w:cs="宋体"/>
          <w:color w:val="auto"/>
          <w:sz w:val="24"/>
          <w:highlight w:val="none"/>
          <w:lang w:val="en-US" w:eastAsia="zh-CN"/>
        </w:rPr>
      </w:pPr>
    </w:p>
    <w:p w14:paraId="0F476DEA">
      <w:pPr>
        <w:spacing w:line="360" w:lineRule="auto"/>
        <w:ind w:firstLine="435"/>
        <w:rPr>
          <w:rFonts w:hint="eastAsia" w:ascii="宋体" w:hAnsi="宋体" w:eastAsia="宋体" w:cs="宋体"/>
          <w:color w:val="auto"/>
          <w:sz w:val="24"/>
          <w:highlight w:val="none"/>
          <w:lang w:val="en-US" w:eastAsia="zh-CN"/>
        </w:rPr>
      </w:pPr>
    </w:p>
    <w:p w14:paraId="3DD8E7FC">
      <w:pPr>
        <w:spacing w:line="360" w:lineRule="auto"/>
        <w:ind w:firstLine="435"/>
        <w:rPr>
          <w:rFonts w:hint="eastAsia" w:ascii="宋体" w:hAnsi="宋体" w:eastAsia="宋体" w:cs="宋体"/>
          <w:color w:val="auto"/>
          <w:sz w:val="24"/>
          <w:highlight w:val="none"/>
          <w:lang w:val="en-US" w:eastAsia="zh-CN"/>
        </w:rPr>
      </w:pPr>
    </w:p>
    <w:p w14:paraId="6B86E8BB">
      <w:pPr>
        <w:spacing w:line="360" w:lineRule="auto"/>
        <w:ind w:firstLine="435"/>
        <w:rPr>
          <w:rFonts w:hint="eastAsia" w:ascii="宋体" w:hAnsi="宋体" w:eastAsia="宋体" w:cs="宋体"/>
          <w:color w:val="auto"/>
          <w:sz w:val="24"/>
          <w:highlight w:val="none"/>
          <w:lang w:val="en-US" w:eastAsia="zh-CN"/>
        </w:rPr>
      </w:pPr>
    </w:p>
    <w:p w14:paraId="18824151">
      <w:pPr>
        <w:spacing w:line="360" w:lineRule="auto"/>
        <w:ind w:firstLine="435"/>
        <w:rPr>
          <w:rFonts w:hint="eastAsia" w:ascii="宋体" w:hAnsi="宋体" w:eastAsia="宋体" w:cs="宋体"/>
          <w:color w:val="auto"/>
          <w:sz w:val="24"/>
          <w:highlight w:val="none"/>
          <w:lang w:val="en-US" w:eastAsia="zh-CN"/>
        </w:rPr>
      </w:pPr>
    </w:p>
    <w:p w14:paraId="6EE2676A">
      <w:pPr>
        <w:spacing w:line="360" w:lineRule="auto"/>
        <w:ind w:firstLine="435"/>
        <w:rPr>
          <w:rFonts w:hint="eastAsia" w:ascii="宋体" w:hAnsi="宋体" w:eastAsia="宋体" w:cs="宋体"/>
          <w:color w:val="auto"/>
          <w:sz w:val="24"/>
          <w:highlight w:val="none"/>
          <w:lang w:val="en-US" w:eastAsia="zh-CN"/>
        </w:rPr>
      </w:pPr>
    </w:p>
    <w:p w14:paraId="3FB93790">
      <w:pPr>
        <w:pStyle w:val="3"/>
        <w:rPr>
          <w:rFonts w:hint="eastAsia" w:ascii="宋体" w:hAnsi="宋体" w:eastAsia="宋体" w:cs="宋体"/>
          <w:color w:val="auto"/>
          <w:sz w:val="24"/>
          <w:highlight w:val="none"/>
          <w:lang w:val="en-US" w:eastAsia="zh-CN"/>
        </w:rPr>
      </w:pPr>
    </w:p>
    <w:p w14:paraId="50B56C2F">
      <w:pPr>
        <w:rPr>
          <w:rFonts w:hint="eastAsia"/>
          <w:highlight w:val="none"/>
          <w:lang w:val="en-US" w:eastAsia="zh-CN"/>
        </w:rPr>
      </w:pPr>
    </w:p>
    <w:p w14:paraId="3F1DCF5A">
      <w:pPr>
        <w:spacing w:line="360" w:lineRule="auto"/>
        <w:ind w:firstLine="435"/>
        <w:rPr>
          <w:rFonts w:hint="eastAsia" w:ascii="宋体" w:hAnsi="宋体" w:eastAsia="宋体" w:cs="宋体"/>
          <w:color w:val="auto"/>
          <w:sz w:val="24"/>
          <w:highlight w:val="none"/>
          <w:lang w:val="en-US" w:eastAsia="zh-CN"/>
        </w:rPr>
      </w:pPr>
    </w:p>
    <w:p w14:paraId="000D6AD2">
      <w:pPr>
        <w:spacing w:line="360" w:lineRule="auto"/>
        <w:ind w:firstLine="435"/>
        <w:rPr>
          <w:rFonts w:hint="eastAsia" w:ascii="宋体" w:hAnsi="宋体" w:eastAsia="宋体" w:cs="宋体"/>
          <w:color w:val="auto"/>
          <w:sz w:val="24"/>
          <w:highlight w:val="none"/>
          <w:lang w:val="en-US" w:eastAsia="zh-CN"/>
        </w:rPr>
      </w:pPr>
    </w:p>
    <w:p w14:paraId="441E0381">
      <w:pPr>
        <w:spacing w:line="360" w:lineRule="auto"/>
        <w:ind w:firstLine="435"/>
        <w:rPr>
          <w:rFonts w:hint="eastAsia" w:ascii="宋体" w:hAnsi="宋体" w:eastAsia="宋体" w:cs="宋体"/>
          <w:color w:val="auto"/>
          <w:sz w:val="24"/>
          <w:highlight w:val="none"/>
          <w:lang w:val="en-US" w:eastAsia="zh-CN"/>
        </w:rPr>
      </w:pPr>
    </w:p>
    <w:p w14:paraId="3DC4AE93">
      <w:pPr>
        <w:spacing w:line="360" w:lineRule="auto"/>
        <w:jc w:val="center"/>
        <w:outlineLvl w:val="1"/>
        <w:rPr>
          <w:rFonts w:hint="eastAsia" w:ascii="宋体" w:hAnsi="宋体" w:eastAsia="宋体"/>
          <w:b/>
          <w:color w:val="auto"/>
          <w:sz w:val="24"/>
          <w:highlight w:val="none"/>
        </w:rPr>
      </w:pPr>
      <w:bookmarkStart w:id="59" w:name="_Toc1328"/>
      <w:r>
        <w:rPr>
          <w:rFonts w:hint="eastAsia" w:ascii="宋体" w:hAnsi="宋体" w:eastAsia="宋体"/>
          <w:b/>
          <w:color w:val="auto"/>
          <w:sz w:val="24"/>
          <w:highlight w:val="none"/>
          <w:lang w:val="en-US" w:eastAsia="zh-CN"/>
        </w:rPr>
        <w:t>一．投标人资格声明书</w:t>
      </w:r>
      <w:bookmarkEnd w:id="59"/>
    </w:p>
    <w:p w14:paraId="01957260">
      <w:pPr>
        <w:pStyle w:val="12"/>
        <w:spacing w:line="360" w:lineRule="auto"/>
        <w:rPr>
          <w:rFonts w:hint="eastAsia" w:ascii="宋体" w:hAnsi="宋体" w:eastAsia="宋体" w:cs="宋体"/>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1B95EBD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在参与本次项目投标中，我单位承诺：</w:t>
      </w:r>
    </w:p>
    <w:p w14:paraId="41CCF20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（一）具有良好的商业信誉和健全的财务会计制度；</w:t>
      </w:r>
    </w:p>
    <w:p w14:paraId="75C3B45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（二）具有履行合同所必需的设备和专业技术能力；</w:t>
      </w:r>
    </w:p>
    <w:p w14:paraId="7B2451C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（三）有依法缴纳税收和社会保障资金的良好记录；</w:t>
      </w:r>
    </w:p>
    <w:p w14:paraId="4F7245D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C1EC15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（五）我单位不存在为采购项目提供整体设计、规范编制或者项目管理、监理、检测等服务后，再参加该采购项目的其他采购活动的情形（单一来源采购项目除外）；</w:t>
      </w:r>
    </w:p>
    <w:p w14:paraId="665781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（六）与我单位存在单位负责人为同一人或者存在直接控股、管理关系的其他法人单位信息如下（如有，不论其是否参加同一合同项下的政府采购活动均须填写）：</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9B7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04BF4B8E">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序号</w:t>
            </w:r>
          </w:p>
        </w:tc>
        <w:tc>
          <w:tcPr>
            <w:tcW w:w="2841" w:type="dxa"/>
          </w:tcPr>
          <w:p w14:paraId="0B1E28B8">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单位名称</w:t>
            </w:r>
          </w:p>
        </w:tc>
        <w:tc>
          <w:tcPr>
            <w:tcW w:w="2841" w:type="dxa"/>
          </w:tcPr>
          <w:p w14:paraId="524B90FC">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相互关系</w:t>
            </w:r>
          </w:p>
        </w:tc>
      </w:tr>
      <w:tr w14:paraId="7C60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0C10A2C">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1</w:t>
            </w:r>
          </w:p>
        </w:tc>
        <w:tc>
          <w:tcPr>
            <w:tcW w:w="2841" w:type="dxa"/>
          </w:tcPr>
          <w:p w14:paraId="3CC9B9FA">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454523E8">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r w14:paraId="791C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C170B89">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2</w:t>
            </w:r>
          </w:p>
        </w:tc>
        <w:tc>
          <w:tcPr>
            <w:tcW w:w="2841" w:type="dxa"/>
          </w:tcPr>
          <w:p w14:paraId="5BF24752">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72B38ADF">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bl>
    <w:p w14:paraId="38B9AE3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本单位对上述声明的真实性负责。如有虚假，将依法承担相应责任。</w:t>
      </w:r>
    </w:p>
    <w:p w14:paraId="00D12BAB">
      <w:pPr>
        <w:spacing w:line="360" w:lineRule="auto"/>
        <w:ind w:firstLine="4800" w:firstLineChars="2000"/>
        <w:rPr>
          <w:rFonts w:ascii="宋体" w:hAnsi="宋体" w:eastAsia="宋体"/>
          <w:color w:val="auto"/>
          <w:sz w:val="24"/>
          <w:highlight w:val="none"/>
        </w:rPr>
      </w:pPr>
    </w:p>
    <w:p w14:paraId="7104CE85">
      <w:pPr>
        <w:spacing w:line="360" w:lineRule="auto"/>
        <w:ind w:firstLine="4800" w:firstLineChars="2000"/>
        <w:rPr>
          <w:rFonts w:ascii="宋体" w:hAnsi="宋体" w:eastAsia="宋体"/>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24624F18">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79B0C955">
      <w:pPr>
        <w:pStyle w:val="8"/>
        <w:rPr>
          <w:rFonts w:hint="eastAsia" w:ascii="宋体" w:hAnsi="宋体" w:eastAsia="宋体" w:cs="宋体"/>
          <w:color w:val="000000"/>
          <w:kern w:val="0"/>
          <w:sz w:val="24"/>
          <w:szCs w:val="24"/>
          <w:highlight w:val="none"/>
          <w:lang w:val="en-US" w:eastAsia="zh-CN"/>
        </w:rPr>
      </w:pPr>
    </w:p>
    <w:p w14:paraId="7E727006">
      <w:pPr>
        <w:pStyle w:val="8"/>
        <w:rPr>
          <w:rFonts w:hint="eastAsia" w:ascii="宋体" w:hAnsi="宋体" w:eastAsia="宋体" w:cs="宋体"/>
          <w:color w:val="000000"/>
          <w:kern w:val="0"/>
          <w:sz w:val="24"/>
          <w:szCs w:val="24"/>
          <w:highlight w:val="none"/>
          <w:lang w:val="en-US" w:eastAsia="zh-CN"/>
        </w:rPr>
      </w:pPr>
    </w:p>
    <w:p w14:paraId="16982C85">
      <w:pPr>
        <w:pStyle w:val="8"/>
        <w:rPr>
          <w:rFonts w:hint="eastAsia" w:ascii="宋体" w:hAnsi="宋体" w:eastAsia="宋体" w:cs="宋体"/>
          <w:color w:val="000000"/>
          <w:kern w:val="0"/>
          <w:sz w:val="24"/>
          <w:szCs w:val="24"/>
          <w:highlight w:val="none"/>
          <w:lang w:val="en-US" w:eastAsia="zh-CN"/>
        </w:rPr>
      </w:pPr>
    </w:p>
    <w:p w14:paraId="658A8E08">
      <w:pPr>
        <w:rPr>
          <w:rFonts w:hint="eastAsia" w:ascii="宋体" w:hAnsi="宋体" w:eastAsia="宋体"/>
          <w:b/>
          <w:color w:val="auto"/>
          <w:sz w:val="24"/>
          <w:highlight w:val="none"/>
        </w:rPr>
      </w:pPr>
      <w:bookmarkStart w:id="60" w:name="_Toc11607"/>
      <w:r>
        <w:rPr>
          <w:rFonts w:hint="eastAsia" w:ascii="宋体" w:hAnsi="宋体" w:eastAsia="宋体"/>
          <w:b/>
          <w:color w:val="auto"/>
          <w:sz w:val="24"/>
          <w:highlight w:val="none"/>
        </w:rPr>
        <w:br w:type="page"/>
      </w:r>
    </w:p>
    <w:p w14:paraId="1A860CE9">
      <w:pPr>
        <w:spacing w:line="360" w:lineRule="auto"/>
        <w:jc w:val="center"/>
        <w:outlineLvl w:val="1"/>
        <w:rPr>
          <w:rFonts w:ascii="宋体" w:hAnsi="宋体" w:eastAsia="宋体"/>
          <w:b/>
          <w:color w:val="auto"/>
          <w:sz w:val="24"/>
          <w:highlight w:val="none"/>
        </w:rPr>
      </w:pPr>
      <w:bookmarkStart w:id="61" w:name="_Toc16960"/>
      <w:r>
        <w:rPr>
          <w:rFonts w:hint="eastAsia" w:ascii="宋体" w:hAnsi="宋体" w:eastAsia="宋体"/>
          <w:b/>
          <w:color w:val="auto"/>
          <w:sz w:val="24"/>
          <w:highlight w:val="none"/>
          <w:lang w:val="en-US" w:eastAsia="zh-CN"/>
        </w:rPr>
        <w:t>二</w:t>
      </w:r>
      <w:r>
        <w:rPr>
          <w:rFonts w:hint="eastAsia" w:ascii="宋体" w:hAnsi="宋体" w:eastAsia="宋体"/>
          <w:b/>
          <w:color w:val="auto"/>
          <w:sz w:val="24"/>
          <w:highlight w:val="none"/>
        </w:rPr>
        <w:t>、授权书</w:t>
      </w:r>
      <w:bookmarkEnd w:id="60"/>
      <w:bookmarkEnd w:id="61"/>
    </w:p>
    <w:p w14:paraId="3C51FF74">
      <w:pPr>
        <w:pStyle w:val="11"/>
        <w:snapToGrid w:val="0"/>
        <w:spacing w:line="360" w:lineRule="auto"/>
        <w:ind w:firstLine="480" w:firstLineChars="200"/>
        <w:jc w:val="left"/>
        <w:rPr>
          <w:rFonts w:hAnsi="宋体" w:eastAsia="宋体"/>
          <w:color w:val="auto"/>
          <w:sz w:val="24"/>
          <w:szCs w:val="28"/>
          <w:highlight w:val="none"/>
        </w:rPr>
      </w:pPr>
    </w:p>
    <w:p w14:paraId="3D21D01F">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宋体" w:hAnsi="宋体" w:eastAsia="宋体"/>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58707F91">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00BF72AD">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宋体" w:hAnsi="宋体" w:eastAsia="宋体"/>
          <w:color w:val="auto"/>
          <w:sz w:val="24"/>
          <w:highlight w:val="none"/>
        </w:rPr>
        <w:t>代表</w:t>
      </w:r>
      <w:r>
        <w:rPr>
          <w:rFonts w:hint="eastAsia" w:hAnsi="宋体" w:eastAsia="宋体"/>
          <w:color w:val="auto"/>
          <w:sz w:val="24"/>
          <w:highlight w:val="none"/>
        </w:rPr>
        <w:t>身份证明扫描件：</w:t>
      </w:r>
    </w:p>
    <w:p w14:paraId="3B2176FC">
      <w:pPr>
        <w:spacing w:line="360" w:lineRule="auto"/>
        <w:ind w:firstLine="435"/>
        <w:rPr>
          <w:rFonts w:ascii="宋体" w:hAnsi="宋体" w:eastAsia="宋体"/>
          <w:color w:val="auto"/>
          <w:sz w:val="24"/>
          <w:highlight w:val="none"/>
        </w:rPr>
      </w:pPr>
    </w:p>
    <w:p w14:paraId="2D070F32">
      <w:pPr>
        <w:spacing w:line="360" w:lineRule="auto"/>
        <w:ind w:firstLine="435"/>
        <w:rPr>
          <w:rFonts w:ascii="宋体" w:hAnsi="宋体" w:eastAsia="宋体"/>
          <w:color w:val="auto"/>
          <w:sz w:val="24"/>
          <w:highlight w:val="none"/>
        </w:rPr>
      </w:pPr>
    </w:p>
    <w:p w14:paraId="76BF15CF">
      <w:pPr>
        <w:spacing w:line="360" w:lineRule="auto"/>
        <w:ind w:firstLine="435"/>
        <w:rPr>
          <w:rFonts w:ascii="宋体" w:hAnsi="宋体" w:eastAsia="宋体"/>
          <w:color w:val="auto"/>
          <w:sz w:val="24"/>
          <w:highlight w:val="none"/>
        </w:rPr>
      </w:pPr>
    </w:p>
    <w:p w14:paraId="14967361">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1A09CB5F">
      <w:pPr>
        <w:spacing w:line="360" w:lineRule="auto"/>
        <w:ind w:firstLine="435"/>
        <w:rPr>
          <w:rFonts w:hAnsi="宋体" w:eastAsia="宋体"/>
          <w:color w:val="auto"/>
          <w:sz w:val="24"/>
          <w:szCs w:val="28"/>
          <w:highlight w:val="none"/>
          <w:lang w:val="zh-CN"/>
        </w:rPr>
      </w:pPr>
    </w:p>
    <w:p w14:paraId="6A6BAE06">
      <w:pPr>
        <w:spacing w:line="360" w:lineRule="auto"/>
        <w:ind w:firstLine="435"/>
        <w:rPr>
          <w:rFonts w:ascii="宋体" w:hAnsi="宋体" w:eastAsia="宋体"/>
          <w:color w:val="auto"/>
          <w:sz w:val="24"/>
          <w:szCs w:val="28"/>
          <w:highlight w:val="none"/>
        </w:rPr>
      </w:pPr>
      <w:r>
        <w:rPr>
          <w:rFonts w:hint="eastAsia" w:ascii="宋体" w:hAnsi="宋体" w:eastAsia="宋体"/>
          <w:color w:val="auto"/>
          <w:sz w:val="24"/>
          <w:highlight w:val="none"/>
        </w:rPr>
        <w:t>特此</w:t>
      </w:r>
      <w:r>
        <w:rPr>
          <w:rFonts w:hint="eastAsia" w:ascii="宋体" w:hAnsi="宋体" w:eastAsia="宋体"/>
          <w:color w:val="auto"/>
          <w:sz w:val="24"/>
          <w:szCs w:val="28"/>
          <w:highlight w:val="none"/>
        </w:rPr>
        <w:t>声明。</w:t>
      </w:r>
    </w:p>
    <w:p w14:paraId="34B13E54">
      <w:pPr>
        <w:spacing w:line="360" w:lineRule="auto"/>
        <w:rPr>
          <w:rFonts w:ascii="宋体" w:hAnsi="宋体" w:eastAsia="宋体"/>
          <w:color w:val="auto"/>
          <w:sz w:val="24"/>
          <w:szCs w:val="28"/>
          <w:highlight w:val="none"/>
        </w:rPr>
      </w:pPr>
    </w:p>
    <w:p w14:paraId="637C119C">
      <w:pPr>
        <w:spacing w:line="360" w:lineRule="auto"/>
        <w:ind w:firstLine="4800" w:firstLineChars="2000"/>
        <w:rPr>
          <w:rFonts w:ascii="宋体" w:hAnsi="宋体" w:eastAsia="宋体"/>
          <w:color w:val="auto"/>
          <w:sz w:val="24"/>
          <w:highlight w:val="none"/>
        </w:rPr>
      </w:pPr>
      <w:r>
        <w:rPr>
          <w:rFonts w:hint="eastAsia" w:ascii="宋体" w:hAnsi="宋体" w:eastAsia="宋体"/>
          <w:bCs/>
          <w:color w:val="auto"/>
          <w:sz w:val="24"/>
          <w:szCs w:val="28"/>
          <w:highlight w:val="none"/>
          <w:lang w:val="en-US" w:eastAsia="zh-CN"/>
        </w:rPr>
        <w:t xml:space="preserve">                               </w:t>
      </w:r>
    </w:p>
    <w:p w14:paraId="60C9AF5D">
      <w:pPr>
        <w:spacing w:line="360" w:lineRule="auto"/>
        <w:ind w:firstLine="435"/>
        <w:jc w:val="center"/>
        <w:rPr>
          <w:rFonts w:ascii="宋体" w:hAnsi="宋体" w:eastAsia="宋体"/>
          <w:bCs/>
          <w:color w:val="auto"/>
          <w:sz w:val="24"/>
          <w:szCs w:val="28"/>
          <w:highlight w:val="none"/>
        </w:rPr>
      </w:pPr>
      <w:r>
        <w:rPr>
          <w:rFonts w:hint="eastAsia" w:ascii="宋体" w:hAnsi="宋体" w:eastAsia="宋体"/>
          <w:bCs/>
          <w:color w:val="auto"/>
          <w:sz w:val="24"/>
          <w:highlight w:val="none"/>
          <w:lang w:val="en-US" w:eastAsia="zh-CN"/>
        </w:rPr>
        <w:t xml:space="preserve">                     投标人盖章  </w:t>
      </w:r>
      <w:r>
        <w:rPr>
          <w:rFonts w:hint="eastAsia" w:ascii="宋体" w:hAnsi="宋体" w:eastAsia="宋体"/>
          <w:bCs/>
          <w:color w:val="auto"/>
          <w:sz w:val="24"/>
          <w:szCs w:val="28"/>
          <w:highlight w:val="none"/>
        </w:rPr>
        <w:t>：</w:t>
      </w:r>
      <w:r>
        <w:rPr>
          <w:rFonts w:hint="eastAsia" w:ascii="宋体" w:hAnsi="宋体" w:eastAsia="宋体"/>
          <w:bCs/>
          <w:color w:val="auto"/>
          <w:sz w:val="24"/>
          <w:szCs w:val="28"/>
          <w:highlight w:val="none"/>
          <w:u w:val="single"/>
        </w:rPr>
        <w:t xml:space="preserve">                    </w:t>
      </w:r>
    </w:p>
    <w:p w14:paraId="67626BA3">
      <w:pPr>
        <w:spacing w:line="360" w:lineRule="auto"/>
        <w:ind w:firstLine="435"/>
        <w:jc w:val="center"/>
        <w:rPr>
          <w:rFonts w:ascii="宋体" w:hAnsi="宋体" w:eastAsia="宋体"/>
          <w:color w:val="auto"/>
          <w:sz w:val="24"/>
          <w:szCs w:val="28"/>
          <w:highlight w:val="none"/>
        </w:rPr>
      </w:pPr>
      <w:r>
        <w:rPr>
          <w:rFonts w:hint="eastAsia" w:ascii="宋体" w:hAnsi="宋体" w:eastAsia="宋体"/>
          <w:color w:val="auto"/>
          <w:sz w:val="24"/>
          <w:szCs w:val="28"/>
          <w:highlight w:val="none"/>
          <w:lang w:val="en-US" w:eastAsia="zh-CN"/>
        </w:rPr>
        <w:t xml:space="preserve">                            </w:t>
      </w:r>
      <w:r>
        <w:rPr>
          <w:rFonts w:hint="eastAsia" w:ascii="宋体" w:hAnsi="宋体" w:eastAsia="宋体"/>
          <w:color w:val="auto"/>
          <w:sz w:val="24"/>
          <w:szCs w:val="28"/>
          <w:highlight w:val="none"/>
        </w:rPr>
        <w:t>日          期：</w:t>
      </w:r>
      <w:r>
        <w:rPr>
          <w:rFonts w:hint="eastAsia" w:ascii="宋体" w:hAnsi="宋体" w:eastAsia="宋体"/>
          <w:b/>
          <w:bCs/>
          <w:color w:val="auto"/>
          <w:sz w:val="24"/>
          <w:szCs w:val="28"/>
          <w:highlight w:val="none"/>
          <w:u w:val="single"/>
        </w:rPr>
        <w:t xml:space="preserve">                    </w:t>
      </w:r>
    </w:p>
    <w:p w14:paraId="6FF5999E">
      <w:pPr>
        <w:spacing w:line="360" w:lineRule="auto"/>
        <w:ind w:firstLine="435"/>
        <w:rPr>
          <w:rFonts w:ascii="宋体" w:hAnsi="宋体" w:eastAsia="宋体"/>
          <w:color w:val="auto"/>
          <w:sz w:val="24"/>
          <w:highlight w:val="none"/>
        </w:rPr>
      </w:pPr>
    </w:p>
    <w:p w14:paraId="13074CDD">
      <w:pPr>
        <w:spacing w:line="360" w:lineRule="auto"/>
        <w:ind w:firstLine="435"/>
        <w:rPr>
          <w:rFonts w:ascii="宋体" w:hAnsi="宋体" w:eastAsia="宋体"/>
          <w:color w:val="auto"/>
          <w:sz w:val="24"/>
          <w:highlight w:val="none"/>
        </w:rPr>
      </w:pPr>
    </w:p>
    <w:p w14:paraId="3BF67E01">
      <w:pPr>
        <w:spacing w:line="360" w:lineRule="auto"/>
        <w:rPr>
          <w:rFonts w:ascii="宋体" w:hAnsi="宋体" w:eastAsia="宋体"/>
          <w:color w:val="auto"/>
          <w:sz w:val="24"/>
          <w:highlight w:val="none"/>
        </w:rPr>
      </w:pPr>
      <w:r>
        <w:rPr>
          <w:rFonts w:hint="eastAsia" w:ascii="宋体" w:hAnsi="宋体" w:eastAsia="宋体"/>
          <w:color w:val="auto"/>
          <w:sz w:val="24"/>
          <w:highlight w:val="none"/>
        </w:rPr>
        <w:t>注：</w:t>
      </w:r>
    </w:p>
    <w:p w14:paraId="45110ED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1.本项目只允许有唯一的投标人授权代表，提供身份证明扫描件；</w:t>
      </w:r>
    </w:p>
    <w:p w14:paraId="206D252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2.法定代表人参加投标的无需提供授权书，提供身份证明扫描件。</w:t>
      </w:r>
    </w:p>
    <w:p w14:paraId="16B94071">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2847B871">
      <w:pPr>
        <w:spacing w:line="360" w:lineRule="auto"/>
        <w:jc w:val="center"/>
        <w:outlineLvl w:val="1"/>
        <w:rPr>
          <w:rFonts w:hint="eastAsia" w:ascii="宋体" w:hAnsi="宋体" w:eastAsia="宋体"/>
          <w:b/>
          <w:color w:val="auto"/>
          <w:sz w:val="24"/>
          <w:highlight w:val="none"/>
          <w:lang w:val="en-US" w:eastAsia="zh-CN"/>
        </w:rPr>
      </w:pPr>
      <w:bookmarkStart w:id="62" w:name="_Toc457768004"/>
      <w:bookmarkStart w:id="63" w:name="_Toc300210382"/>
      <w:bookmarkStart w:id="64" w:name="_Toc520299348"/>
      <w:bookmarkStart w:id="65" w:name="_Toc25813"/>
      <w:bookmarkStart w:id="66" w:name="_Toc26536"/>
      <w:bookmarkStart w:id="67" w:name="_Hlk11701496"/>
      <w:r>
        <w:rPr>
          <w:rFonts w:hint="eastAsia" w:ascii="宋体" w:hAnsi="宋体" w:eastAsia="宋体"/>
          <w:b/>
          <w:color w:val="auto"/>
          <w:sz w:val="24"/>
          <w:highlight w:val="none"/>
          <w:lang w:val="en-US" w:eastAsia="zh-CN"/>
        </w:rPr>
        <w:t>三、</w:t>
      </w:r>
      <w:bookmarkEnd w:id="62"/>
      <w:bookmarkEnd w:id="63"/>
      <w:bookmarkEnd w:id="64"/>
      <w:r>
        <w:rPr>
          <w:rFonts w:hint="eastAsia" w:ascii="宋体" w:hAnsi="宋体" w:eastAsia="宋体"/>
          <w:b/>
          <w:color w:val="auto"/>
          <w:sz w:val="24"/>
          <w:highlight w:val="none"/>
          <w:lang w:val="en-US" w:eastAsia="zh-CN"/>
        </w:rPr>
        <w:t>诚信履约承诺函</w:t>
      </w:r>
      <w:bookmarkEnd w:id="65"/>
      <w:bookmarkEnd w:id="66"/>
    </w:p>
    <w:p w14:paraId="63FD0C56">
      <w:pPr>
        <w:spacing w:line="360" w:lineRule="auto"/>
        <w:rPr>
          <w:rFonts w:ascii="宋体" w:hAnsi="宋体" w:eastAsia="宋体"/>
          <w:b/>
          <w:bCs/>
          <w:color w:val="auto"/>
          <w:sz w:val="24"/>
          <w:highlight w:val="none"/>
        </w:rPr>
      </w:pPr>
    </w:p>
    <w:p w14:paraId="2B412825">
      <w:pPr>
        <w:spacing w:line="360" w:lineRule="auto"/>
        <w:rPr>
          <w:rFonts w:hint="eastAsia" w:ascii="宋体" w:hAnsi="宋体" w:eastAsia="宋体"/>
          <w:b/>
          <w:bCs/>
          <w:color w:val="auto"/>
          <w:sz w:val="24"/>
          <w:highlight w:val="none"/>
          <w:u w:val="single"/>
          <w:lang w:eastAsia="zh-CN"/>
        </w:rPr>
      </w:pPr>
      <w:r>
        <w:rPr>
          <w:rFonts w:hint="eastAsia" w:ascii="宋体" w:hAnsi="宋体" w:eastAsia="宋体"/>
          <w:b/>
          <w:bCs/>
          <w:color w:val="auto"/>
          <w:sz w:val="24"/>
          <w:highlight w:val="none"/>
        </w:rPr>
        <w:t>致：</w:t>
      </w:r>
      <w:r>
        <w:rPr>
          <w:rFonts w:hint="eastAsia" w:ascii="宋体" w:hAnsi="宋体" w:eastAsia="宋体"/>
          <w:b/>
          <w:bCs/>
          <w:color w:val="auto"/>
          <w:sz w:val="24"/>
          <w:highlight w:val="none"/>
          <w:u w:val="none"/>
          <w:lang w:eastAsia="zh-CN"/>
        </w:rPr>
        <w:t>采购人</w:t>
      </w:r>
    </w:p>
    <w:p w14:paraId="6BA3D8FE">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1EE931A5">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（1）中标或者成交后无正当理由拒不与采购人签订政府采购合同；</w:t>
      </w:r>
    </w:p>
    <w:p w14:paraId="72A77AB9">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（2）未按照采购文件确定的事项签订政府采购合同；</w:t>
      </w:r>
    </w:p>
    <w:p w14:paraId="430E4B7F">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（3）将政府采购合同转包；</w:t>
      </w:r>
    </w:p>
    <w:p w14:paraId="04778CC6">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（4）提供假冒伪劣产品；</w:t>
      </w:r>
    </w:p>
    <w:p w14:paraId="62C4C4F5">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（5）擅自变更、中止或者终止政府采购合同。</w:t>
      </w:r>
    </w:p>
    <w:p w14:paraId="6E97CD88">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9BA5447">
      <w:pPr>
        <w:spacing w:line="360" w:lineRule="auto"/>
        <w:rPr>
          <w:rFonts w:ascii="宋体" w:hAnsi="宋体" w:eastAsia="宋体"/>
          <w:bCs/>
          <w:color w:val="auto"/>
          <w:sz w:val="24"/>
          <w:highlight w:val="none"/>
        </w:rPr>
      </w:pPr>
    </w:p>
    <w:p w14:paraId="568BEA82">
      <w:pPr>
        <w:spacing w:line="360" w:lineRule="auto"/>
        <w:rPr>
          <w:rFonts w:ascii="宋体" w:hAnsi="宋体" w:eastAsia="宋体"/>
          <w:bCs/>
          <w:color w:val="auto"/>
          <w:sz w:val="24"/>
          <w:highlight w:val="none"/>
        </w:rPr>
      </w:pPr>
    </w:p>
    <w:p w14:paraId="73180CD2">
      <w:pPr>
        <w:spacing w:line="360" w:lineRule="auto"/>
        <w:ind w:firstLine="4320" w:firstLineChars="1800"/>
        <w:rPr>
          <w:rFonts w:ascii="宋体" w:hAnsi="宋体" w:eastAsia="宋体"/>
          <w:bCs/>
          <w:color w:val="auto"/>
          <w:sz w:val="24"/>
          <w:highlight w:val="none"/>
          <w:u w:val="single"/>
        </w:rPr>
      </w:pPr>
      <w:r>
        <w:rPr>
          <w:rFonts w:hint="eastAsia" w:ascii="宋体" w:hAnsi="宋体" w:eastAsia="宋体"/>
          <w:bCs/>
          <w:color w:val="auto"/>
          <w:sz w:val="24"/>
          <w:highlight w:val="none"/>
        </w:rPr>
        <w:t>投标人</w:t>
      </w:r>
      <w:r>
        <w:rPr>
          <w:rFonts w:hint="eastAsia" w:ascii="宋体" w:hAnsi="宋体" w:eastAsia="宋体"/>
          <w:bCs/>
          <w:color w:val="auto"/>
          <w:sz w:val="24"/>
          <w:highlight w:val="none"/>
          <w:lang w:val="en-US" w:eastAsia="zh-CN"/>
        </w:rPr>
        <w:t>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2B8434C6">
      <w:pPr>
        <w:spacing w:line="360" w:lineRule="auto"/>
        <w:ind w:firstLine="4320" w:firstLineChars="1800"/>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3F5C7703">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p w14:paraId="6EE3D51A">
      <w:pPr>
        <w:widowControl/>
        <w:jc w:val="left"/>
        <w:rPr>
          <w:rFonts w:ascii="宋体" w:hAnsi="宋体" w:eastAsia="宋体" w:cs="Arial"/>
          <w:color w:val="auto"/>
          <w:sz w:val="24"/>
          <w:highlight w:val="none"/>
        </w:rPr>
      </w:pPr>
    </w:p>
    <w:p w14:paraId="7FE9BDA3">
      <w:pPr>
        <w:spacing w:line="360" w:lineRule="auto"/>
        <w:jc w:val="center"/>
        <w:outlineLvl w:val="0"/>
        <w:rPr>
          <w:rFonts w:ascii="宋体" w:hAnsi="宋体" w:eastAsia="宋体"/>
          <w:b/>
          <w:color w:val="auto"/>
          <w:sz w:val="28"/>
          <w:highlight w:val="none"/>
        </w:rPr>
      </w:pPr>
      <w:r>
        <w:rPr>
          <w:rFonts w:hint="eastAsia" w:ascii="宋体" w:hAnsi="宋体" w:eastAsia="宋体"/>
          <w:b/>
          <w:color w:val="auto"/>
          <w:sz w:val="28"/>
          <w:highlight w:val="none"/>
        </w:rPr>
        <w:t xml:space="preserve"> 投标文件格式</w:t>
      </w:r>
    </w:p>
    <w:p w14:paraId="4460BA50">
      <w:pPr>
        <w:spacing w:line="900" w:lineRule="exact"/>
        <w:jc w:val="center"/>
        <w:rPr>
          <w:rFonts w:ascii="宋体" w:hAnsi="宋体" w:eastAsia="宋体"/>
          <w:b/>
          <w:color w:val="auto"/>
          <w:sz w:val="72"/>
          <w:highlight w:val="none"/>
        </w:rPr>
      </w:pPr>
    </w:p>
    <w:p w14:paraId="476F7ECF">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投</w:t>
      </w:r>
    </w:p>
    <w:p w14:paraId="6A63C3DC">
      <w:pPr>
        <w:spacing w:line="900" w:lineRule="exact"/>
        <w:jc w:val="center"/>
        <w:rPr>
          <w:rFonts w:ascii="宋体" w:hAnsi="宋体" w:eastAsia="宋体"/>
          <w:b/>
          <w:color w:val="auto"/>
          <w:sz w:val="72"/>
          <w:highlight w:val="none"/>
        </w:rPr>
      </w:pPr>
    </w:p>
    <w:p w14:paraId="414A664A">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标</w:t>
      </w:r>
    </w:p>
    <w:p w14:paraId="4D40CF26">
      <w:pPr>
        <w:spacing w:line="900" w:lineRule="exact"/>
        <w:jc w:val="center"/>
        <w:rPr>
          <w:rFonts w:ascii="宋体" w:hAnsi="宋体" w:eastAsia="宋体"/>
          <w:b/>
          <w:color w:val="auto"/>
          <w:sz w:val="72"/>
          <w:highlight w:val="none"/>
        </w:rPr>
      </w:pPr>
    </w:p>
    <w:p w14:paraId="7378C350">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文</w:t>
      </w:r>
    </w:p>
    <w:p w14:paraId="316DC213">
      <w:pPr>
        <w:spacing w:line="900" w:lineRule="exact"/>
        <w:jc w:val="center"/>
        <w:rPr>
          <w:rFonts w:ascii="宋体" w:hAnsi="宋体" w:eastAsia="宋体"/>
          <w:b/>
          <w:color w:val="auto"/>
          <w:sz w:val="72"/>
          <w:highlight w:val="none"/>
        </w:rPr>
      </w:pPr>
    </w:p>
    <w:p w14:paraId="441A101D">
      <w:pPr>
        <w:jc w:val="center"/>
        <w:outlineLvl w:val="1"/>
        <w:rPr>
          <w:rFonts w:ascii="宋体" w:hAnsi="宋体" w:eastAsia="宋体"/>
          <w:b/>
          <w:color w:val="auto"/>
          <w:sz w:val="72"/>
          <w:highlight w:val="none"/>
        </w:rPr>
      </w:pPr>
      <w:r>
        <w:rPr>
          <w:rFonts w:hint="eastAsia" w:ascii="宋体" w:hAnsi="宋体" w:eastAsia="宋体"/>
          <w:b/>
          <w:color w:val="auto"/>
          <w:sz w:val="72"/>
          <w:highlight w:val="none"/>
        </w:rPr>
        <w:t>件</w:t>
      </w:r>
    </w:p>
    <w:p w14:paraId="07AEA7B6">
      <w:pPr>
        <w:spacing w:before="156" w:beforeLines="50" w:after="156" w:afterLines="50"/>
        <w:jc w:val="center"/>
        <w:outlineLvl w:val="9"/>
        <w:rPr>
          <w:rFonts w:hint="default"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技术标（二）</w:t>
      </w:r>
    </w:p>
    <w:p w14:paraId="16BD81E9">
      <w:pPr>
        <w:spacing w:after="156" w:afterLines="50" w:line="500" w:lineRule="exact"/>
        <w:jc w:val="center"/>
        <w:rPr>
          <w:rFonts w:ascii="宋体" w:hAnsi="宋体" w:eastAsia="宋体"/>
          <w:b/>
          <w:color w:val="auto"/>
          <w:sz w:val="28"/>
          <w:szCs w:val="28"/>
          <w:highlight w:val="none"/>
        </w:rPr>
      </w:pPr>
    </w:p>
    <w:p w14:paraId="3620ABE9">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432CCE38">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2FE3B259">
      <w:pP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0BB8D060">
      <w:pP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p>
    <w:p w14:paraId="3BB619DC">
      <w:pPr>
        <w:widowControl/>
        <w:jc w:val="left"/>
        <w:rPr>
          <w:rFonts w:ascii="宋体" w:hAnsi="宋体" w:eastAsia="宋体" w:cs="Arial"/>
          <w:color w:val="auto"/>
          <w:sz w:val="24"/>
          <w:highlight w:val="none"/>
        </w:rPr>
      </w:pPr>
    </w:p>
    <w:p w14:paraId="6F13BCE1">
      <w:pPr>
        <w:widowControl/>
        <w:jc w:val="left"/>
        <w:rPr>
          <w:rFonts w:ascii="宋体" w:hAnsi="宋体" w:eastAsia="宋体" w:cs="Arial"/>
          <w:color w:val="auto"/>
          <w:sz w:val="24"/>
          <w:highlight w:val="none"/>
        </w:rPr>
      </w:pPr>
    </w:p>
    <w:p w14:paraId="337D4B91">
      <w:pPr>
        <w:widowControl/>
        <w:jc w:val="left"/>
        <w:rPr>
          <w:rFonts w:ascii="宋体" w:hAnsi="宋体" w:eastAsia="宋体" w:cs="Arial"/>
          <w:color w:val="auto"/>
          <w:sz w:val="24"/>
          <w:highlight w:val="none"/>
        </w:rPr>
      </w:pPr>
    </w:p>
    <w:p w14:paraId="7474892C">
      <w:pPr>
        <w:widowControl/>
        <w:jc w:val="left"/>
        <w:rPr>
          <w:rFonts w:ascii="宋体" w:hAnsi="宋体" w:eastAsia="宋体" w:cs="Arial"/>
          <w:color w:val="auto"/>
          <w:sz w:val="24"/>
          <w:highlight w:val="none"/>
        </w:rPr>
      </w:pPr>
    </w:p>
    <w:p w14:paraId="5977AB72">
      <w:pPr>
        <w:widowControl/>
        <w:jc w:val="left"/>
        <w:rPr>
          <w:rFonts w:ascii="宋体" w:hAnsi="宋体" w:eastAsia="宋体" w:cs="Arial"/>
          <w:color w:val="auto"/>
          <w:sz w:val="24"/>
          <w:highlight w:val="none"/>
        </w:rPr>
      </w:pPr>
    </w:p>
    <w:p w14:paraId="4CD86C65">
      <w:pPr>
        <w:tabs>
          <w:tab w:val="left" w:pos="2410"/>
        </w:tabs>
        <w:autoSpaceDE w:val="0"/>
        <w:autoSpaceDN w:val="0"/>
        <w:adjustRightInd w:val="0"/>
        <w:snapToGrid w:val="0"/>
        <w:spacing w:line="360" w:lineRule="auto"/>
        <w:ind w:firstLine="643" w:firstLineChars="200"/>
        <w:jc w:val="center"/>
        <w:outlineLvl w:val="9"/>
        <w:rPr>
          <w:rFonts w:hint="eastAsia" w:ascii="宋体" w:hAnsi="宋体" w:eastAsia="宋体"/>
          <w:b/>
          <w:color w:val="auto"/>
          <w:sz w:val="32"/>
          <w:highlight w:val="none"/>
          <w:lang w:val="en-US" w:eastAsia="zh-CN"/>
        </w:rPr>
      </w:pPr>
      <w:r>
        <w:rPr>
          <w:rFonts w:hint="eastAsia" w:ascii="宋体" w:hAnsi="宋体" w:eastAsia="宋体"/>
          <w:b/>
          <w:color w:val="auto"/>
          <w:sz w:val="32"/>
          <w:highlight w:val="none"/>
          <w:lang w:val="en-US" w:eastAsia="zh-CN"/>
        </w:rPr>
        <w:t>目录</w:t>
      </w:r>
    </w:p>
    <w:p w14:paraId="44270753">
      <w:pPr>
        <w:spacing w:line="360" w:lineRule="auto"/>
        <w:ind w:firstLine="43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1.按技术评审要求提供</w:t>
      </w:r>
    </w:p>
    <w:p w14:paraId="25397400">
      <w:pPr>
        <w:spacing w:line="360" w:lineRule="auto"/>
        <w:rPr>
          <w:rFonts w:hint="default" w:ascii="宋体" w:hAnsi="宋体" w:eastAsia="宋体"/>
          <w:bCs/>
          <w:color w:val="auto"/>
          <w:sz w:val="24"/>
          <w:highlight w:val="none"/>
          <w:lang w:val="en-US" w:eastAsia="zh-CN"/>
        </w:rPr>
      </w:pPr>
    </w:p>
    <w:p w14:paraId="4C05CD58">
      <w:pPr>
        <w:widowControl/>
        <w:jc w:val="left"/>
        <w:rPr>
          <w:rFonts w:ascii="宋体" w:hAnsi="宋体" w:eastAsia="宋体" w:cs="Arial"/>
          <w:color w:val="auto"/>
          <w:sz w:val="24"/>
          <w:highlight w:val="none"/>
        </w:rPr>
      </w:pPr>
    </w:p>
    <w:p w14:paraId="6327E14E">
      <w:pPr>
        <w:widowControl/>
        <w:jc w:val="left"/>
        <w:rPr>
          <w:rFonts w:ascii="宋体" w:hAnsi="宋体" w:eastAsia="宋体" w:cs="Arial"/>
          <w:color w:val="auto"/>
          <w:sz w:val="24"/>
          <w:highlight w:val="none"/>
        </w:rPr>
      </w:pPr>
    </w:p>
    <w:p w14:paraId="5B616E26">
      <w:pPr>
        <w:widowControl/>
        <w:jc w:val="left"/>
        <w:rPr>
          <w:rFonts w:ascii="宋体" w:hAnsi="宋体" w:eastAsia="宋体" w:cs="Arial"/>
          <w:color w:val="auto"/>
          <w:sz w:val="24"/>
          <w:highlight w:val="none"/>
        </w:rPr>
      </w:pPr>
    </w:p>
    <w:p w14:paraId="40E0297E">
      <w:pPr>
        <w:widowControl/>
        <w:jc w:val="left"/>
        <w:rPr>
          <w:rFonts w:ascii="宋体" w:hAnsi="宋体" w:eastAsia="宋体" w:cs="Arial"/>
          <w:color w:val="auto"/>
          <w:sz w:val="24"/>
          <w:highlight w:val="none"/>
        </w:rPr>
      </w:pPr>
    </w:p>
    <w:p w14:paraId="1C0801D6">
      <w:pPr>
        <w:widowControl/>
        <w:jc w:val="left"/>
        <w:rPr>
          <w:rFonts w:ascii="宋体" w:hAnsi="宋体" w:eastAsia="宋体" w:cs="Arial"/>
          <w:color w:val="auto"/>
          <w:sz w:val="24"/>
          <w:highlight w:val="none"/>
        </w:rPr>
      </w:pPr>
    </w:p>
    <w:p w14:paraId="0684F88A">
      <w:pPr>
        <w:widowControl/>
        <w:jc w:val="left"/>
        <w:rPr>
          <w:rFonts w:ascii="宋体" w:hAnsi="宋体" w:eastAsia="宋体" w:cs="Arial"/>
          <w:color w:val="auto"/>
          <w:sz w:val="24"/>
          <w:highlight w:val="none"/>
        </w:rPr>
      </w:pPr>
    </w:p>
    <w:p w14:paraId="7D6D3028">
      <w:pPr>
        <w:widowControl/>
        <w:jc w:val="left"/>
        <w:rPr>
          <w:rFonts w:ascii="宋体" w:hAnsi="宋体" w:eastAsia="宋体" w:cs="Arial"/>
          <w:color w:val="auto"/>
          <w:sz w:val="24"/>
          <w:highlight w:val="none"/>
        </w:rPr>
      </w:pPr>
    </w:p>
    <w:p w14:paraId="4E3F456E">
      <w:pPr>
        <w:widowControl/>
        <w:jc w:val="left"/>
        <w:rPr>
          <w:rFonts w:ascii="宋体" w:hAnsi="宋体" w:eastAsia="宋体" w:cs="Arial"/>
          <w:color w:val="auto"/>
          <w:sz w:val="24"/>
          <w:highlight w:val="none"/>
        </w:rPr>
      </w:pPr>
    </w:p>
    <w:p w14:paraId="21EC8484">
      <w:pPr>
        <w:widowControl/>
        <w:jc w:val="left"/>
        <w:rPr>
          <w:rFonts w:ascii="宋体" w:hAnsi="宋体" w:eastAsia="宋体" w:cs="Arial"/>
          <w:color w:val="auto"/>
          <w:sz w:val="24"/>
          <w:highlight w:val="none"/>
        </w:rPr>
      </w:pPr>
    </w:p>
    <w:p w14:paraId="08536C82">
      <w:pPr>
        <w:widowControl/>
        <w:jc w:val="left"/>
        <w:rPr>
          <w:rFonts w:ascii="宋体" w:hAnsi="宋体" w:eastAsia="宋体" w:cs="Arial"/>
          <w:color w:val="auto"/>
          <w:sz w:val="24"/>
          <w:highlight w:val="none"/>
        </w:rPr>
      </w:pPr>
    </w:p>
    <w:p w14:paraId="799065D1">
      <w:pPr>
        <w:widowControl/>
        <w:jc w:val="left"/>
        <w:rPr>
          <w:rFonts w:ascii="宋体" w:hAnsi="宋体" w:eastAsia="宋体" w:cs="Arial"/>
          <w:color w:val="auto"/>
          <w:sz w:val="24"/>
          <w:highlight w:val="none"/>
        </w:rPr>
      </w:pPr>
    </w:p>
    <w:p w14:paraId="3AEB4064">
      <w:pPr>
        <w:widowControl/>
        <w:jc w:val="left"/>
        <w:rPr>
          <w:rFonts w:ascii="宋体" w:hAnsi="宋体" w:eastAsia="宋体" w:cs="Arial"/>
          <w:color w:val="auto"/>
          <w:sz w:val="24"/>
          <w:highlight w:val="none"/>
        </w:rPr>
      </w:pPr>
    </w:p>
    <w:p w14:paraId="7C54697D">
      <w:pPr>
        <w:widowControl/>
        <w:jc w:val="left"/>
        <w:rPr>
          <w:rFonts w:ascii="宋体" w:hAnsi="宋体" w:eastAsia="宋体" w:cs="Arial"/>
          <w:color w:val="auto"/>
          <w:sz w:val="24"/>
          <w:highlight w:val="none"/>
        </w:rPr>
      </w:pPr>
    </w:p>
    <w:p w14:paraId="1BD3BB32">
      <w:pPr>
        <w:widowControl/>
        <w:jc w:val="left"/>
        <w:rPr>
          <w:rFonts w:ascii="宋体" w:hAnsi="宋体" w:eastAsia="宋体" w:cs="Arial"/>
          <w:color w:val="auto"/>
          <w:sz w:val="24"/>
          <w:highlight w:val="none"/>
        </w:rPr>
      </w:pPr>
    </w:p>
    <w:p w14:paraId="024E5210">
      <w:pPr>
        <w:widowControl/>
        <w:jc w:val="left"/>
        <w:rPr>
          <w:rFonts w:ascii="宋体" w:hAnsi="宋体" w:eastAsia="宋体" w:cs="Arial"/>
          <w:color w:val="auto"/>
          <w:sz w:val="24"/>
          <w:highlight w:val="none"/>
        </w:rPr>
      </w:pPr>
    </w:p>
    <w:p w14:paraId="49DCC4E5">
      <w:pPr>
        <w:widowControl/>
        <w:jc w:val="left"/>
        <w:rPr>
          <w:rFonts w:ascii="宋体" w:hAnsi="宋体" w:eastAsia="宋体" w:cs="Arial"/>
          <w:color w:val="auto"/>
          <w:sz w:val="24"/>
          <w:highlight w:val="none"/>
        </w:rPr>
      </w:pPr>
    </w:p>
    <w:p w14:paraId="03AD479C">
      <w:pPr>
        <w:widowControl/>
        <w:jc w:val="left"/>
        <w:rPr>
          <w:rFonts w:ascii="宋体" w:hAnsi="宋体" w:eastAsia="宋体" w:cs="Arial"/>
          <w:color w:val="auto"/>
          <w:sz w:val="24"/>
          <w:highlight w:val="none"/>
        </w:rPr>
      </w:pPr>
    </w:p>
    <w:p w14:paraId="5DB2C85D">
      <w:pPr>
        <w:widowControl/>
        <w:jc w:val="left"/>
        <w:rPr>
          <w:rFonts w:ascii="宋体" w:hAnsi="宋体" w:eastAsia="宋体" w:cs="Arial"/>
          <w:color w:val="auto"/>
          <w:sz w:val="24"/>
          <w:highlight w:val="none"/>
        </w:rPr>
      </w:pPr>
    </w:p>
    <w:p w14:paraId="27ECAD44">
      <w:pPr>
        <w:widowControl/>
        <w:jc w:val="left"/>
        <w:rPr>
          <w:rFonts w:ascii="宋体" w:hAnsi="宋体" w:eastAsia="宋体" w:cs="Arial"/>
          <w:color w:val="auto"/>
          <w:sz w:val="24"/>
          <w:highlight w:val="none"/>
        </w:rPr>
      </w:pPr>
    </w:p>
    <w:p w14:paraId="323C2DA5">
      <w:pPr>
        <w:widowControl/>
        <w:jc w:val="left"/>
        <w:rPr>
          <w:rFonts w:ascii="宋体" w:hAnsi="宋体" w:eastAsia="宋体" w:cs="Arial"/>
          <w:color w:val="auto"/>
          <w:sz w:val="24"/>
          <w:highlight w:val="none"/>
        </w:rPr>
      </w:pPr>
    </w:p>
    <w:p w14:paraId="386751D9">
      <w:pPr>
        <w:widowControl/>
        <w:jc w:val="left"/>
        <w:rPr>
          <w:rFonts w:ascii="宋体" w:hAnsi="宋体" w:eastAsia="宋体" w:cs="Arial"/>
          <w:color w:val="auto"/>
          <w:sz w:val="24"/>
          <w:highlight w:val="none"/>
        </w:rPr>
      </w:pPr>
    </w:p>
    <w:p w14:paraId="11C34732">
      <w:pPr>
        <w:widowControl/>
        <w:jc w:val="left"/>
        <w:rPr>
          <w:rFonts w:ascii="宋体" w:hAnsi="宋体" w:eastAsia="宋体" w:cs="Arial"/>
          <w:color w:val="auto"/>
          <w:sz w:val="24"/>
          <w:highlight w:val="none"/>
        </w:rPr>
      </w:pPr>
    </w:p>
    <w:bookmarkEnd w:id="67"/>
    <w:p w14:paraId="0D72DD82">
      <w:pPr>
        <w:spacing w:line="360" w:lineRule="auto"/>
        <w:jc w:val="center"/>
        <w:outlineLvl w:val="0"/>
        <w:rPr>
          <w:rFonts w:hint="eastAsia" w:ascii="宋体" w:hAnsi="宋体" w:eastAsia="宋体"/>
          <w:b/>
          <w:color w:val="auto"/>
          <w:sz w:val="28"/>
          <w:highlight w:val="none"/>
        </w:rPr>
      </w:pPr>
      <w:bookmarkStart w:id="68" w:name="_Toc18131"/>
      <w:bookmarkStart w:id="69" w:name="_Toc6435"/>
    </w:p>
    <w:p w14:paraId="1D6AC7CA">
      <w:pPr>
        <w:spacing w:line="360" w:lineRule="auto"/>
        <w:jc w:val="center"/>
        <w:outlineLvl w:val="0"/>
        <w:rPr>
          <w:rFonts w:hint="eastAsia" w:ascii="宋体" w:hAnsi="宋体" w:eastAsia="宋体"/>
          <w:b/>
          <w:color w:val="auto"/>
          <w:sz w:val="28"/>
          <w:highlight w:val="none"/>
        </w:rPr>
      </w:pPr>
    </w:p>
    <w:p w14:paraId="531518CA">
      <w:pPr>
        <w:spacing w:line="360" w:lineRule="auto"/>
        <w:jc w:val="center"/>
        <w:outlineLvl w:val="0"/>
        <w:rPr>
          <w:rFonts w:hint="eastAsia" w:ascii="宋体" w:hAnsi="宋体" w:eastAsia="宋体"/>
          <w:b/>
          <w:color w:val="auto"/>
          <w:sz w:val="28"/>
          <w:highlight w:val="none"/>
        </w:rPr>
      </w:pPr>
    </w:p>
    <w:p w14:paraId="3B554D77">
      <w:pPr>
        <w:spacing w:line="360" w:lineRule="auto"/>
        <w:jc w:val="center"/>
        <w:outlineLvl w:val="0"/>
        <w:rPr>
          <w:rFonts w:hint="eastAsia" w:ascii="宋体" w:hAnsi="宋体" w:eastAsia="宋体"/>
          <w:b/>
          <w:color w:val="auto"/>
          <w:sz w:val="28"/>
          <w:highlight w:val="none"/>
        </w:rPr>
      </w:pPr>
    </w:p>
    <w:p w14:paraId="62AF5DFC">
      <w:pPr>
        <w:spacing w:line="360" w:lineRule="auto"/>
        <w:jc w:val="center"/>
        <w:outlineLvl w:val="0"/>
        <w:rPr>
          <w:rFonts w:hint="eastAsia" w:ascii="宋体" w:hAnsi="宋体" w:eastAsia="宋体"/>
          <w:b/>
          <w:color w:val="auto"/>
          <w:sz w:val="28"/>
          <w:highlight w:val="none"/>
        </w:rPr>
      </w:pPr>
    </w:p>
    <w:p w14:paraId="32A76B79">
      <w:pPr>
        <w:pStyle w:val="3"/>
        <w:rPr>
          <w:rFonts w:hint="eastAsia"/>
          <w:highlight w:val="none"/>
        </w:rPr>
      </w:pPr>
    </w:p>
    <w:p w14:paraId="10AA402F">
      <w:pPr>
        <w:spacing w:line="360" w:lineRule="auto"/>
        <w:jc w:val="center"/>
        <w:outlineLvl w:val="0"/>
        <w:rPr>
          <w:rFonts w:hint="eastAsia" w:ascii="宋体" w:hAnsi="宋体" w:eastAsia="宋体"/>
          <w:b/>
          <w:color w:val="auto"/>
          <w:sz w:val="28"/>
          <w:highlight w:val="none"/>
        </w:rPr>
      </w:pPr>
    </w:p>
    <w:p w14:paraId="2DA07EEC">
      <w:pPr>
        <w:spacing w:line="360" w:lineRule="auto"/>
        <w:jc w:val="center"/>
        <w:outlineLvl w:val="0"/>
        <w:rPr>
          <w:rFonts w:hint="eastAsia" w:ascii="宋体" w:hAnsi="宋体" w:eastAsia="宋体"/>
          <w:b/>
          <w:color w:val="auto"/>
          <w:sz w:val="28"/>
          <w:highlight w:val="none"/>
        </w:rPr>
      </w:pPr>
    </w:p>
    <w:p w14:paraId="28EA2FD8">
      <w:pPr>
        <w:spacing w:line="360" w:lineRule="auto"/>
        <w:jc w:val="center"/>
        <w:outlineLvl w:val="0"/>
        <w:rPr>
          <w:rFonts w:hint="eastAsia" w:ascii="宋体" w:hAnsi="宋体" w:eastAsia="宋体"/>
          <w:b/>
          <w:color w:val="auto"/>
          <w:sz w:val="28"/>
          <w:highlight w:val="none"/>
        </w:rPr>
      </w:pPr>
    </w:p>
    <w:p w14:paraId="53B0DC61">
      <w:pPr>
        <w:spacing w:line="360" w:lineRule="auto"/>
        <w:jc w:val="center"/>
        <w:outlineLvl w:val="0"/>
        <w:rPr>
          <w:rFonts w:hint="eastAsia" w:ascii="宋体" w:hAnsi="宋体" w:eastAsia="宋体"/>
          <w:b/>
          <w:color w:val="auto"/>
          <w:sz w:val="28"/>
          <w:highlight w:val="none"/>
        </w:rPr>
      </w:pPr>
    </w:p>
    <w:p w14:paraId="51EC6F7C">
      <w:pPr>
        <w:spacing w:line="360" w:lineRule="auto"/>
        <w:jc w:val="center"/>
        <w:outlineLvl w:val="0"/>
        <w:rPr>
          <w:rFonts w:ascii="宋体" w:hAnsi="宋体" w:eastAsia="宋体"/>
          <w:b/>
          <w:color w:val="auto"/>
          <w:sz w:val="28"/>
          <w:highlight w:val="none"/>
        </w:rPr>
      </w:pPr>
      <w:r>
        <w:rPr>
          <w:rFonts w:hint="eastAsia" w:ascii="宋体" w:hAnsi="宋体" w:eastAsia="宋体"/>
          <w:b/>
          <w:color w:val="auto"/>
          <w:sz w:val="28"/>
          <w:highlight w:val="none"/>
        </w:rPr>
        <w:t xml:space="preserve"> 投标文件格式</w:t>
      </w:r>
    </w:p>
    <w:p w14:paraId="1F7792DA">
      <w:pPr>
        <w:spacing w:line="900" w:lineRule="exact"/>
        <w:jc w:val="center"/>
        <w:rPr>
          <w:rFonts w:ascii="宋体" w:hAnsi="宋体" w:eastAsia="宋体"/>
          <w:b/>
          <w:color w:val="auto"/>
          <w:sz w:val="72"/>
          <w:highlight w:val="none"/>
        </w:rPr>
      </w:pPr>
    </w:p>
    <w:p w14:paraId="2F4BDF77">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投</w:t>
      </w:r>
    </w:p>
    <w:p w14:paraId="53E84BA9">
      <w:pPr>
        <w:spacing w:line="900" w:lineRule="exact"/>
        <w:jc w:val="center"/>
        <w:rPr>
          <w:rFonts w:ascii="宋体" w:hAnsi="宋体" w:eastAsia="宋体"/>
          <w:b/>
          <w:color w:val="auto"/>
          <w:sz w:val="72"/>
          <w:highlight w:val="none"/>
        </w:rPr>
      </w:pPr>
    </w:p>
    <w:p w14:paraId="7172782F">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标</w:t>
      </w:r>
    </w:p>
    <w:p w14:paraId="7C3289C1">
      <w:pPr>
        <w:spacing w:line="900" w:lineRule="exact"/>
        <w:jc w:val="center"/>
        <w:rPr>
          <w:rFonts w:ascii="宋体" w:hAnsi="宋体" w:eastAsia="宋体"/>
          <w:b/>
          <w:color w:val="auto"/>
          <w:sz w:val="72"/>
          <w:highlight w:val="none"/>
        </w:rPr>
      </w:pPr>
    </w:p>
    <w:p w14:paraId="0C9323B7">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文</w:t>
      </w:r>
    </w:p>
    <w:p w14:paraId="45410A55">
      <w:pPr>
        <w:spacing w:line="900" w:lineRule="exact"/>
        <w:jc w:val="center"/>
        <w:rPr>
          <w:rFonts w:ascii="宋体" w:hAnsi="宋体" w:eastAsia="宋体"/>
          <w:b/>
          <w:color w:val="auto"/>
          <w:sz w:val="72"/>
          <w:highlight w:val="none"/>
        </w:rPr>
      </w:pPr>
    </w:p>
    <w:p w14:paraId="0E5C0288">
      <w:pPr>
        <w:jc w:val="center"/>
        <w:outlineLvl w:val="1"/>
        <w:rPr>
          <w:rFonts w:ascii="宋体" w:hAnsi="宋体" w:eastAsia="宋体"/>
          <w:b/>
          <w:color w:val="auto"/>
          <w:sz w:val="72"/>
          <w:highlight w:val="none"/>
        </w:rPr>
      </w:pPr>
      <w:r>
        <w:rPr>
          <w:rFonts w:hint="eastAsia" w:ascii="宋体" w:hAnsi="宋体" w:eastAsia="宋体"/>
          <w:b/>
          <w:color w:val="auto"/>
          <w:sz w:val="72"/>
          <w:highlight w:val="none"/>
        </w:rPr>
        <w:t>件</w:t>
      </w:r>
    </w:p>
    <w:p w14:paraId="72A66CA3">
      <w:pPr>
        <w:spacing w:before="156" w:beforeLines="50" w:after="156" w:afterLines="50"/>
        <w:jc w:val="center"/>
        <w:outlineLvl w:val="9"/>
        <w:rPr>
          <w:rFonts w:hint="default"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商务标（三）</w:t>
      </w:r>
    </w:p>
    <w:p w14:paraId="7F309541">
      <w:pPr>
        <w:spacing w:after="156" w:afterLines="50" w:line="500" w:lineRule="exact"/>
        <w:jc w:val="center"/>
        <w:rPr>
          <w:rFonts w:ascii="宋体" w:hAnsi="宋体" w:eastAsia="宋体"/>
          <w:b/>
          <w:color w:val="auto"/>
          <w:sz w:val="28"/>
          <w:szCs w:val="28"/>
          <w:highlight w:val="none"/>
        </w:rPr>
      </w:pPr>
    </w:p>
    <w:p w14:paraId="516283E6">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4558D29E">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53423621">
      <w:pP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585C0B01">
      <w:pP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p>
    <w:p w14:paraId="63893A9E">
      <w:pPr>
        <w:spacing w:line="360" w:lineRule="auto"/>
        <w:jc w:val="center"/>
        <w:outlineLvl w:val="0"/>
        <w:rPr>
          <w:rFonts w:hint="eastAsia" w:ascii="宋体" w:hAnsi="宋体" w:eastAsia="宋体"/>
          <w:b/>
          <w:color w:val="auto"/>
          <w:sz w:val="28"/>
          <w:highlight w:val="none"/>
        </w:rPr>
      </w:pPr>
    </w:p>
    <w:p w14:paraId="36CBA54B">
      <w:pPr>
        <w:tabs>
          <w:tab w:val="left" w:pos="2410"/>
        </w:tabs>
        <w:autoSpaceDE w:val="0"/>
        <w:autoSpaceDN w:val="0"/>
        <w:adjustRightInd w:val="0"/>
        <w:snapToGrid w:val="0"/>
        <w:spacing w:line="360" w:lineRule="auto"/>
        <w:ind w:firstLine="643" w:firstLineChars="200"/>
        <w:jc w:val="center"/>
        <w:outlineLvl w:val="9"/>
        <w:rPr>
          <w:rFonts w:hint="eastAsia" w:ascii="宋体" w:hAnsi="宋体" w:eastAsia="宋体"/>
          <w:b/>
          <w:color w:val="auto"/>
          <w:sz w:val="32"/>
          <w:highlight w:val="none"/>
          <w:lang w:val="en-US" w:eastAsia="zh-CN"/>
        </w:rPr>
      </w:pPr>
      <w:r>
        <w:rPr>
          <w:rFonts w:hint="eastAsia" w:ascii="宋体" w:hAnsi="宋体" w:eastAsia="宋体"/>
          <w:b/>
          <w:color w:val="auto"/>
          <w:sz w:val="32"/>
          <w:highlight w:val="none"/>
          <w:lang w:val="en-US" w:eastAsia="zh-CN"/>
        </w:rPr>
        <w:t>目录</w:t>
      </w:r>
    </w:p>
    <w:p w14:paraId="514DEBB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1.开标一览表（格式见附件）；</w:t>
      </w:r>
    </w:p>
    <w:p w14:paraId="6523C5F9">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2.投标函（格式见附件）；</w:t>
      </w:r>
    </w:p>
    <w:p w14:paraId="4E0AB72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3.招标文件商务评审中要求提供的其他相关资料；</w:t>
      </w:r>
    </w:p>
    <w:p w14:paraId="1A0263A6">
      <w:pPr>
        <w:spacing w:line="360" w:lineRule="auto"/>
        <w:ind w:firstLine="435"/>
        <w:rPr>
          <w:rFonts w:hint="default" w:ascii="宋体" w:hAnsi="宋体" w:eastAsia="宋体" w:cs="宋体"/>
          <w:color w:val="auto"/>
          <w:sz w:val="24"/>
          <w:highlight w:val="none"/>
          <w:lang w:val="en-US" w:eastAsia="zh-CN"/>
        </w:rPr>
      </w:pPr>
    </w:p>
    <w:p w14:paraId="0DE05CFA">
      <w:pPr>
        <w:spacing w:line="360" w:lineRule="auto"/>
        <w:jc w:val="center"/>
        <w:outlineLvl w:val="0"/>
        <w:rPr>
          <w:rFonts w:hint="eastAsia" w:ascii="宋体" w:hAnsi="宋体" w:eastAsia="宋体"/>
          <w:b/>
          <w:color w:val="auto"/>
          <w:sz w:val="28"/>
          <w:highlight w:val="none"/>
        </w:rPr>
      </w:pPr>
    </w:p>
    <w:p w14:paraId="5782085B">
      <w:pPr>
        <w:spacing w:line="360" w:lineRule="auto"/>
        <w:jc w:val="center"/>
        <w:outlineLvl w:val="0"/>
        <w:rPr>
          <w:rFonts w:hint="eastAsia" w:ascii="宋体" w:hAnsi="宋体" w:eastAsia="宋体"/>
          <w:b/>
          <w:color w:val="auto"/>
          <w:sz w:val="28"/>
          <w:highlight w:val="none"/>
        </w:rPr>
      </w:pPr>
    </w:p>
    <w:p w14:paraId="4E1E8186">
      <w:pPr>
        <w:spacing w:line="360" w:lineRule="auto"/>
        <w:jc w:val="center"/>
        <w:outlineLvl w:val="0"/>
        <w:rPr>
          <w:rFonts w:hint="eastAsia" w:ascii="宋体" w:hAnsi="宋体" w:eastAsia="宋体"/>
          <w:b/>
          <w:color w:val="auto"/>
          <w:sz w:val="28"/>
          <w:highlight w:val="none"/>
        </w:rPr>
      </w:pPr>
    </w:p>
    <w:p w14:paraId="4B9176F1">
      <w:pPr>
        <w:spacing w:line="360" w:lineRule="auto"/>
        <w:jc w:val="center"/>
        <w:outlineLvl w:val="0"/>
        <w:rPr>
          <w:rFonts w:hint="eastAsia" w:ascii="宋体" w:hAnsi="宋体" w:eastAsia="宋体"/>
          <w:b/>
          <w:color w:val="auto"/>
          <w:sz w:val="28"/>
          <w:highlight w:val="none"/>
        </w:rPr>
      </w:pPr>
    </w:p>
    <w:p w14:paraId="3E4FF541">
      <w:pPr>
        <w:spacing w:line="360" w:lineRule="auto"/>
        <w:jc w:val="center"/>
        <w:outlineLvl w:val="0"/>
        <w:rPr>
          <w:rFonts w:hint="eastAsia" w:ascii="宋体" w:hAnsi="宋体" w:eastAsia="宋体"/>
          <w:b/>
          <w:color w:val="auto"/>
          <w:sz w:val="28"/>
          <w:highlight w:val="none"/>
        </w:rPr>
      </w:pPr>
    </w:p>
    <w:p w14:paraId="5DFEB2FD">
      <w:pPr>
        <w:spacing w:line="360" w:lineRule="auto"/>
        <w:jc w:val="center"/>
        <w:outlineLvl w:val="0"/>
        <w:rPr>
          <w:rFonts w:hint="eastAsia" w:ascii="宋体" w:hAnsi="宋体" w:eastAsia="宋体"/>
          <w:b/>
          <w:color w:val="auto"/>
          <w:sz w:val="28"/>
          <w:highlight w:val="none"/>
        </w:rPr>
      </w:pPr>
    </w:p>
    <w:p w14:paraId="42185861">
      <w:pPr>
        <w:spacing w:line="360" w:lineRule="auto"/>
        <w:jc w:val="center"/>
        <w:outlineLvl w:val="0"/>
        <w:rPr>
          <w:rFonts w:hint="eastAsia" w:ascii="宋体" w:hAnsi="宋体" w:eastAsia="宋体"/>
          <w:b/>
          <w:color w:val="auto"/>
          <w:sz w:val="28"/>
          <w:highlight w:val="none"/>
        </w:rPr>
      </w:pPr>
    </w:p>
    <w:p w14:paraId="26FA325C">
      <w:pPr>
        <w:spacing w:line="360" w:lineRule="auto"/>
        <w:jc w:val="center"/>
        <w:outlineLvl w:val="0"/>
        <w:rPr>
          <w:rFonts w:hint="eastAsia" w:ascii="宋体" w:hAnsi="宋体" w:eastAsia="宋体"/>
          <w:b/>
          <w:color w:val="auto"/>
          <w:sz w:val="28"/>
          <w:highlight w:val="none"/>
        </w:rPr>
      </w:pPr>
    </w:p>
    <w:p w14:paraId="1315019E">
      <w:pPr>
        <w:spacing w:line="360" w:lineRule="auto"/>
        <w:jc w:val="center"/>
        <w:outlineLvl w:val="0"/>
        <w:rPr>
          <w:rFonts w:hint="eastAsia" w:ascii="宋体" w:hAnsi="宋体" w:eastAsia="宋体"/>
          <w:b/>
          <w:color w:val="auto"/>
          <w:sz w:val="28"/>
          <w:highlight w:val="none"/>
        </w:rPr>
      </w:pPr>
    </w:p>
    <w:p w14:paraId="20403837">
      <w:pPr>
        <w:spacing w:line="360" w:lineRule="auto"/>
        <w:jc w:val="center"/>
        <w:outlineLvl w:val="0"/>
        <w:rPr>
          <w:rFonts w:hint="eastAsia" w:ascii="宋体" w:hAnsi="宋体" w:eastAsia="宋体"/>
          <w:b/>
          <w:color w:val="auto"/>
          <w:sz w:val="28"/>
          <w:highlight w:val="none"/>
        </w:rPr>
      </w:pPr>
    </w:p>
    <w:p w14:paraId="0520C5FA">
      <w:pPr>
        <w:spacing w:line="360" w:lineRule="auto"/>
        <w:jc w:val="center"/>
        <w:outlineLvl w:val="0"/>
        <w:rPr>
          <w:rFonts w:hint="eastAsia" w:ascii="宋体" w:hAnsi="宋体" w:eastAsia="宋体"/>
          <w:b/>
          <w:color w:val="auto"/>
          <w:sz w:val="28"/>
          <w:highlight w:val="none"/>
        </w:rPr>
      </w:pPr>
    </w:p>
    <w:p w14:paraId="36D6804C">
      <w:pPr>
        <w:spacing w:line="360" w:lineRule="auto"/>
        <w:jc w:val="center"/>
        <w:outlineLvl w:val="0"/>
        <w:rPr>
          <w:rFonts w:hint="eastAsia" w:ascii="宋体" w:hAnsi="宋体" w:eastAsia="宋体"/>
          <w:b/>
          <w:color w:val="auto"/>
          <w:sz w:val="28"/>
          <w:highlight w:val="none"/>
        </w:rPr>
      </w:pPr>
    </w:p>
    <w:p w14:paraId="355B68DE">
      <w:pPr>
        <w:spacing w:line="360" w:lineRule="auto"/>
        <w:jc w:val="center"/>
        <w:outlineLvl w:val="0"/>
        <w:rPr>
          <w:rFonts w:hint="eastAsia" w:ascii="宋体" w:hAnsi="宋体" w:eastAsia="宋体"/>
          <w:b/>
          <w:color w:val="auto"/>
          <w:sz w:val="28"/>
          <w:highlight w:val="none"/>
        </w:rPr>
      </w:pPr>
    </w:p>
    <w:p w14:paraId="6083BE45">
      <w:pPr>
        <w:spacing w:line="360" w:lineRule="auto"/>
        <w:jc w:val="center"/>
        <w:outlineLvl w:val="0"/>
        <w:rPr>
          <w:rFonts w:hint="eastAsia" w:ascii="宋体" w:hAnsi="宋体" w:eastAsia="宋体"/>
          <w:b/>
          <w:color w:val="auto"/>
          <w:sz w:val="28"/>
          <w:highlight w:val="none"/>
        </w:rPr>
      </w:pPr>
    </w:p>
    <w:p w14:paraId="47C2F63F">
      <w:pPr>
        <w:spacing w:line="360" w:lineRule="auto"/>
        <w:jc w:val="center"/>
        <w:outlineLvl w:val="0"/>
        <w:rPr>
          <w:rFonts w:hint="eastAsia" w:ascii="宋体" w:hAnsi="宋体" w:eastAsia="宋体"/>
          <w:b/>
          <w:color w:val="auto"/>
          <w:sz w:val="28"/>
          <w:highlight w:val="none"/>
        </w:rPr>
      </w:pPr>
    </w:p>
    <w:p w14:paraId="1C087FBE">
      <w:pPr>
        <w:spacing w:line="360" w:lineRule="auto"/>
        <w:jc w:val="center"/>
        <w:outlineLvl w:val="0"/>
        <w:rPr>
          <w:rFonts w:hint="eastAsia" w:ascii="宋体" w:hAnsi="宋体" w:eastAsia="宋体"/>
          <w:b/>
          <w:color w:val="auto"/>
          <w:sz w:val="28"/>
          <w:highlight w:val="none"/>
        </w:rPr>
      </w:pPr>
    </w:p>
    <w:p w14:paraId="5FBCD799">
      <w:pPr>
        <w:spacing w:line="360" w:lineRule="auto"/>
        <w:jc w:val="center"/>
        <w:outlineLvl w:val="0"/>
        <w:rPr>
          <w:rFonts w:hint="eastAsia" w:ascii="宋体" w:hAnsi="宋体" w:eastAsia="宋体"/>
          <w:b/>
          <w:color w:val="auto"/>
          <w:sz w:val="28"/>
          <w:highlight w:val="none"/>
        </w:rPr>
      </w:pPr>
    </w:p>
    <w:p w14:paraId="6D899750">
      <w:pPr>
        <w:spacing w:line="360" w:lineRule="auto"/>
        <w:jc w:val="center"/>
        <w:outlineLvl w:val="0"/>
        <w:rPr>
          <w:rFonts w:hint="eastAsia" w:ascii="宋体" w:hAnsi="宋体" w:eastAsia="宋体"/>
          <w:b/>
          <w:color w:val="auto"/>
          <w:sz w:val="28"/>
          <w:highlight w:val="none"/>
        </w:rPr>
      </w:pPr>
    </w:p>
    <w:p w14:paraId="570C60F9">
      <w:pPr>
        <w:spacing w:line="360" w:lineRule="auto"/>
        <w:jc w:val="center"/>
        <w:outlineLvl w:val="1"/>
        <w:rPr>
          <w:rFonts w:ascii="宋体" w:hAnsi="宋体" w:eastAsia="宋体"/>
          <w:b/>
          <w:color w:val="auto"/>
          <w:sz w:val="24"/>
          <w:highlight w:val="none"/>
        </w:rPr>
      </w:pPr>
      <w:bookmarkStart w:id="70" w:name="_Toc5555"/>
      <w:bookmarkStart w:id="71" w:name="_Toc28960"/>
      <w:r>
        <w:rPr>
          <w:rFonts w:hint="eastAsia" w:ascii="宋体" w:hAnsi="宋体" w:eastAsia="宋体"/>
          <w:b/>
          <w:color w:val="auto"/>
          <w:sz w:val="24"/>
          <w:highlight w:val="none"/>
        </w:rPr>
        <w:t>一、开标一览表</w:t>
      </w:r>
      <w:bookmarkEnd w:id="70"/>
      <w:bookmarkEnd w:id="71"/>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70E5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3C3C378B">
            <w:pPr>
              <w:widowControl/>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7C90E0A1">
            <w:pPr>
              <w:spacing w:line="360" w:lineRule="exact"/>
              <w:jc w:val="center"/>
              <w:rPr>
                <w:rFonts w:ascii="宋体" w:hAnsi="宋体" w:eastAsia="宋体"/>
                <w:bCs/>
                <w:color w:val="auto"/>
                <w:sz w:val="24"/>
                <w:highlight w:val="none"/>
                <w:u w:val="single"/>
              </w:rPr>
            </w:pPr>
          </w:p>
        </w:tc>
      </w:tr>
      <w:tr w14:paraId="2A6D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88FF83C">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投标人全称</w:t>
            </w:r>
          </w:p>
        </w:tc>
        <w:tc>
          <w:tcPr>
            <w:tcW w:w="3648" w:type="pct"/>
            <w:tcBorders>
              <w:top w:val="nil"/>
            </w:tcBorders>
            <w:vAlign w:val="center"/>
          </w:tcPr>
          <w:p w14:paraId="2B340F0F">
            <w:pPr>
              <w:spacing w:line="360" w:lineRule="auto"/>
              <w:rPr>
                <w:rFonts w:ascii="宋体" w:hAnsi="宋体" w:eastAsia="宋体"/>
                <w:color w:val="auto"/>
                <w:sz w:val="24"/>
                <w:highlight w:val="none"/>
              </w:rPr>
            </w:pPr>
          </w:p>
        </w:tc>
      </w:tr>
      <w:tr w14:paraId="6951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9D05610">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投标范围</w:t>
            </w:r>
          </w:p>
        </w:tc>
        <w:tc>
          <w:tcPr>
            <w:tcW w:w="3648" w:type="pct"/>
            <w:tcBorders>
              <w:top w:val="nil"/>
            </w:tcBorders>
            <w:vAlign w:val="center"/>
          </w:tcPr>
          <w:p w14:paraId="0F7342E3">
            <w:pPr>
              <w:keepNext w:val="0"/>
              <w:keepLines w:val="0"/>
              <w:pageBreakBefore w:val="0"/>
              <w:widowControl/>
              <w:kinsoku/>
              <w:wordWrap/>
              <w:overflowPunct/>
              <w:topLinePunct w:val="0"/>
              <w:autoSpaceDE/>
              <w:autoSpaceDN/>
              <w:bidi w:val="0"/>
              <w:adjustRightInd/>
              <w:spacing w:line="360" w:lineRule="auto"/>
              <w:textAlignment w:val="auto"/>
              <w:rPr>
                <w:rFonts w:ascii="宋体" w:hAnsi="宋体" w:eastAsia="宋体"/>
                <w:color w:val="auto"/>
                <w:sz w:val="24"/>
                <w:highlight w:val="none"/>
              </w:rPr>
            </w:pPr>
            <w:r>
              <w:rPr>
                <w:rFonts w:hint="eastAsia" w:ascii="宋体" w:hAnsi="宋体" w:eastAsia="宋体"/>
                <w:color w:val="auto"/>
                <w:sz w:val="24"/>
                <w:szCs w:val="28"/>
                <w:highlight w:val="none"/>
              </w:rPr>
              <w:t>全部</w:t>
            </w:r>
          </w:p>
        </w:tc>
      </w:tr>
      <w:tr w14:paraId="0B45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13CC634">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投标报价</w:t>
            </w:r>
          </w:p>
        </w:tc>
        <w:tc>
          <w:tcPr>
            <w:tcW w:w="3648" w:type="pct"/>
            <w:tcBorders>
              <w:top w:val="nil"/>
            </w:tcBorders>
            <w:vAlign w:val="center"/>
          </w:tcPr>
          <w:p w14:paraId="232E930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66BDF3B0">
            <w:pPr>
              <w:keepNext w:val="0"/>
              <w:keepLines w:val="0"/>
              <w:pageBreakBefore w:val="0"/>
              <w:widowControl w:val="0"/>
              <w:kinsoku/>
              <w:wordWrap/>
              <w:overflowPunct/>
              <w:topLinePunct w:val="0"/>
              <w:autoSpaceDE/>
              <w:autoSpaceDN/>
              <w:bidi w:val="0"/>
              <w:adjustRightInd/>
              <w:spacing w:line="360" w:lineRule="auto"/>
              <w:ind w:right="-670"/>
              <w:textAlignment w:val="auto"/>
              <w:rPr>
                <w:rFonts w:ascii="宋体" w:hAnsi="宋体" w:eastAsia="宋体"/>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2933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71A8356C">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其他</w:t>
            </w:r>
          </w:p>
        </w:tc>
        <w:tc>
          <w:tcPr>
            <w:tcW w:w="3648" w:type="pct"/>
            <w:tcBorders>
              <w:top w:val="nil"/>
            </w:tcBorders>
            <w:vAlign w:val="center"/>
          </w:tcPr>
          <w:p w14:paraId="3EF9C6B9">
            <w:pPr>
              <w:spacing w:line="360" w:lineRule="auto"/>
              <w:jc w:val="left"/>
              <w:rPr>
                <w:rFonts w:ascii="宋体" w:hAnsi="宋体" w:eastAsia="宋体"/>
                <w:color w:val="auto"/>
                <w:sz w:val="24"/>
                <w:szCs w:val="28"/>
                <w:highlight w:val="none"/>
              </w:rPr>
            </w:pPr>
          </w:p>
        </w:tc>
      </w:tr>
    </w:tbl>
    <w:p w14:paraId="200C245E">
      <w:pPr>
        <w:spacing w:line="360" w:lineRule="auto"/>
        <w:ind w:firstLine="4320" w:firstLineChars="1800"/>
        <w:jc w:val="center"/>
        <w:rPr>
          <w:rFonts w:ascii="宋体" w:hAnsi="宋体" w:eastAsia="宋体"/>
          <w:bCs/>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7FC48B7D">
      <w:pPr>
        <w:spacing w:line="360" w:lineRule="auto"/>
        <w:ind w:firstLine="4320" w:firstLineChars="1800"/>
        <w:jc w:val="center"/>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42B2D85F">
      <w:pPr>
        <w:spacing w:line="360" w:lineRule="auto"/>
        <w:rPr>
          <w:rFonts w:ascii="宋体" w:hAnsi="宋体" w:eastAsia="宋体"/>
          <w:color w:val="auto"/>
          <w:sz w:val="24"/>
          <w:highlight w:val="none"/>
        </w:rPr>
      </w:pPr>
      <w:r>
        <w:rPr>
          <w:rFonts w:ascii="宋体" w:hAnsi="宋体" w:eastAsia="宋体"/>
          <w:color w:val="auto"/>
          <w:sz w:val="24"/>
          <w:highlight w:val="none"/>
        </w:rPr>
        <w:t xml:space="preserve">     </w:t>
      </w:r>
    </w:p>
    <w:p w14:paraId="0DF9A03C">
      <w:pPr>
        <w:spacing w:line="360" w:lineRule="auto"/>
        <w:ind w:firstLine="360" w:firstLineChars="150"/>
        <w:rPr>
          <w:rFonts w:ascii="宋体" w:hAnsi="宋体" w:eastAsia="宋体"/>
          <w:color w:val="auto"/>
          <w:sz w:val="24"/>
          <w:highlight w:val="none"/>
        </w:rPr>
      </w:pPr>
    </w:p>
    <w:p w14:paraId="55F106A9">
      <w:pPr>
        <w:spacing w:line="360" w:lineRule="auto"/>
        <w:rPr>
          <w:rFonts w:hint="eastAsia" w:ascii="宋体" w:hAnsi="宋体" w:eastAsia="宋体"/>
          <w:b/>
          <w:color w:val="auto"/>
          <w:sz w:val="24"/>
          <w:highlight w:val="none"/>
          <w:lang w:eastAsia="zh-CN"/>
        </w:rPr>
      </w:pPr>
      <w:r>
        <w:rPr>
          <w:rFonts w:hint="eastAsia" w:ascii="宋体" w:hAnsi="宋体" w:eastAsia="宋体"/>
          <w:b/>
          <w:color w:val="auto"/>
          <w:sz w:val="24"/>
          <w:highlight w:val="none"/>
          <w:lang w:eastAsia="zh-CN"/>
        </w:rPr>
        <w:t>注：</w:t>
      </w:r>
    </w:p>
    <w:p w14:paraId="4E90591E">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此表用于开标唱标之用。</w:t>
      </w:r>
    </w:p>
    <w:p w14:paraId="175800D6">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w:t>
      </w:r>
      <w:r>
        <w:rPr>
          <w:rFonts w:ascii="宋体" w:hAnsi="宋体" w:eastAsia="宋体"/>
          <w:color w:val="auto"/>
          <w:sz w:val="24"/>
          <w:highlight w:val="none"/>
        </w:rPr>
        <w:t>表中投标报价即为优惠后报价，并作为评审及定标依据。任何有选择或有条件的投标报价，或者表中某一包别填写多个报价，均为无效报价。</w:t>
      </w:r>
    </w:p>
    <w:p w14:paraId="772A84AD">
      <w:pPr>
        <w:spacing w:line="360" w:lineRule="auto"/>
        <w:jc w:val="center"/>
        <w:outlineLvl w:val="0"/>
        <w:rPr>
          <w:rFonts w:hint="eastAsia" w:ascii="宋体" w:hAnsi="宋体" w:eastAsia="宋体"/>
          <w:b/>
          <w:color w:val="auto"/>
          <w:sz w:val="28"/>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.表中大写金额与小写金额不一致的，以大写金额为准。</w:t>
      </w:r>
      <w:r>
        <w:rPr>
          <w:rFonts w:ascii="宋体" w:hAnsi="宋体" w:eastAsia="宋体"/>
          <w:color w:val="auto"/>
          <w:sz w:val="24"/>
          <w:highlight w:val="none"/>
        </w:rPr>
        <w:br w:type="page"/>
      </w:r>
    </w:p>
    <w:p w14:paraId="7069AC3A">
      <w:pPr>
        <w:spacing w:line="360" w:lineRule="auto"/>
        <w:jc w:val="center"/>
        <w:outlineLvl w:val="1"/>
        <w:rPr>
          <w:rFonts w:ascii="宋体" w:hAnsi="宋体" w:eastAsia="宋体"/>
          <w:b/>
          <w:color w:val="auto"/>
          <w:sz w:val="24"/>
          <w:highlight w:val="none"/>
        </w:rPr>
      </w:pPr>
      <w:bookmarkStart w:id="72" w:name="_Toc18010"/>
      <w:bookmarkStart w:id="73" w:name="_Toc6441"/>
      <w:r>
        <w:rPr>
          <w:rFonts w:hint="eastAsia" w:ascii="宋体" w:hAnsi="宋体" w:eastAsia="宋体"/>
          <w:b/>
          <w:color w:val="auto"/>
          <w:sz w:val="24"/>
          <w:highlight w:val="none"/>
        </w:rPr>
        <w:t>二、投标函</w:t>
      </w:r>
      <w:bookmarkEnd w:id="72"/>
      <w:bookmarkEnd w:id="73"/>
    </w:p>
    <w:p w14:paraId="468F39E4">
      <w:pPr>
        <w:pStyle w:val="12"/>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4A073C2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根据贵方的招标公告和投标邀请，我方兹宣布同意如下：</w:t>
      </w:r>
    </w:p>
    <w:p w14:paraId="53E3B46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5E3DA48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.我方已详细审核全部招标文件，包括招标文件</w:t>
      </w:r>
      <w:r>
        <w:rPr>
          <w:rFonts w:hint="eastAsia" w:ascii="宋体" w:hAnsi="宋体" w:eastAsia="宋体"/>
          <w:color w:val="auto"/>
          <w:sz w:val="24"/>
          <w:highlight w:val="none"/>
          <w:lang w:val="en-US" w:eastAsia="zh-CN"/>
        </w:rPr>
        <w:t>附件及更正公告（如有）</w:t>
      </w:r>
      <w:r>
        <w:rPr>
          <w:rFonts w:hint="eastAsia" w:ascii="宋体" w:hAnsi="宋体" w:eastAsia="宋体"/>
          <w:color w:val="auto"/>
          <w:sz w:val="24"/>
          <w:highlight w:val="none"/>
        </w:rPr>
        <w:t>，我方正式认可并遵守本次招标文件，并对招标文件各项条款、规定及要求均无异议。</w:t>
      </w:r>
    </w:p>
    <w:p w14:paraId="18D95B9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.我方同意从招标文件规定的开标日期起遵循本招标文件，并在招标文件规定的投标有效期之前均具有约束力。</w:t>
      </w:r>
    </w:p>
    <w:p w14:paraId="6932F8E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1AEBAA3C">
      <w:pPr>
        <w:spacing w:line="360" w:lineRule="auto"/>
        <w:ind w:firstLine="4800" w:firstLineChars="2000"/>
        <w:rPr>
          <w:rFonts w:ascii="宋体" w:hAnsi="宋体" w:eastAsia="宋体"/>
          <w:color w:val="auto"/>
          <w:sz w:val="24"/>
          <w:highlight w:val="none"/>
        </w:rPr>
      </w:pPr>
    </w:p>
    <w:p w14:paraId="1DC76F4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4916BD9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17B5E7E">
      <w:pPr>
        <w:spacing w:line="360" w:lineRule="auto"/>
        <w:jc w:val="center"/>
        <w:outlineLvl w:val="0"/>
        <w:rPr>
          <w:rFonts w:hint="eastAsia" w:ascii="宋体" w:hAnsi="宋体" w:eastAsia="宋体"/>
          <w:b/>
          <w:color w:val="auto"/>
          <w:sz w:val="28"/>
          <w:highlight w:val="none"/>
        </w:rPr>
      </w:pPr>
    </w:p>
    <w:p w14:paraId="1A4FFA23">
      <w:pPr>
        <w:spacing w:line="360" w:lineRule="auto"/>
        <w:jc w:val="center"/>
        <w:outlineLvl w:val="0"/>
        <w:rPr>
          <w:rFonts w:hint="eastAsia" w:ascii="宋体" w:hAnsi="宋体" w:eastAsia="宋体"/>
          <w:b/>
          <w:color w:val="auto"/>
          <w:sz w:val="28"/>
          <w:highlight w:val="none"/>
        </w:rPr>
      </w:pPr>
    </w:p>
    <w:p w14:paraId="4D1B50D1">
      <w:pPr>
        <w:spacing w:line="360" w:lineRule="auto"/>
        <w:jc w:val="center"/>
        <w:outlineLvl w:val="0"/>
        <w:rPr>
          <w:rFonts w:hint="eastAsia" w:ascii="宋体" w:hAnsi="宋体" w:eastAsia="宋体"/>
          <w:b/>
          <w:color w:val="auto"/>
          <w:sz w:val="28"/>
          <w:highlight w:val="none"/>
        </w:rPr>
      </w:pPr>
    </w:p>
    <w:p w14:paraId="33171277">
      <w:pPr>
        <w:spacing w:line="360" w:lineRule="auto"/>
        <w:jc w:val="center"/>
        <w:outlineLvl w:val="0"/>
        <w:rPr>
          <w:rFonts w:hint="eastAsia" w:ascii="宋体" w:hAnsi="宋体" w:eastAsia="宋体"/>
          <w:b/>
          <w:color w:val="auto"/>
          <w:sz w:val="28"/>
          <w:highlight w:val="none"/>
        </w:rPr>
      </w:pPr>
    </w:p>
    <w:p w14:paraId="24295485">
      <w:pPr>
        <w:spacing w:line="360" w:lineRule="auto"/>
        <w:jc w:val="center"/>
        <w:outlineLvl w:val="0"/>
        <w:rPr>
          <w:rFonts w:hint="eastAsia" w:ascii="宋体" w:hAnsi="宋体" w:eastAsia="宋体"/>
          <w:b/>
          <w:color w:val="auto"/>
          <w:sz w:val="28"/>
          <w:highlight w:val="none"/>
        </w:rPr>
      </w:pPr>
    </w:p>
    <w:p w14:paraId="7DDD1FC1">
      <w:pPr>
        <w:spacing w:line="360" w:lineRule="auto"/>
        <w:jc w:val="center"/>
        <w:outlineLvl w:val="0"/>
        <w:rPr>
          <w:rFonts w:hint="eastAsia" w:ascii="宋体" w:hAnsi="宋体" w:eastAsia="宋体"/>
          <w:b/>
          <w:color w:val="auto"/>
          <w:sz w:val="28"/>
          <w:highlight w:val="none"/>
        </w:rPr>
      </w:pPr>
    </w:p>
    <w:p w14:paraId="43175992">
      <w:pPr>
        <w:spacing w:line="360" w:lineRule="auto"/>
        <w:jc w:val="center"/>
        <w:outlineLvl w:val="0"/>
        <w:rPr>
          <w:rFonts w:hint="eastAsia" w:ascii="宋体" w:hAnsi="宋体" w:eastAsia="宋体"/>
          <w:b/>
          <w:color w:val="auto"/>
          <w:sz w:val="28"/>
          <w:highlight w:val="none"/>
        </w:rPr>
      </w:pPr>
    </w:p>
    <w:p w14:paraId="01B5060D">
      <w:pPr>
        <w:spacing w:line="360" w:lineRule="auto"/>
        <w:jc w:val="center"/>
        <w:outlineLvl w:val="1"/>
        <w:rPr>
          <w:rFonts w:hint="eastAsia" w:ascii="宋体" w:hAnsi="宋体" w:eastAsia="宋体"/>
          <w:b/>
          <w:color w:val="auto"/>
          <w:sz w:val="24"/>
          <w:highlight w:val="none"/>
        </w:rPr>
      </w:pPr>
      <w:bookmarkStart w:id="74" w:name="_Toc6796"/>
      <w:bookmarkStart w:id="75" w:name="_Toc31991"/>
    </w:p>
    <w:p w14:paraId="3C73A698">
      <w:pPr>
        <w:pStyle w:val="3"/>
        <w:rPr>
          <w:rFonts w:hint="eastAsia"/>
          <w:highlight w:val="none"/>
        </w:rPr>
      </w:pPr>
    </w:p>
    <w:p w14:paraId="2484B04A">
      <w:pPr>
        <w:spacing w:line="360" w:lineRule="auto"/>
        <w:jc w:val="center"/>
        <w:outlineLvl w:val="1"/>
        <w:rPr>
          <w:rFonts w:hint="eastAsia" w:ascii="宋体" w:hAnsi="宋体" w:eastAsia="宋体"/>
          <w:b/>
          <w:color w:val="auto"/>
          <w:sz w:val="24"/>
          <w:highlight w:val="none"/>
        </w:rPr>
      </w:pPr>
    </w:p>
    <w:p w14:paraId="601BEA56">
      <w:pPr>
        <w:spacing w:line="360" w:lineRule="auto"/>
        <w:jc w:val="center"/>
        <w:outlineLvl w:val="1"/>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三</w:t>
      </w:r>
      <w:r>
        <w:rPr>
          <w:rFonts w:hint="eastAsia" w:ascii="宋体" w:hAnsi="宋体" w:eastAsia="宋体"/>
          <w:b/>
          <w:color w:val="auto"/>
          <w:sz w:val="24"/>
          <w:highlight w:val="none"/>
        </w:rPr>
        <w:t>、投标分项报价表</w:t>
      </w:r>
      <w:bookmarkEnd w:id="74"/>
      <w:bookmarkEnd w:id="75"/>
    </w:p>
    <w:p w14:paraId="436D1BA1">
      <w:pPr>
        <w:spacing w:line="360" w:lineRule="auto"/>
        <w:ind w:firstLine="435"/>
        <w:rPr>
          <w:rFonts w:ascii="宋体" w:hAnsi="宋体" w:eastAsia="宋体"/>
          <w:b/>
          <w:color w:val="auto"/>
          <w:sz w:val="24"/>
          <w:highlight w:val="none"/>
        </w:rPr>
      </w:pPr>
    </w:p>
    <w:tbl>
      <w:tblPr>
        <w:tblStyle w:val="22"/>
        <w:tblW w:w="9912" w:type="dxa"/>
        <w:tblInd w:w="-36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3"/>
        <w:gridCol w:w="3280"/>
        <w:gridCol w:w="784"/>
        <w:gridCol w:w="1070"/>
        <w:gridCol w:w="1172"/>
        <w:gridCol w:w="1410"/>
        <w:gridCol w:w="1553"/>
      </w:tblGrid>
      <w:tr w14:paraId="275665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643" w:type="dxa"/>
            <w:noWrap w:val="0"/>
            <w:vAlign w:val="center"/>
          </w:tcPr>
          <w:p w14:paraId="466DC9C4">
            <w:pPr>
              <w:spacing w:after="0"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3280" w:type="dxa"/>
            <w:noWrap w:val="0"/>
            <w:vAlign w:val="center"/>
          </w:tcPr>
          <w:p w14:paraId="40F59A8A">
            <w:pPr>
              <w:spacing w:after="0"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产品名称</w:t>
            </w:r>
          </w:p>
        </w:tc>
        <w:tc>
          <w:tcPr>
            <w:tcW w:w="784" w:type="dxa"/>
            <w:noWrap w:val="0"/>
            <w:vAlign w:val="center"/>
          </w:tcPr>
          <w:p w14:paraId="41CCC98A">
            <w:pPr>
              <w:spacing w:after="0"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单位</w:t>
            </w:r>
          </w:p>
        </w:tc>
        <w:tc>
          <w:tcPr>
            <w:tcW w:w="1070" w:type="dxa"/>
            <w:noWrap w:val="0"/>
            <w:vAlign w:val="center"/>
          </w:tcPr>
          <w:p w14:paraId="1F4B5401">
            <w:pPr>
              <w:spacing w:after="0"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数量</w:t>
            </w:r>
          </w:p>
        </w:tc>
        <w:tc>
          <w:tcPr>
            <w:tcW w:w="1172" w:type="dxa"/>
            <w:tcBorders>
              <w:left w:val="single" w:color="auto" w:sz="4" w:space="0"/>
            </w:tcBorders>
            <w:noWrap w:val="0"/>
            <w:vAlign w:val="center"/>
          </w:tcPr>
          <w:p w14:paraId="2D7AA94C">
            <w:pPr>
              <w:spacing w:after="0"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单 价（元</w:t>
            </w:r>
            <w:r>
              <w:rPr>
                <w:rFonts w:hint="eastAsia" w:ascii="宋体" w:hAnsi="宋体" w:eastAsia="宋体" w:cs="宋体"/>
                <w:szCs w:val="21"/>
                <w:highlight w:val="none"/>
                <w:lang w:val="en-US" w:eastAsia="zh-CN"/>
              </w:rPr>
              <w:t>/件</w:t>
            </w:r>
            <w:r>
              <w:rPr>
                <w:rFonts w:hint="eastAsia" w:ascii="宋体" w:hAnsi="宋体" w:eastAsia="宋体" w:cs="宋体"/>
                <w:szCs w:val="21"/>
                <w:highlight w:val="none"/>
              </w:rPr>
              <w:t>）</w:t>
            </w:r>
          </w:p>
        </w:tc>
        <w:tc>
          <w:tcPr>
            <w:tcW w:w="1410" w:type="dxa"/>
            <w:noWrap w:val="0"/>
            <w:vAlign w:val="center"/>
          </w:tcPr>
          <w:p w14:paraId="7C621F05">
            <w:pPr>
              <w:spacing w:after="0"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合 价（元）</w:t>
            </w:r>
          </w:p>
        </w:tc>
        <w:tc>
          <w:tcPr>
            <w:tcW w:w="1553" w:type="dxa"/>
            <w:noWrap w:val="0"/>
            <w:vAlign w:val="center"/>
          </w:tcPr>
          <w:p w14:paraId="4DFCFEA3">
            <w:pPr>
              <w:spacing w:after="0" w:line="300" w:lineRule="exact"/>
              <w:ind w:left="-80" w:leftChars="-38" w:right="-94" w:rightChars="-45"/>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14:paraId="1D8DAC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noWrap w:val="0"/>
            <w:vAlign w:val="top"/>
          </w:tcPr>
          <w:p w14:paraId="34567D66">
            <w:pPr>
              <w:spacing w:after="0"/>
              <w:textAlignment w:val="baseline"/>
              <w:rPr>
                <w:rFonts w:hint="eastAsia" w:ascii="宋体" w:hAnsi="宋体" w:eastAsia="宋体" w:cs="宋体"/>
                <w:szCs w:val="21"/>
                <w:highlight w:val="none"/>
              </w:rPr>
            </w:pPr>
            <w:r>
              <w:rPr>
                <w:rFonts w:hint="eastAsia" w:ascii="宋体" w:hAnsi="宋体" w:eastAsia="宋体" w:cs="宋体"/>
                <w:szCs w:val="21"/>
                <w:highlight w:val="none"/>
              </w:rPr>
              <w:t>1</w:t>
            </w:r>
          </w:p>
        </w:tc>
        <w:tc>
          <w:tcPr>
            <w:tcW w:w="3280" w:type="dxa"/>
            <w:noWrap w:val="0"/>
            <w:vAlign w:val="center"/>
          </w:tcPr>
          <w:p w14:paraId="6289FE38">
            <w:pPr>
              <w:spacing w:after="0" w:line="300" w:lineRule="exact"/>
              <w:jc w:val="center"/>
              <w:rPr>
                <w:rFonts w:hint="eastAsia" w:ascii="宋体" w:hAnsi="宋体" w:eastAsia="宋体" w:cs="宋体"/>
                <w:sz w:val="24"/>
                <w:highlight w:val="none"/>
                <w:lang w:eastAsia="zh-CN"/>
              </w:rPr>
            </w:pPr>
            <w:r>
              <w:rPr>
                <w:rFonts w:hint="eastAsia" w:ascii="宋体" w:hAnsi="宋体" w:eastAsia="宋体" w:cs="宋体"/>
                <w:color w:val="333333"/>
                <w:highlight w:val="none"/>
                <w:shd w:val="clear" w:color="auto" w:fill="FFFFFF"/>
                <w:lang w:eastAsia="zh-CN"/>
              </w:rPr>
              <w:t>滁州市第二人民医院被服洗涤服务采购项目</w:t>
            </w:r>
          </w:p>
        </w:tc>
        <w:tc>
          <w:tcPr>
            <w:tcW w:w="784" w:type="dxa"/>
            <w:noWrap w:val="0"/>
            <w:vAlign w:val="center"/>
          </w:tcPr>
          <w:p w14:paraId="67CF421D">
            <w:pPr>
              <w:widowControl/>
              <w:spacing w:after="0" w:line="360" w:lineRule="auto"/>
              <w:jc w:val="center"/>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件</w:t>
            </w:r>
          </w:p>
        </w:tc>
        <w:tc>
          <w:tcPr>
            <w:tcW w:w="1070" w:type="dxa"/>
            <w:noWrap w:val="0"/>
            <w:vAlign w:val="center"/>
          </w:tcPr>
          <w:p w14:paraId="4E9F3D97">
            <w:pPr>
              <w:widowControl/>
              <w:spacing w:after="0" w:line="360" w:lineRule="auto"/>
              <w:jc w:val="center"/>
              <w:textAlignment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8万件</w:t>
            </w:r>
          </w:p>
        </w:tc>
        <w:tc>
          <w:tcPr>
            <w:tcW w:w="1172" w:type="dxa"/>
            <w:tcBorders>
              <w:left w:val="single" w:color="auto" w:sz="4" w:space="0"/>
            </w:tcBorders>
            <w:noWrap w:val="0"/>
            <w:vAlign w:val="center"/>
          </w:tcPr>
          <w:p w14:paraId="0CAA2235">
            <w:pPr>
              <w:spacing w:after="0" w:line="300" w:lineRule="exact"/>
              <w:rPr>
                <w:rFonts w:hint="eastAsia" w:ascii="宋体" w:hAnsi="宋体" w:eastAsia="宋体" w:cs="宋体"/>
                <w:sz w:val="24"/>
                <w:highlight w:val="none"/>
              </w:rPr>
            </w:pPr>
          </w:p>
        </w:tc>
        <w:tc>
          <w:tcPr>
            <w:tcW w:w="1410" w:type="dxa"/>
            <w:noWrap w:val="0"/>
            <w:vAlign w:val="center"/>
          </w:tcPr>
          <w:p w14:paraId="7ACD8DAB">
            <w:pPr>
              <w:spacing w:after="0" w:line="300" w:lineRule="exact"/>
              <w:rPr>
                <w:rFonts w:hint="eastAsia" w:ascii="宋体" w:hAnsi="宋体" w:eastAsia="宋体" w:cs="宋体"/>
                <w:sz w:val="24"/>
                <w:highlight w:val="none"/>
              </w:rPr>
            </w:pPr>
          </w:p>
        </w:tc>
        <w:tc>
          <w:tcPr>
            <w:tcW w:w="1553" w:type="dxa"/>
            <w:noWrap w:val="0"/>
            <w:vAlign w:val="top"/>
          </w:tcPr>
          <w:p w14:paraId="79A38E1A">
            <w:pPr>
              <w:spacing w:after="0" w:line="300" w:lineRule="exact"/>
              <w:rPr>
                <w:rFonts w:hint="eastAsia" w:ascii="宋体" w:hAnsi="宋体" w:eastAsia="宋体" w:cs="宋体"/>
                <w:sz w:val="24"/>
                <w:highlight w:val="none"/>
              </w:rPr>
            </w:pPr>
          </w:p>
        </w:tc>
      </w:tr>
      <w:tr w14:paraId="0C6174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noWrap w:val="0"/>
            <w:vAlign w:val="top"/>
          </w:tcPr>
          <w:p w14:paraId="6107C8C4">
            <w:pPr>
              <w:spacing w:after="0"/>
              <w:textAlignment w:val="baseline"/>
              <w:rPr>
                <w:rFonts w:hint="eastAsia" w:ascii="宋体" w:hAnsi="宋体" w:eastAsia="宋体" w:cs="宋体"/>
                <w:szCs w:val="21"/>
                <w:highlight w:val="none"/>
              </w:rPr>
            </w:pPr>
            <w:r>
              <w:rPr>
                <w:rFonts w:hint="eastAsia" w:ascii="宋体" w:hAnsi="宋体" w:eastAsia="宋体" w:cs="宋体"/>
                <w:szCs w:val="21"/>
                <w:highlight w:val="none"/>
              </w:rPr>
              <w:t>...</w:t>
            </w:r>
          </w:p>
        </w:tc>
        <w:tc>
          <w:tcPr>
            <w:tcW w:w="3280" w:type="dxa"/>
            <w:noWrap w:val="0"/>
            <w:vAlign w:val="center"/>
          </w:tcPr>
          <w:p w14:paraId="75F0DD24">
            <w:pPr>
              <w:spacing w:after="0" w:line="300" w:lineRule="exact"/>
              <w:jc w:val="center"/>
              <w:rPr>
                <w:rFonts w:hint="eastAsia" w:ascii="宋体" w:hAnsi="宋体" w:eastAsia="宋体" w:cs="宋体"/>
                <w:sz w:val="24"/>
                <w:highlight w:val="none"/>
              </w:rPr>
            </w:pPr>
          </w:p>
        </w:tc>
        <w:tc>
          <w:tcPr>
            <w:tcW w:w="784" w:type="dxa"/>
            <w:noWrap w:val="0"/>
            <w:vAlign w:val="center"/>
          </w:tcPr>
          <w:p w14:paraId="1546517D">
            <w:pPr>
              <w:widowControl/>
              <w:spacing w:after="0" w:line="360" w:lineRule="auto"/>
              <w:jc w:val="center"/>
              <w:textAlignment w:val="center"/>
              <w:rPr>
                <w:rFonts w:hint="eastAsia" w:ascii="宋体" w:hAnsi="宋体" w:eastAsia="宋体" w:cs="宋体"/>
                <w:sz w:val="24"/>
                <w:highlight w:val="none"/>
              </w:rPr>
            </w:pPr>
          </w:p>
        </w:tc>
        <w:tc>
          <w:tcPr>
            <w:tcW w:w="1070" w:type="dxa"/>
            <w:noWrap w:val="0"/>
            <w:vAlign w:val="center"/>
          </w:tcPr>
          <w:p w14:paraId="1D96053F">
            <w:pPr>
              <w:widowControl/>
              <w:spacing w:after="0" w:line="360" w:lineRule="auto"/>
              <w:jc w:val="center"/>
              <w:textAlignment w:val="center"/>
              <w:rPr>
                <w:rFonts w:hint="eastAsia" w:ascii="宋体" w:hAnsi="宋体" w:eastAsia="宋体" w:cs="宋体"/>
                <w:sz w:val="24"/>
                <w:highlight w:val="none"/>
              </w:rPr>
            </w:pPr>
          </w:p>
        </w:tc>
        <w:tc>
          <w:tcPr>
            <w:tcW w:w="1172" w:type="dxa"/>
            <w:tcBorders>
              <w:left w:val="single" w:color="auto" w:sz="4" w:space="0"/>
            </w:tcBorders>
            <w:noWrap w:val="0"/>
            <w:vAlign w:val="center"/>
          </w:tcPr>
          <w:p w14:paraId="2978BC57">
            <w:pPr>
              <w:spacing w:after="0" w:line="300" w:lineRule="exact"/>
              <w:rPr>
                <w:rFonts w:hint="eastAsia" w:ascii="宋体" w:hAnsi="宋体" w:eastAsia="宋体" w:cs="宋体"/>
                <w:sz w:val="24"/>
                <w:highlight w:val="none"/>
              </w:rPr>
            </w:pPr>
          </w:p>
        </w:tc>
        <w:tc>
          <w:tcPr>
            <w:tcW w:w="1410" w:type="dxa"/>
            <w:noWrap w:val="0"/>
            <w:vAlign w:val="center"/>
          </w:tcPr>
          <w:p w14:paraId="7C28B782">
            <w:pPr>
              <w:spacing w:after="0" w:line="300" w:lineRule="exact"/>
              <w:rPr>
                <w:rFonts w:hint="eastAsia" w:ascii="宋体" w:hAnsi="宋体" w:eastAsia="宋体" w:cs="宋体"/>
                <w:sz w:val="24"/>
                <w:highlight w:val="none"/>
              </w:rPr>
            </w:pPr>
          </w:p>
        </w:tc>
        <w:tc>
          <w:tcPr>
            <w:tcW w:w="1553" w:type="dxa"/>
            <w:noWrap w:val="0"/>
            <w:vAlign w:val="top"/>
          </w:tcPr>
          <w:p w14:paraId="0C30BE4C">
            <w:pPr>
              <w:spacing w:after="0" w:line="300" w:lineRule="exact"/>
              <w:rPr>
                <w:rFonts w:hint="eastAsia" w:ascii="宋体" w:hAnsi="宋体" w:eastAsia="宋体" w:cs="宋体"/>
                <w:sz w:val="24"/>
                <w:highlight w:val="none"/>
              </w:rPr>
            </w:pPr>
          </w:p>
        </w:tc>
      </w:tr>
      <w:tr w14:paraId="681842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912" w:type="dxa"/>
            <w:gridSpan w:val="7"/>
            <w:noWrap w:val="0"/>
            <w:vAlign w:val="top"/>
          </w:tcPr>
          <w:p w14:paraId="2A124A55">
            <w:pPr>
              <w:spacing w:after="0" w:line="300" w:lineRule="exact"/>
              <w:rPr>
                <w:rFonts w:hint="eastAsia" w:ascii="宋体" w:hAnsi="宋体" w:eastAsia="宋体" w:cs="宋体"/>
                <w:sz w:val="24"/>
                <w:highlight w:val="none"/>
              </w:rPr>
            </w:pPr>
            <w:r>
              <w:rPr>
                <w:rFonts w:hint="eastAsia" w:ascii="宋体" w:hAnsi="宋体" w:eastAsia="宋体" w:cs="宋体"/>
                <w:b/>
                <w:sz w:val="24"/>
                <w:highlight w:val="none"/>
              </w:rPr>
              <w:t>投标报价（1+2+...）：</w:t>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rPr>
              <w:t>元；小写：</w:t>
            </w:r>
            <w:r>
              <w:rPr>
                <w:rFonts w:hint="eastAsia" w:ascii="宋体" w:hAnsi="宋体" w:eastAsia="宋体" w:cs="宋体"/>
                <w:b/>
                <w:sz w:val="24"/>
                <w:highlight w:val="none"/>
                <w:u w:val="single"/>
              </w:rPr>
              <w:t xml:space="preserve">         </w:t>
            </w:r>
            <w:r>
              <w:rPr>
                <w:rFonts w:hint="eastAsia" w:ascii="宋体" w:hAnsi="宋体" w:eastAsia="宋体" w:cs="宋体"/>
                <w:b/>
                <w:sz w:val="24"/>
                <w:highlight w:val="none"/>
              </w:rPr>
              <w:t xml:space="preserve"> 元；（填入投标函和开标一览表）</w:t>
            </w:r>
          </w:p>
        </w:tc>
      </w:tr>
    </w:tbl>
    <w:p w14:paraId="1868EA7C">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lang w:val="zh-CN"/>
        </w:rPr>
        <w:t>注：1.所有投标只能选择一种方案，单价和合价的报价只能是唯一，且须列出详细的分项报价。（与采购清单项相一致，不得缺项，否则视同包含在其他项目。）</w:t>
      </w:r>
    </w:p>
    <w:p w14:paraId="0FDA81CA">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ascii="宋体" w:hAnsi="宋体" w:eastAsia="宋体" w:cs="宋体"/>
          <w:highlight w:val="none"/>
          <w:lang w:val="zh-CN"/>
        </w:rPr>
      </w:pPr>
      <w:r>
        <w:rPr>
          <w:rFonts w:hint="eastAsia" w:ascii="宋体" w:hAnsi="宋体" w:eastAsia="宋体" w:cs="宋体"/>
          <w:highlight w:val="none"/>
        </w:rPr>
        <w:t>2.</w:t>
      </w:r>
      <w:r>
        <w:rPr>
          <w:rFonts w:hint="eastAsia" w:ascii="宋体" w:hAnsi="宋体" w:eastAsia="宋体" w:cs="宋体"/>
          <w:highlight w:val="none"/>
          <w:lang w:val="zh-CN"/>
        </w:rPr>
        <w:t>投标报价采用综合单价法，综合单价包括完成招标文件</w:t>
      </w:r>
      <w:r>
        <w:rPr>
          <w:rFonts w:hint="eastAsia" w:ascii="宋体" w:hAnsi="宋体" w:eastAsia="宋体" w:cs="宋体"/>
          <w:highlight w:val="none"/>
        </w:rPr>
        <w:t>和采购配置清单</w:t>
      </w:r>
      <w:r>
        <w:rPr>
          <w:rFonts w:hint="eastAsia" w:ascii="宋体" w:hAnsi="宋体" w:eastAsia="宋体" w:cs="宋体"/>
          <w:highlight w:val="none"/>
          <w:lang w:val="zh-CN"/>
        </w:rPr>
        <w:t>要求的</w:t>
      </w:r>
      <w:r>
        <w:rPr>
          <w:rFonts w:hint="eastAsia" w:ascii="宋体" w:hAnsi="宋体" w:eastAsia="宋体" w:cs="宋体"/>
          <w:highlight w:val="none"/>
        </w:rPr>
        <w:t>所有</w:t>
      </w:r>
      <w:r>
        <w:rPr>
          <w:rFonts w:hint="eastAsia" w:ascii="宋体" w:hAnsi="宋体" w:eastAsia="宋体" w:cs="宋体"/>
          <w:highlight w:val="none"/>
          <w:lang w:val="zh-CN"/>
        </w:rPr>
        <w:t>服务内容所包含的一切应有费用，综合单价今后将不作任何调整。</w:t>
      </w:r>
    </w:p>
    <w:p w14:paraId="0A798B3D">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rPr>
          <w:rFonts w:hint="eastAsia"/>
          <w:highlight w:val="none"/>
        </w:rPr>
      </w:pPr>
    </w:p>
    <w:p w14:paraId="60AD8082">
      <w:pPr>
        <w:keepNext w:val="0"/>
        <w:keepLines w:val="0"/>
        <w:pageBreakBefore w:val="0"/>
        <w:widowControl w:val="0"/>
        <w:kinsoku/>
        <w:wordWrap/>
        <w:overflowPunct/>
        <w:topLinePunct w:val="0"/>
        <w:autoSpaceDE/>
        <w:autoSpaceDN/>
        <w:bidi w:val="0"/>
        <w:adjustRightInd/>
        <w:snapToGrid/>
        <w:spacing w:line="500" w:lineRule="exact"/>
        <w:ind w:firstLine="5760" w:firstLineChars="2400"/>
        <w:jc w:val="left"/>
        <w:textAlignment w:val="auto"/>
        <w:rPr>
          <w:rFonts w:hint="eastAsia" w:ascii="宋体"/>
          <w:sz w:val="24"/>
          <w:highlight w:val="none"/>
        </w:rPr>
      </w:pPr>
      <w:r>
        <w:rPr>
          <w:rFonts w:hint="eastAsia" w:ascii="宋体"/>
          <w:sz w:val="24"/>
          <w:highlight w:val="none"/>
        </w:rPr>
        <w:t xml:space="preserve">                                              </w:t>
      </w:r>
    </w:p>
    <w:p w14:paraId="7186FF8E">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00DFD36D">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3D69919">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78BCAC20">
      <w:pPr>
        <w:spacing w:line="360" w:lineRule="auto"/>
        <w:jc w:val="center"/>
        <w:outlineLvl w:val="0"/>
        <w:rPr>
          <w:rFonts w:ascii="宋体" w:hAnsi="宋体" w:eastAsia="宋体"/>
          <w:b/>
          <w:bCs/>
          <w:color w:val="auto"/>
          <w:sz w:val="28"/>
          <w:highlight w:val="none"/>
        </w:rPr>
      </w:pPr>
      <w:r>
        <w:rPr>
          <w:rFonts w:hint="eastAsia" w:ascii="宋体" w:hAnsi="宋体" w:eastAsia="宋体"/>
          <w:b/>
          <w:color w:val="auto"/>
          <w:sz w:val="28"/>
          <w:highlight w:val="none"/>
        </w:rPr>
        <w:t>第</w:t>
      </w:r>
      <w:r>
        <w:rPr>
          <w:rFonts w:hint="eastAsia" w:ascii="宋体" w:hAnsi="宋体" w:eastAsia="宋体"/>
          <w:b/>
          <w:color w:val="auto"/>
          <w:sz w:val="28"/>
          <w:highlight w:val="none"/>
          <w:lang w:val="en-US" w:eastAsia="zh-CN"/>
        </w:rPr>
        <w:t>七</w:t>
      </w:r>
      <w:r>
        <w:rPr>
          <w:rFonts w:hint="eastAsia" w:ascii="宋体" w:hAnsi="宋体" w:eastAsia="宋体"/>
          <w:b/>
          <w:color w:val="auto"/>
          <w:sz w:val="28"/>
          <w:highlight w:val="none"/>
        </w:rPr>
        <w:t>章</w:t>
      </w:r>
      <w:r>
        <w:rPr>
          <w:rFonts w:hint="eastAsia" w:ascii="宋体" w:hAnsi="宋体" w:eastAsia="宋体"/>
          <w:b/>
          <w:bCs/>
          <w:color w:val="auto"/>
          <w:sz w:val="28"/>
          <w:highlight w:val="none"/>
        </w:rPr>
        <w:t xml:space="preserve">  政府采购</w:t>
      </w:r>
      <w:r>
        <w:rPr>
          <w:rFonts w:hint="eastAsia" w:ascii="宋体" w:hAnsi="宋体" w:eastAsia="宋体"/>
          <w:b/>
          <w:color w:val="auto"/>
          <w:sz w:val="28"/>
          <w:highlight w:val="none"/>
        </w:rPr>
        <w:t>供应</w:t>
      </w:r>
      <w:r>
        <w:rPr>
          <w:rFonts w:hint="eastAsia" w:ascii="宋体" w:hAnsi="宋体" w:eastAsia="宋体"/>
          <w:b/>
          <w:bCs/>
          <w:color w:val="auto"/>
          <w:sz w:val="28"/>
          <w:highlight w:val="none"/>
        </w:rPr>
        <w:t>商询问函和质疑函范本</w:t>
      </w:r>
      <w:bookmarkEnd w:id="68"/>
      <w:bookmarkEnd w:id="69"/>
    </w:p>
    <w:p w14:paraId="71EF8227">
      <w:pPr>
        <w:spacing w:line="360" w:lineRule="auto"/>
        <w:jc w:val="center"/>
        <w:outlineLvl w:val="1"/>
        <w:rPr>
          <w:rFonts w:ascii="仿宋" w:hAnsi="仿宋" w:eastAsia="仿宋" w:cs="仿宋"/>
          <w:b/>
          <w:bCs/>
          <w:color w:val="auto"/>
          <w:sz w:val="32"/>
          <w:szCs w:val="44"/>
          <w:highlight w:val="none"/>
        </w:rPr>
      </w:pPr>
      <w:bookmarkStart w:id="76" w:name="_Toc27159"/>
      <w:bookmarkStart w:id="77" w:name="_Toc27489"/>
      <w:r>
        <w:rPr>
          <w:rFonts w:hint="eastAsia" w:ascii="仿宋" w:hAnsi="仿宋" w:eastAsia="仿宋" w:cs="仿宋"/>
          <w:b/>
          <w:bCs/>
          <w:color w:val="auto"/>
          <w:sz w:val="32"/>
          <w:szCs w:val="44"/>
          <w:highlight w:val="none"/>
        </w:rPr>
        <w:t>询问函范本</w:t>
      </w:r>
      <w:bookmarkEnd w:id="76"/>
      <w:bookmarkEnd w:id="77"/>
    </w:p>
    <w:p w14:paraId="4D574268">
      <w:pPr>
        <w:adjustRightInd w:val="0"/>
        <w:snapToGrid w:val="0"/>
        <w:spacing w:line="360" w:lineRule="auto"/>
        <w:rPr>
          <w:rFonts w:hint="eastAsia" w:ascii="宋体" w:hAnsi="宋体" w:eastAsia="宋体" w:cs="仿宋"/>
          <w:b/>
          <w:bCs/>
          <w:color w:val="auto"/>
          <w:sz w:val="24"/>
          <w:szCs w:val="24"/>
          <w:highlight w:val="none"/>
          <w:u w:val="single"/>
          <w:lang w:eastAsia="zh-CN"/>
        </w:rPr>
      </w:pPr>
      <w:r>
        <w:rPr>
          <w:rFonts w:hint="eastAsia" w:ascii="宋体" w:hAnsi="宋体" w:eastAsia="宋体" w:cs="仿宋"/>
          <w:b/>
          <w:bCs/>
          <w:color w:val="auto"/>
          <w:sz w:val="24"/>
          <w:szCs w:val="24"/>
          <w:highlight w:val="none"/>
          <w:lang w:val="en-US" w:eastAsia="zh-CN"/>
        </w:rPr>
        <w:t>致：</w:t>
      </w:r>
      <w:r>
        <w:rPr>
          <w:rFonts w:hint="eastAsia" w:ascii="宋体" w:hAnsi="宋体" w:eastAsia="宋体" w:cs="仿宋"/>
          <w:b/>
          <w:bCs/>
          <w:color w:val="auto"/>
          <w:sz w:val="24"/>
          <w:szCs w:val="24"/>
          <w:highlight w:val="none"/>
          <w:u w:val="none"/>
          <w:lang w:eastAsia="zh-CN"/>
        </w:rPr>
        <w:t>采购人</w:t>
      </w:r>
    </w:p>
    <w:p w14:paraId="036C15C8">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我单位拟参与</w:t>
      </w:r>
      <w:r>
        <w:rPr>
          <w:rFonts w:hint="eastAsia" w:ascii="宋体" w:hAnsi="宋体" w:eastAsia="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i/>
          <w:iCs/>
          <w:color w:val="auto"/>
          <w:sz w:val="24"/>
          <w:szCs w:val="24"/>
          <w:highlight w:val="none"/>
          <w:u w:val="none"/>
          <w:lang w:val="en-US" w:eastAsia="zh-CN"/>
        </w:rPr>
        <w:t>项目名称、编号</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color w:val="auto"/>
          <w:sz w:val="24"/>
          <w:szCs w:val="24"/>
          <w:highlight w:val="none"/>
        </w:rPr>
        <w:t>的采购活动，现有以下内容(或条款)存在疑问(或无法理解)，特提出询问。</w:t>
      </w:r>
    </w:p>
    <w:p w14:paraId="4DAEA39A">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8" w:name="_Toc13899"/>
      <w:r>
        <w:rPr>
          <w:rFonts w:hint="eastAsia" w:ascii="宋体" w:hAnsi="宋体" w:eastAsia="宋体" w:cs="仿宋"/>
          <w:color w:val="auto"/>
          <w:sz w:val="24"/>
          <w:szCs w:val="24"/>
          <w:highlight w:val="none"/>
        </w:rPr>
        <w:t>一、(事项一)</w:t>
      </w:r>
      <w:bookmarkEnd w:id="78"/>
    </w:p>
    <w:p w14:paraId="6881AA50">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1、(内容或条款)</w:t>
      </w:r>
    </w:p>
    <w:p w14:paraId="6A2E6C89">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2、(说明疑问或无法理解原因)</w:t>
      </w:r>
    </w:p>
    <w:p w14:paraId="3E2B797A">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3、(建议)</w:t>
      </w:r>
    </w:p>
    <w:p w14:paraId="67981975">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79" w:name="_Toc3352"/>
      <w:r>
        <w:rPr>
          <w:rFonts w:hint="eastAsia" w:ascii="宋体" w:hAnsi="宋体" w:eastAsia="宋体" w:cs="仿宋"/>
          <w:color w:val="auto"/>
          <w:sz w:val="24"/>
          <w:szCs w:val="24"/>
          <w:highlight w:val="none"/>
        </w:rPr>
        <w:t>二、(事项二)</w:t>
      </w:r>
      <w:bookmarkEnd w:id="79"/>
    </w:p>
    <w:p w14:paraId="3CA5CA58">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555F4D51">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随附相关证明材料如下： </w:t>
      </w:r>
    </w:p>
    <w:p w14:paraId="7ECDBD17">
      <w:pPr>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联 系 人：</w:t>
      </w:r>
      <w:r>
        <w:rPr>
          <w:rFonts w:hint="eastAsia" w:ascii="宋体" w:hAnsi="宋体" w:eastAsia="宋体"/>
          <w:color w:val="auto"/>
          <w:sz w:val="24"/>
          <w:highlight w:val="none"/>
          <w:u w:val="single"/>
        </w:rPr>
        <w:t xml:space="preserve">              </w:t>
      </w:r>
    </w:p>
    <w:p w14:paraId="233A7EE8">
      <w:pPr>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联系电话：</w:t>
      </w:r>
      <w:r>
        <w:rPr>
          <w:rFonts w:hint="eastAsia" w:ascii="宋体" w:hAnsi="宋体" w:eastAsia="宋体"/>
          <w:color w:val="auto"/>
          <w:sz w:val="24"/>
          <w:highlight w:val="none"/>
          <w:u w:val="single"/>
        </w:rPr>
        <w:t xml:space="preserve">              </w:t>
      </w:r>
    </w:p>
    <w:p w14:paraId="42205D5D">
      <w:pPr>
        <w:tabs>
          <w:tab w:val="left" w:pos="630"/>
        </w:tabs>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431A2EB8">
      <w:pP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0C5AD557">
      <w:pPr>
        <w:jc w:val="center"/>
        <w:outlineLvl w:val="1"/>
        <w:rPr>
          <w:rFonts w:ascii="仿宋" w:hAnsi="仿宋" w:eastAsia="仿宋" w:cs="仿宋"/>
          <w:b/>
          <w:bCs/>
          <w:color w:val="auto"/>
          <w:sz w:val="32"/>
          <w:szCs w:val="44"/>
          <w:highlight w:val="none"/>
        </w:rPr>
      </w:pPr>
      <w:bookmarkStart w:id="80" w:name="_Toc3245"/>
      <w:bookmarkStart w:id="81" w:name="_Toc1575"/>
      <w:r>
        <w:rPr>
          <w:rFonts w:hint="eastAsia" w:ascii="仿宋" w:hAnsi="仿宋" w:eastAsia="仿宋" w:cs="仿宋"/>
          <w:b/>
          <w:bCs/>
          <w:color w:val="auto"/>
          <w:sz w:val="32"/>
          <w:szCs w:val="44"/>
          <w:highlight w:val="none"/>
        </w:rPr>
        <w:t>质疑函范本</w:t>
      </w:r>
      <w:bookmarkEnd w:id="80"/>
      <w:bookmarkEnd w:id="81"/>
    </w:p>
    <w:p w14:paraId="39BEB70F">
      <w:pPr>
        <w:adjustRightInd w:val="0"/>
        <w:snapToGrid w:val="0"/>
        <w:spacing w:before="312" w:beforeLines="100" w:line="360" w:lineRule="auto"/>
        <w:outlineLvl w:val="9"/>
        <w:rPr>
          <w:rFonts w:ascii="宋体" w:hAnsi="宋体" w:eastAsia="宋体" w:cs="仿宋"/>
          <w:b/>
          <w:bCs/>
          <w:color w:val="auto"/>
          <w:sz w:val="24"/>
          <w:szCs w:val="24"/>
          <w:highlight w:val="none"/>
        </w:rPr>
      </w:pPr>
      <w:bookmarkStart w:id="82" w:name="_Toc21381"/>
      <w:r>
        <w:rPr>
          <w:rFonts w:hint="eastAsia" w:ascii="宋体" w:hAnsi="宋体" w:eastAsia="宋体" w:cs="仿宋"/>
          <w:b/>
          <w:bCs/>
          <w:color w:val="auto"/>
          <w:sz w:val="24"/>
          <w:szCs w:val="24"/>
          <w:highlight w:val="none"/>
        </w:rPr>
        <w:t>一、质疑供应商基本信息</w:t>
      </w:r>
      <w:bookmarkEnd w:id="82"/>
    </w:p>
    <w:p w14:paraId="3906593B">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36F36EE0">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095280B5">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2B4D7F01">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1BE6D3E7">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r>
        <w:rPr>
          <w:rFonts w:ascii="宋体" w:hAnsi="宋体" w:eastAsia="宋体" w:cs="仿宋"/>
          <w:color w:val="auto"/>
          <w:sz w:val="24"/>
          <w:szCs w:val="24"/>
          <w:highlight w:val="none"/>
        </w:rPr>
        <w:t xml:space="preserve"> </w:t>
      </w:r>
    </w:p>
    <w:p w14:paraId="073A3552">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581A0ED3">
      <w:pPr>
        <w:adjustRightInd w:val="0"/>
        <w:snapToGrid w:val="0"/>
        <w:spacing w:line="360" w:lineRule="auto"/>
        <w:outlineLvl w:val="9"/>
        <w:rPr>
          <w:rFonts w:ascii="宋体" w:hAnsi="宋体" w:eastAsia="宋体" w:cs="仿宋"/>
          <w:b/>
          <w:bCs/>
          <w:color w:val="auto"/>
          <w:sz w:val="24"/>
          <w:szCs w:val="24"/>
          <w:highlight w:val="none"/>
        </w:rPr>
      </w:pPr>
      <w:bookmarkStart w:id="83" w:name="_Toc28415"/>
      <w:r>
        <w:rPr>
          <w:rFonts w:hint="eastAsia" w:ascii="宋体" w:hAnsi="宋体" w:eastAsia="宋体" w:cs="仿宋"/>
          <w:b/>
          <w:bCs/>
          <w:color w:val="auto"/>
          <w:sz w:val="24"/>
          <w:szCs w:val="24"/>
          <w:highlight w:val="none"/>
        </w:rPr>
        <w:t>二、质疑项目基本情况</w:t>
      </w:r>
      <w:bookmarkEnd w:id="83"/>
    </w:p>
    <w:p w14:paraId="6DC9BF67">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25F5DBB6">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4DF2A235">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3255E4B1">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760879F3">
      <w:pPr>
        <w:adjustRightInd w:val="0"/>
        <w:snapToGrid w:val="0"/>
        <w:spacing w:line="360" w:lineRule="auto"/>
        <w:outlineLvl w:val="9"/>
        <w:rPr>
          <w:rFonts w:ascii="宋体" w:hAnsi="宋体" w:eastAsia="宋体" w:cs="仿宋"/>
          <w:b/>
          <w:bCs/>
          <w:color w:val="auto"/>
          <w:sz w:val="24"/>
          <w:szCs w:val="24"/>
          <w:highlight w:val="none"/>
        </w:rPr>
      </w:pPr>
      <w:bookmarkStart w:id="84" w:name="_Toc19014"/>
      <w:r>
        <w:rPr>
          <w:rFonts w:hint="eastAsia" w:ascii="宋体" w:hAnsi="宋体" w:eastAsia="宋体" w:cs="仿宋"/>
          <w:b/>
          <w:bCs/>
          <w:color w:val="auto"/>
          <w:sz w:val="24"/>
          <w:szCs w:val="24"/>
          <w:highlight w:val="none"/>
        </w:rPr>
        <w:t>三、质疑事项具体内容</w:t>
      </w:r>
      <w:bookmarkEnd w:id="84"/>
    </w:p>
    <w:p w14:paraId="503920F1">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12E861A9">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60932DB6">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0AFF71F6">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143771FD">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1040DB02">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4B3811E0">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0F97527E">
      <w:pPr>
        <w:adjustRightInd w:val="0"/>
        <w:snapToGrid w:val="0"/>
        <w:spacing w:line="360" w:lineRule="auto"/>
        <w:outlineLvl w:val="9"/>
        <w:rPr>
          <w:rFonts w:ascii="宋体" w:hAnsi="宋体" w:eastAsia="宋体" w:cs="仿宋"/>
          <w:b/>
          <w:bCs/>
          <w:color w:val="auto"/>
          <w:sz w:val="24"/>
          <w:szCs w:val="24"/>
          <w:highlight w:val="none"/>
        </w:rPr>
      </w:pPr>
      <w:bookmarkStart w:id="85" w:name="_Toc17919"/>
      <w:r>
        <w:rPr>
          <w:rFonts w:hint="eastAsia" w:ascii="宋体" w:hAnsi="宋体" w:eastAsia="宋体" w:cs="仿宋"/>
          <w:b/>
          <w:bCs/>
          <w:color w:val="auto"/>
          <w:sz w:val="24"/>
          <w:szCs w:val="24"/>
          <w:highlight w:val="none"/>
        </w:rPr>
        <w:t>四、与质疑事项相关的质疑请求</w:t>
      </w:r>
      <w:bookmarkEnd w:id="85"/>
    </w:p>
    <w:p w14:paraId="56F99736">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37F30310">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3F9568FA">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61DC14BE">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63D85309">
      <w:pPr>
        <w:outlineLvl w:val="0"/>
        <w:rPr>
          <w:rFonts w:ascii="宋体" w:hAnsi="宋体" w:eastAsia="宋体"/>
          <w:b/>
          <w:color w:val="auto"/>
          <w:sz w:val="28"/>
          <w:szCs w:val="32"/>
          <w:highlight w:val="none"/>
        </w:rPr>
      </w:pPr>
      <w:bookmarkStart w:id="86" w:name="_Toc26836"/>
      <w:bookmarkStart w:id="87" w:name="_Toc9754"/>
      <w:r>
        <w:rPr>
          <w:rFonts w:hint="eastAsia" w:ascii="宋体" w:hAnsi="宋体" w:eastAsia="宋体"/>
          <w:b/>
          <w:color w:val="auto"/>
          <w:sz w:val="28"/>
          <w:szCs w:val="32"/>
          <w:highlight w:val="none"/>
        </w:rPr>
        <w:t>质疑函制作说明：</w:t>
      </w:r>
      <w:bookmarkEnd w:id="86"/>
      <w:bookmarkEnd w:id="87"/>
    </w:p>
    <w:p w14:paraId="038BAB5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1.供应商提出质疑时，应提交质疑函和必要的证明材料。</w:t>
      </w:r>
    </w:p>
    <w:p w14:paraId="5902FD0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B916BF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3.质疑供应商若对项目的某一分包进行质疑，质疑函中应列明具体分包号。</w:t>
      </w:r>
    </w:p>
    <w:p w14:paraId="760AD59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4.质疑函的质疑事项应具体、明确，并有必要的事实依据和法律依据。</w:t>
      </w:r>
    </w:p>
    <w:p w14:paraId="58AB32C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5.质疑函的质疑请求应与质疑事项相关。</w:t>
      </w:r>
    </w:p>
    <w:p w14:paraId="6A7317D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3288">
    <w:pPr>
      <w:pStyle w:val="14"/>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D400">
    <w:pPr>
      <w:pStyle w:val="1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BB5DFF0">
                          <w:pPr>
                            <w:pStyle w:val="1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7BB5DFF0">
                    <w:pPr>
                      <w:pStyle w:val="1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699C7">
    <w:pPr>
      <w:pStyle w:val="14"/>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F600D8F">
                          <w:pPr>
                            <w:pStyle w:val="14"/>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qI2Sb0QEAAJ4DAAAOAAAAAAAAAAEAIAAAAB8BAABk&#10;cnMvZTJvRG9jLnhtbFBLBQYAAAAABgAGAFkBAABiBQAAAAA=&#10;">
              <v:fill on="f" focussize="0,0"/>
              <v:stroke on="f"/>
              <v:imagedata o:title=""/>
              <o:lock v:ext="edit" aspectratio="f"/>
              <v:textbox inset="0mm,0mm,0mm,0mm" style="mso-fit-shape-to-text:t;">
                <w:txbxContent>
                  <w:p w14:paraId="5F600D8F">
                    <w:pPr>
                      <w:pStyle w:val="14"/>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B24F">
    <w:pPr>
      <w:pStyle w:val="15"/>
      <w:jc w:val="left"/>
      <w:rPr>
        <w:rFonts w:ascii="宋体" w:hAnsi="宋体" w:eastAsia="宋体"/>
      </w:rPr>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服务类</w:t>
    </w:r>
    <w:r>
      <w:rPr>
        <w:rFonts w:hint="eastAsia" w:ascii="宋体" w:hAnsi="宋体" w:eastAsia="宋体"/>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5158F">
    <w:pPr>
      <w:pStyle w:val="15"/>
      <w:jc w:val="left"/>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服务类</w:t>
    </w:r>
    <w:r>
      <w:rPr>
        <w:rFonts w:hint="eastAsia" w:ascii="宋体" w:hAnsi="宋体" w:eastAsia="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F3E0F">
    <w:pPr>
      <w:pStyle w:val="15"/>
      <w:jc w:val="left"/>
      <w:rPr>
        <w:rFonts w:hint="eastAsia"/>
      </w:rPr>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服务类</w:t>
    </w:r>
    <w:r>
      <w:rPr>
        <w:rFonts w:hint="eastAsia" w:ascii="宋体" w:hAnsi="宋体" w:eastAsia="宋体"/>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6"/>
      <w:numFmt w:val="decimal"/>
      <w:suff w:val="space"/>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6"/>
      <w:numFmt w:val="decimal"/>
      <w:suff w:val="space"/>
      <w:lvlText w:val="%1."/>
      <w:lvlJc w:val="left"/>
    </w:lvl>
  </w:abstractNum>
  <w:abstractNum w:abstractNumId="3">
    <w:nsid w:val="00000003"/>
    <w:multiLevelType w:val="singleLevel"/>
    <w:tmpl w:val="00000003"/>
    <w:lvl w:ilvl="0" w:tentative="0">
      <w:start w:val="2"/>
      <w:numFmt w:val="decimal"/>
      <w:suff w:val="space"/>
      <w:lvlText w:val="%1."/>
      <w:lvlJc w:val="left"/>
    </w:lvl>
  </w:abstractNum>
  <w:abstractNum w:abstractNumId="4">
    <w:nsid w:val="00000004"/>
    <w:multiLevelType w:val="singleLevel"/>
    <w:tmpl w:val="00000004"/>
    <w:lvl w:ilvl="0" w:tentative="0">
      <w:start w:val="23"/>
      <w:numFmt w:val="decimal"/>
      <w:suff w:val="space"/>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6"/>
    <w:multiLevelType w:val="singleLevel"/>
    <w:tmpl w:val="00000006"/>
    <w:lvl w:ilvl="0" w:tentative="0">
      <w:start w:val="1"/>
      <w:numFmt w:val="decimal"/>
      <w:suff w:val="space"/>
      <w:lvlText w:val="%1."/>
      <w:lvlJc w:val="left"/>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mNmI4YmI4ODA2MWE2ZmNkMjg3Zjk0MGJmYmY0ZGYifQ=="/>
  </w:docVars>
  <w:rsids>
    <w:rsidRoot w:val="00000000"/>
    <w:rsid w:val="00135135"/>
    <w:rsid w:val="01B3556A"/>
    <w:rsid w:val="01E25ABE"/>
    <w:rsid w:val="034D095E"/>
    <w:rsid w:val="03A82CAD"/>
    <w:rsid w:val="05231A81"/>
    <w:rsid w:val="0A6749FB"/>
    <w:rsid w:val="0D5A0848"/>
    <w:rsid w:val="10026281"/>
    <w:rsid w:val="11863AA2"/>
    <w:rsid w:val="11B524F0"/>
    <w:rsid w:val="142E658A"/>
    <w:rsid w:val="14A64372"/>
    <w:rsid w:val="14ED3D4F"/>
    <w:rsid w:val="15B336AA"/>
    <w:rsid w:val="161146EA"/>
    <w:rsid w:val="175E7186"/>
    <w:rsid w:val="17B80644"/>
    <w:rsid w:val="1B7F43CE"/>
    <w:rsid w:val="1BAD248A"/>
    <w:rsid w:val="1C8A6328"/>
    <w:rsid w:val="1C9F6277"/>
    <w:rsid w:val="1DD41278"/>
    <w:rsid w:val="1E081BFA"/>
    <w:rsid w:val="20586E69"/>
    <w:rsid w:val="20E63CC8"/>
    <w:rsid w:val="21374CD0"/>
    <w:rsid w:val="22A5210D"/>
    <w:rsid w:val="233A2855"/>
    <w:rsid w:val="24013373"/>
    <w:rsid w:val="25FE400E"/>
    <w:rsid w:val="27AB1F74"/>
    <w:rsid w:val="27FF4722"/>
    <w:rsid w:val="290367D4"/>
    <w:rsid w:val="297B3BC8"/>
    <w:rsid w:val="2DE4256B"/>
    <w:rsid w:val="2EB060C2"/>
    <w:rsid w:val="30442B30"/>
    <w:rsid w:val="311A0999"/>
    <w:rsid w:val="319475D5"/>
    <w:rsid w:val="35EE1D4B"/>
    <w:rsid w:val="3A881CA1"/>
    <w:rsid w:val="3B0829F6"/>
    <w:rsid w:val="3B5B7B12"/>
    <w:rsid w:val="3B7010B2"/>
    <w:rsid w:val="3B8B3D12"/>
    <w:rsid w:val="3D202664"/>
    <w:rsid w:val="3E900306"/>
    <w:rsid w:val="406D3E12"/>
    <w:rsid w:val="40CD73AF"/>
    <w:rsid w:val="41846EB2"/>
    <w:rsid w:val="45455285"/>
    <w:rsid w:val="45CA5863"/>
    <w:rsid w:val="467B3C91"/>
    <w:rsid w:val="48C12F4D"/>
    <w:rsid w:val="4AF3565B"/>
    <w:rsid w:val="4B076EEB"/>
    <w:rsid w:val="4B7A7E93"/>
    <w:rsid w:val="4B964046"/>
    <w:rsid w:val="4C2B0BB7"/>
    <w:rsid w:val="4E5877A0"/>
    <w:rsid w:val="4F842056"/>
    <w:rsid w:val="4FE47521"/>
    <w:rsid w:val="50E579F5"/>
    <w:rsid w:val="520E2096"/>
    <w:rsid w:val="55C45E2B"/>
    <w:rsid w:val="5853793A"/>
    <w:rsid w:val="5A783688"/>
    <w:rsid w:val="5CED210B"/>
    <w:rsid w:val="5E08087F"/>
    <w:rsid w:val="5E203E1A"/>
    <w:rsid w:val="6111492D"/>
    <w:rsid w:val="629E0205"/>
    <w:rsid w:val="693D7F76"/>
    <w:rsid w:val="6F0155A2"/>
    <w:rsid w:val="6F6607E6"/>
    <w:rsid w:val="71ED1E0E"/>
    <w:rsid w:val="73E7745D"/>
    <w:rsid w:val="74485A21"/>
    <w:rsid w:val="7554492F"/>
    <w:rsid w:val="777525E9"/>
    <w:rsid w:val="78A21D8D"/>
    <w:rsid w:val="7CEF2EDE"/>
    <w:rsid w:val="7D2D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47"/>
    <w:qFormat/>
    <w:uiPriority w:val="9"/>
    <w:pPr>
      <w:keepNext/>
      <w:keepLines/>
      <w:spacing w:before="260" w:after="260" w:line="416" w:lineRule="auto"/>
      <w:outlineLvl w:val="2"/>
    </w:pPr>
    <w:rPr>
      <w:b/>
      <w:bCs/>
      <w:sz w:val="32"/>
      <w:szCs w:val="32"/>
    </w:rPr>
  </w:style>
  <w:style w:type="paragraph" w:styleId="5">
    <w:name w:val="heading 4"/>
    <w:basedOn w:val="1"/>
    <w:next w:val="1"/>
    <w:link w:val="52"/>
    <w:qFormat/>
    <w:uiPriority w:val="0"/>
    <w:pPr>
      <w:keepNext/>
      <w:keepLines/>
      <w:spacing w:before="280" w:after="290" w:line="376" w:lineRule="auto"/>
      <w:outlineLvl w:val="3"/>
    </w:pPr>
    <w:rPr>
      <w:b/>
      <w:bCs/>
      <w:sz w:val="28"/>
      <w:szCs w:val="28"/>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44"/>
    <w:qFormat/>
    <w:uiPriority w:val="0"/>
    <w:pPr>
      <w:jc w:val="left"/>
    </w:pPr>
    <w:rPr>
      <w:rFonts w:ascii="Arial" w:hAnsi="Arial" w:eastAsia="黑体" w:cs="Arial"/>
    </w:rPr>
  </w:style>
  <w:style w:type="paragraph" w:styleId="8">
    <w:name w:val="Body Text"/>
    <w:basedOn w:val="1"/>
    <w:qFormat/>
    <w:uiPriority w:val="0"/>
    <w:pPr>
      <w:spacing w:after="120"/>
    </w:pPr>
    <w:rPr>
      <w:rFonts w:ascii="@微软简标宋" w:hAnsi="@微软简标宋" w:eastAsia="@微软简标宋" w:cs="@微软简标宋"/>
      <w:szCs w:val="24"/>
      <w:lang w:val="zh-CN"/>
    </w:rPr>
  </w:style>
  <w:style w:type="paragraph" w:styleId="9">
    <w:name w:val="Body Text Indent"/>
    <w:basedOn w:val="1"/>
    <w:qFormat/>
    <w:uiPriority w:val="0"/>
    <w:pPr>
      <w:spacing w:after="120"/>
      <w:ind w:left="420" w:leftChars="200"/>
    </w:pPr>
  </w:style>
  <w:style w:type="paragraph" w:styleId="10">
    <w:name w:val="toc 3"/>
    <w:basedOn w:val="1"/>
    <w:next w:val="1"/>
    <w:qFormat/>
    <w:uiPriority w:val="39"/>
    <w:pPr>
      <w:widowControl/>
      <w:spacing w:after="100" w:line="276" w:lineRule="auto"/>
      <w:ind w:left="440"/>
      <w:jc w:val="left"/>
    </w:pPr>
    <w:rPr>
      <w:rFonts w:ascii="Calibri" w:hAnsi="Calibri" w:eastAsia="宋体" w:cs="宋体"/>
      <w:kern w:val="0"/>
      <w:sz w:val="22"/>
      <w:szCs w:val="22"/>
    </w:rPr>
  </w:style>
  <w:style w:type="paragraph" w:styleId="11">
    <w:name w:val="Plain Text"/>
    <w:basedOn w:val="1"/>
    <w:next w:val="1"/>
    <w:link w:val="34"/>
    <w:qFormat/>
    <w:uiPriority w:val="99"/>
    <w:rPr>
      <w:rFonts w:ascii="宋体" w:hAnsi="Courier New" w:eastAsia="宋体" w:cs="宋体"/>
      <w:szCs w:val="22"/>
    </w:rPr>
  </w:style>
  <w:style w:type="paragraph" w:styleId="12">
    <w:name w:val="Date"/>
    <w:basedOn w:val="1"/>
    <w:next w:val="1"/>
    <w:link w:val="41"/>
    <w:qFormat/>
    <w:uiPriority w:val="0"/>
    <w:rPr>
      <w:rFonts w:ascii="Arial" w:hAnsi="Arial" w:eastAsia="宋体" w:cs="Arial"/>
      <w:b/>
      <w:sz w:val="28"/>
    </w:rPr>
  </w:style>
  <w:style w:type="paragraph" w:styleId="13">
    <w:name w:val="Balloon Text"/>
    <w:basedOn w:val="1"/>
    <w:link w:val="28"/>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rFonts w:ascii="Calibri" w:hAnsi="Calibri" w:eastAsia="宋体" w:cs="宋体"/>
      <w:kern w:val="0"/>
      <w:sz w:val="22"/>
      <w:szCs w:val="22"/>
    </w:rPr>
  </w:style>
  <w:style w:type="paragraph" w:styleId="17">
    <w:name w:val="toc 2"/>
    <w:basedOn w:val="1"/>
    <w:next w:val="1"/>
    <w:qFormat/>
    <w:uiPriority w:val="39"/>
    <w:pPr>
      <w:widowControl/>
      <w:spacing w:after="100" w:line="276" w:lineRule="auto"/>
      <w:ind w:left="220"/>
      <w:jc w:val="left"/>
    </w:pPr>
    <w:rPr>
      <w:rFonts w:ascii="Calibri" w:hAnsi="Calibri" w:eastAsia="宋体" w:cs="宋体"/>
      <w:kern w:val="0"/>
      <w:sz w:val="22"/>
      <w:szCs w:val="22"/>
    </w:rPr>
  </w:style>
  <w:style w:type="paragraph" w:styleId="18">
    <w:name w:val="Normal (Web)"/>
    <w:basedOn w:val="1"/>
    <w:qFormat/>
    <w:uiPriority w:val="0"/>
    <w:pPr>
      <w:spacing w:before="100" w:beforeAutospacing="1" w:after="100" w:afterAutospacing="1"/>
      <w:jc w:val="left"/>
    </w:pPr>
    <w:rPr>
      <w:rFonts w:cs="Times New Roman"/>
      <w:kern w:val="0"/>
      <w:sz w:val="24"/>
    </w:rPr>
  </w:style>
  <w:style w:type="paragraph" w:styleId="19">
    <w:name w:val="index 1"/>
    <w:basedOn w:val="1"/>
    <w:next w:val="1"/>
    <w:qFormat/>
    <w:uiPriority w:val="0"/>
    <w:pPr>
      <w:jc w:val="center"/>
    </w:pPr>
    <w:rPr>
      <w:rFonts w:ascii="Arial" w:hAnsi="Arial" w:eastAsia="Arial" w:cs="Arial"/>
      <w:b/>
      <w:bCs/>
      <w:sz w:val="28"/>
    </w:rPr>
  </w:style>
  <w:style w:type="paragraph" w:styleId="20">
    <w:name w:val="annotation subject"/>
    <w:basedOn w:val="7"/>
    <w:next w:val="7"/>
    <w:link w:val="55"/>
    <w:qFormat/>
    <w:uiPriority w:val="99"/>
    <w:rPr>
      <w:rFonts w:ascii="@仿宋_GB2312" w:hAnsi="@仿宋_GB2312" w:eastAsia="@仿宋_GB2312" w:cs="@仿宋_GB2312"/>
      <w:b/>
      <w:bCs/>
    </w:rPr>
  </w:style>
  <w:style w:type="paragraph" w:styleId="21">
    <w:name w:val="Body Text First Indent"/>
    <w:basedOn w:val="8"/>
    <w:qFormat/>
    <w:uiPriority w:val="99"/>
    <w:pPr>
      <w:ind w:firstLine="420" w:firstLineChars="1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Hyperlink"/>
    <w:basedOn w:val="24"/>
    <w:qFormat/>
    <w:uiPriority w:val="99"/>
    <w:rPr>
      <w:color w:val="0000FF"/>
      <w:u w:val="single"/>
    </w:rPr>
  </w:style>
  <w:style w:type="character" w:styleId="27">
    <w:name w:val="annotation reference"/>
    <w:basedOn w:val="24"/>
    <w:qFormat/>
    <w:uiPriority w:val="99"/>
    <w:rPr>
      <w:sz w:val="21"/>
      <w:szCs w:val="21"/>
    </w:rPr>
  </w:style>
  <w:style w:type="character" w:customStyle="1" w:styleId="28">
    <w:name w:val="批注框文本 Char"/>
    <w:basedOn w:val="24"/>
    <w:link w:val="13"/>
    <w:qFormat/>
    <w:uiPriority w:val="99"/>
    <w:rPr>
      <w:rFonts w:ascii="@仿宋_GB2312" w:hAnsi="@仿宋_GB2312" w:eastAsia="@仿宋_GB2312" w:cs="@仿宋_GB2312"/>
      <w:sz w:val="18"/>
      <w:szCs w:val="18"/>
    </w:rPr>
  </w:style>
  <w:style w:type="paragraph" w:customStyle="1" w:styleId="29">
    <w:name w:val="正文（缩进）"/>
    <w:basedOn w:val="1"/>
    <w:qFormat/>
    <w:uiPriority w:val="0"/>
    <w:pPr>
      <w:widowControl/>
      <w:spacing w:before="156" w:after="156"/>
      <w:ind w:firstLine="480" w:firstLineChars="200"/>
      <w:jc w:val="left"/>
    </w:pPr>
    <w:rPr>
      <w:kern w:val="0"/>
      <w:sz w:val="24"/>
      <w:szCs w:val="24"/>
    </w:rPr>
  </w:style>
  <w:style w:type="paragraph" w:customStyle="1" w:styleId="30">
    <w:name w:val="xl31"/>
    <w:basedOn w:val="1"/>
    <w:qFormat/>
    <w:uiPriority w:val="0"/>
    <w:pPr>
      <w:widowControl/>
      <w:spacing w:before="100" w:beforeAutospacing="1" w:after="100" w:afterAutospacing="1"/>
      <w:jc w:val="center"/>
    </w:pPr>
    <w:rPr>
      <w:b/>
      <w:bCs/>
      <w:kern w:val="0"/>
      <w:sz w:val="28"/>
      <w:szCs w:val="28"/>
    </w:rPr>
  </w:style>
  <w:style w:type="paragraph" w:customStyle="1" w:styleId="31">
    <w:name w:val="D&amp;L"/>
    <w:basedOn w:val="15"/>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Char"/>
    <w:basedOn w:val="24"/>
    <w:link w:val="15"/>
    <w:qFormat/>
    <w:uiPriority w:val="99"/>
    <w:rPr>
      <w:rFonts w:ascii="@仿宋_GB2312" w:hAnsi="@仿宋_GB2312" w:eastAsia="@仿宋_GB2312" w:cs="@仿宋_GB2312"/>
      <w:sz w:val="18"/>
      <w:szCs w:val="18"/>
    </w:rPr>
  </w:style>
  <w:style w:type="character" w:customStyle="1" w:styleId="33">
    <w:name w:val="页脚 Char"/>
    <w:basedOn w:val="24"/>
    <w:link w:val="14"/>
    <w:qFormat/>
    <w:uiPriority w:val="99"/>
    <w:rPr>
      <w:rFonts w:ascii="@仿宋_GB2312" w:hAnsi="@仿宋_GB2312" w:eastAsia="@仿宋_GB2312" w:cs="@仿宋_GB2312"/>
      <w:sz w:val="18"/>
      <w:szCs w:val="18"/>
    </w:rPr>
  </w:style>
  <w:style w:type="character" w:customStyle="1" w:styleId="34">
    <w:name w:val="纯文本 Char"/>
    <w:link w:val="11"/>
    <w:qFormat/>
    <w:uiPriority w:val="0"/>
    <w:rPr>
      <w:rFonts w:ascii="宋体" w:hAnsi="Courier New"/>
    </w:rPr>
  </w:style>
  <w:style w:type="character" w:customStyle="1" w:styleId="35">
    <w:name w:val="纯文本 字符1"/>
    <w:basedOn w:val="24"/>
    <w:qFormat/>
    <w:uiPriority w:val="99"/>
    <w:rPr>
      <w:rFonts w:ascii="宋体" w:hAnsi="Courier New" w:cs="Courier New"/>
      <w:szCs w:val="20"/>
    </w:rPr>
  </w:style>
  <w:style w:type="character" w:customStyle="1" w:styleId="36">
    <w:name w:val="未处理的提及1"/>
    <w:basedOn w:val="24"/>
    <w:qFormat/>
    <w:uiPriority w:val="99"/>
    <w:rPr>
      <w:color w:val="605E5C"/>
      <w:shd w:val="clear" w:color="auto" w:fill="E1DFDD"/>
    </w:rPr>
  </w:style>
  <w:style w:type="paragraph" w:styleId="37">
    <w:name w:val="List Paragraph"/>
    <w:basedOn w:val="1"/>
    <w:qFormat/>
    <w:uiPriority w:val="34"/>
    <w:pPr>
      <w:ind w:firstLine="420" w:firstLineChars="200"/>
    </w:pPr>
  </w:style>
  <w:style w:type="paragraph" w:customStyle="1" w:styleId="38">
    <w:name w:val="Char Char Char Char Char Char Char1 Char"/>
    <w:basedOn w:val="1"/>
    <w:qFormat/>
    <w:uiPriority w:val="0"/>
    <w:rPr>
      <w:rFonts w:ascii="Arial" w:hAnsi="Arial" w:eastAsia="宋体" w:cs="Arial"/>
      <w:sz w:val="24"/>
    </w:rPr>
  </w:style>
  <w:style w:type="table" w:customStyle="1" w:styleId="39">
    <w:name w:val="网格表 1 浅色1"/>
    <w:basedOn w:val="22"/>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40">
    <w:name w:val="日期 字符"/>
    <w:basedOn w:val="24"/>
    <w:qFormat/>
    <w:uiPriority w:val="99"/>
    <w:rPr>
      <w:rFonts w:ascii="@仿宋_GB2312" w:hAnsi="@仿宋_GB2312" w:eastAsia="@仿宋_GB2312" w:cs="@仿宋_GB2312"/>
      <w:szCs w:val="20"/>
    </w:rPr>
  </w:style>
  <w:style w:type="character" w:customStyle="1" w:styleId="41">
    <w:name w:val="日期 Char"/>
    <w:link w:val="12"/>
    <w:qFormat/>
    <w:uiPriority w:val="0"/>
    <w:rPr>
      <w:rFonts w:ascii="Arial" w:hAnsi="Arial" w:eastAsia="宋体" w:cs="Arial"/>
      <w:b/>
      <w:sz w:val="28"/>
      <w:szCs w:val="20"/>
    </w:rPr>
  </w:style>
  <w:style w:type="character" w:customStyle="1" w:styleId="42">
    <w:name w:val="纯文本 Char1"/>
    <w:qFormat/>
    <w:uiPriority w:val="99"/>
    <w:rPr>
      <w:rFonts w:ascii="Arial" w:hAnsi="Arial" w:eastAsia="Arial"/>
      <w:kern w:val="2"/>
      <w:sz w:val="21"/>
      <w:lang w:val="en-US" w:eastAsia="zh-CN" w:bidi="ar-SA"/>
    </w:rPr>
  </w:style>
  <w:style w:type="character" w:customStyle="1" w:styleId="43">
    <w:name w:val="批注文字 Char"/>
    <w:basedOn w:val="24"/>
    <w:qFormat/>
    <w:uiPriority w:val="99"/>
    <w:rPr>
      <w:rFonts w:ascii="@仿宋_GB2312" w:hAnsi="@仿宋_GB2312" w:eastAsia="@仿宋_GB2312" w:cs="@仿宋_GB2312"/>
      <w:szCs w:val="20"/>
    </w:rPr>
  </w:style>
  <w:style w:type="character" w:customStyle="1" w:styleId="44">
    <w:name w:val="批注文字 Char1"/>
    <w:link w:val="7"/>
    <w:qFormat/>
    <w:uiPriority w:val="0"/>
    <w:rPr>
      <w:rFonts w:ascii="Arial" w:hAnsi="Arial" w:eastAsia="黑体" w:cs="Arial"/>
      <w:szCs w:val="20"/>
    </w:rPr>
  </w:style>
  <w:style w:type="character" w:customStyle="1" w:styleId="45">
    <w:name w:val="标题 1 Char"/>
    <w:basedOn w:val="24"/>
    <w:link w:val="2"/>
    <w:qFormat/>
    <w:uiPriority w:val="9"/>
    <w:rPr>
      <w:rFonts w:ascii="@仿宋_GB2312" w:hAnsi="@仿宋_GB2312" w:eastAsia="@仿宋_GB2312" w:cs="@仿宋_GB2312"/>
      <w:b/>
      <w:bCs/>
      <w:kern w:val="44"/>
      <w:sz w:val="44"/>
      <w:szCs w:val="44"/>
    </w:rPr>
  </w:style>
  <w:style w:type="paragraph" w:customStyle="1" w:styleId="46">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47">
    <w:name w:val="标题 3 Char"/>
    <w:basedOn w:val="24"/>
    <w:link w:val="4"/>
    <w:qFormat/>
    <w:uiPriority w:val="9"/>
    <w:rPr>
      <w:rFonts w:ascii="@仿宋_GB2312" w:hAnsi="@仿宋_GB2312" w:eastAsia="@仿宋_GB2312" w:cs="@仿宋_GB2312"/>
      <w:b/>
      <w:bCs/>
      <w:sz w:val="32"/>
      <w:szCs w:val="32"/>
    </w:rPr>
  </w:style>
  <w:style w:type="character" w:customStyle="1" w:styleId="48">
    <w:name w:val="fontstyle01"/>
    <w:basedOn w:val="24"/>
    <w:qFormat/>
    <w:uiPriority w:val="0"/>
    <w:rPr>
      <w:rFonts w:hint="eastAsia" w:ascii="宋体" w:hAnsi="宋体" w:eastAsia="宋体"/>
      <w:color w:val="000000"/>
      <w:sz w:val="22"/>
      <w:szCs w:val="22"/>
    </w:rPr>
  </w:style>
  <w:style w:type="character" w:customStyle="1" w:styleId="49">
    <w:name w:val="fontstyle21"/>
    <w:basedOn w:val="24"/>
    <w:qFormat/>
    <w:uiPriority w:val="0"/>
    <w:rPr>
      <w:rFonts w:hint="default" w:ascii="TimesNewRomanPSMT" w:hAnsi="TimesNewRomanPSMT"/>
      <w:color w:val="000000"/>
      <w:sz w:val="22"/>
      <w:szCs w:val="22"/>
    </w:rPr>
  </w:style>
  <w:style w:type="character" w:customStyle="1" w:styleId="5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1">
    <w:name w:val="标题 4 字符"/>
    <w:basedOn w:val="24"/>
    <w:qFormat/>
    <w:uiPriority w:val="9"/>
    <w:rPr>
      <w:rFonts w:ascii="Cambria" w:hAnsi="Cambria" w:eastAsia="宋体" w:cs="宋体"/>
      <w:b/>
      <w:bCs/>
      <w:sz w:val="28"/>
      <w:szCs w:val="28"/>
    </w:rPr>
  </w:style>
  <w:style w:type="character" w:customStyle="1" w:styleId="52">
    <w:name w:val="标题 4 Char1"/>
    <w:link w:val="5"/>
    <w:qFormat/>
    <w:uiPriority w:val="0"/>
    <w:rPr>
      <w:rFonts w:ascii="@仿宋_GB2312" w:hAnsi="@仿宋_GB2312" w:eastAsia="@仿宋_GB2312" w:cs="@仿宋_GB2312"/>
      <w:b/>
      <w:bCs/>
      <w:sz w:val="28"/>
      <w:szCs w:val="28"/>
    </w:rPr>
  </w:style>
  <w:style w:type="character" w:customStyle="1" w:styleId="53">
    <w:name w:val="标题 4 Char"/>
    <w:qFormat/>
    <w:uiPriority w:val="0"/>
    <w:rPr>
      <w:rFonts w:ascii="Arial" w:hAnsi="Arial" w:eastAsia="Arial"/>
      <w:b/>
      <w:bCs/>
      <w:kern w:val="2"/>
      <w:sz w:val="28"/>
      <w:szCs w:val="28"/>
      <w:lang w:val="en-US" w:eastAsia="zh-CN" w:bidi="ar-SA"/>
    </w:rPr>
  </w:style>
  <w:style w:type="table" w:customStyle="1" w:styleId="54">
    <w:name w:val="网格型1"/>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5">
    <w:name w:val="批注主题 Char"/>
    <w:basedOn w:val="44"/>
    <w:link w:val="20"/>
    <w:qFormat/>
    <w:uiPriority w:val="99"/>
    <w:rPr>
      <w:rFonts w:ascii="@仿宋_GB2312" w:hAnsi="@仿宋_GB2312" w:eastAsia="@仿宋_GB2312" w:cs="@仿宋_GB2312"/>
      <w:b/>
      <w:bCs/>
      <w:szCs w:val="20"/>
    </w:rPr>
  </w:style>
  <w:style w:type="table" w:customStyle="1" w:styleId="56">
    <w:name w:val="Table Normal"/>
    <w:qFormat/>
    <w:uiPriority w:val="0"/>
    <w:tblPr>
      <w:tblCellMar>
        <w:top w:w="0" w:type="dxa"/>
        <w:left w:w="0" w:type="dxa"/>
        <w:bottom w:w="0" w:type="dxa"/>
        <w:right w:w="0" w:type="dxa"/>
      </w:tblCellMar>
    </w:tblPr>
  </w:style>
  <w:style w:type="paragraph" w:customStyle="1" w:styleId="57">
    <w:name w:val="Table Text"/>
    <w:basedOn w:val="1"/>
    <w:qFormat/>
    <w:uiPriority w:val="0"/>
    <w:rPr>
      <w:rFonts w:ascii="Arial" w:hAnsi="Arial" w:eastAsia="Arial" w:cs="Arial"/>
      <w:sz w:val="21"/>
      <w:szCs w:val="21"/>
      <w:lang w:val="en-US" w:eastAsia="en-US" w:bidi="ar-SA"/>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9">
    <w:name w:val="列出段落1"/>
    <w:basedOn w:val="1"/>
    <w:qFormat/>
    <w:uiPriority w:val="0"/>
    <w:pPr>
      <w:ind w:firstLine="420" w:firstLineChars="200"/>
    </w:pPr>
    <w:rPr>
      <w:szCs w:val="21"/>
    </w:rPr>
  </w:style>
  <w:style w:type="paragraph" w:customStyle="1" w:styleId="60">
    <w:name w:val="段"/>
    <w:next w:val="1"/>
    <w:qFormat/>
    <w:uiPriority w:val="0"/>
    <w:pPr>
      <w:autoSpaceDE w:val="0"/>
      <w:autoSpaceDN w:val="0"/>
      <w:ind w:firstLine="420" w:firstLineChars="200"/>
      <w:jc w:val="both"/>
    </w:pPr>
    <w:rPr>
      <w:rFonts w:ascii="宋体"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53</Pages>
  <Words>22756</Words>
  <Characters>23689</Characters>
  <Paragraphs>1417</Paragraphs>
  <TotalTime>1</TotalTime>
  <ScaleCrop>false</ScaleCrop>
  <LinksUpToDate>false</LinksUpToDate>
  <CharactersWithSpaces>26353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灰灰菇凉</cp:lastModifiedBy>
  <cp:lastPrinted>2019-12-07T15:18:00Z</cp:lastPrinted>
  <dcterms:modified xsi:type="dcterms:W3CDTF">2025-03-03T08:07:17Z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3C03A7ABBCF249EB8FCC15FD6500FCB8_13</vt:lpwstr>
  </property>
  <property fmtid="{D5CDD505-2E9C-101B-9397-08002B2CF9AE}" pid="4" name="KSOTemplateDocerSaveRecord">
    <vt:lpwstr>eyJoZGlkIjoiOWFhYWEyYTI0MDc5OWYxNWJmNDk4MzIwN2QyMjc1MDMiLCJ1c2VySWQiOiI0ODY0MDIzMTcifQ==</vt:lpwstr>
  </property>
</Properties>
</file>