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2BD8CF5">
      <w:pPr>
        <w:keepNext w:val="0"/>
        <w:keepLines w:val="0"/>
        <w:pageBreakBefore w:val="0"/>
        <w:widowControl w:val="0"/>
        <w:tabs>
          <w:tab w:val="left" w:pos="315"/>
          <w:tab w:val="left" w:pos="8820"/>
        </w:tabs>
        <w:kinsoku/>
        <w:wordWrap/>
        <w:overflowPunct/>
        <w:topLinePunct w:val="0"/>
        <w:autoSpaceDE/>
        <w:autoSpaceDN/>
        <w:bidi w:val="0"/>
        <w:adjustRightInd/>
        <w:snapToGrid/>
        <w:spacing w:before="312" w:beforeLines="100" w:after="156" w:afterLines="50" w:line="700" w:lineRule="exact"/>
        <w:ind w:right="267" w:rightChars="127"/>
        <w:jc w:val="center"/>
        <w:textAlignment w:val="auto"/>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r>
        <w:rPr>
          <w:rFonts w:hint="eastAsia" w:ascii="宋体" w:hAnsi="宋体" w:eastAsia="宋体"/>
          <w:b/>
          <w:bCs/>
          <w:color w:val="auto"/>
          <w:sz w:val="52"/>
          <w:szCs w:val="52"/>
          <w:highlight w:val="none"/>
        </w:rPr>
        <w:t>公开招标文件示范文本</w:t>
      </w:r>
      <w:bookmarkEnd w:id="0"/>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滁州市第二人民医院电力市场化交易服务项目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CZEY-2024044</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44"/>
          <w:szCs w:val="44"/>
          <w:highlight w:val="none"/>
          <w:lang w:val="en-US" w:eastAsia="zh-CN"/>
        </w:rPr>
      </w:pPr>
      <w:r>
        <w:rPr>
          <w:rFonts w:hint="eastAsia" w:ascii="宋体" w:hAnsi="宋体" w:eastAsia="宋体"/>
          <w:b/>
          <w:bCs/>
          <w:color w:val="auto"/>
          <w:sz w:val="44"/>
          <w:szCs w:val="44"/>
          <w:highlight w:val="none"/>
          <w:lang w:val="en-US" w:eastAsia="zh-CN"/>
        </w:rPr>
        <w:t>2024年12月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14915B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1F0C159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2716B4CC">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24</w:t>
      </w:r>
      <w:r>
        <w:rPr>
          <w:highlight w:val="none"/>
        </w:rPr>
        <w:fldChar w:fldCharType="end"/>
      </w:r>
      <w:r>
        <w:rPr>
          <w:rFonts w:ascii="宋体" w:hAnsi="宋体" w:eastAsia="宋体"/>
          <w:color w:val="auto"/>
          <w:szCs w:val="24"/>
          <w:highlight w:val="none"/>
        </w:rPr>
        <w:fldChar w:fldCharType="end"/>
      </w:r>
    </w:p>
    <w:p w14:paraId="681AF7DB">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rFonts w:ascii="宋体" w:hAnsi="宋体" w:eastAsia="宋体"/>
          <w:color w:val="auto"/>
          <w:szCs w:val="24"/>
          <w:highlight w:val="none"/>
        </w:rPr>
        <w:fldChar w:fldCharType="end"/>
      </w:r>
    </w:p>
    <w:p w14:paraId="71ECE1B1">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0D6920AC">
      <w:pPr>
        <w:spacing w:line="360" w:lineRule="auto"/>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滁州市第二人民医院电力市场化交易服务项目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12</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20</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CZEY-2024044</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滁州市第二人民医院电力市场化交易服务项目</w:t>
      </w:r>
    </w:p>
    <w:p w14:paraId="2B02D3C0">
      <w:pPr>
        <w:spacing w:line="360" w:lineRule="auto"/>
        <w:ind w:firstLine="240" w:firstLineChars="100"/>
        <w:jc w:val="left"/>
        <w:rPr>
          <w:rFonts w:hint="default" w:ascii="宋体" w:hAnsi="宋体" w:eastAsia="宋体"/>
          <w:color w:val="auto"/>
          <w:sz w:val="24"/>
          <w:highlight w:val="none"/>
          <w:lang w:val="en-US"/>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一年电费约300万元</w:t>
      </w:r>
    </w:p>
    <w:p w14:paraId="4F2D55F0">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本次投标采用固定价格，最高限价为上网电价439.28元/兆瓦时</w:t>
      </w:r>
    </w:p>
    <w:p w14:paraId="144E45DD">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eastAsia="zh-CN"/>
        </w:rPr>
        <w:t>滁州市第二人民医院电力市场化交易服务</w:t>
      </w:r>
    </w:p>
    <w:p w14:paraId="0666849D">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一年</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07497B5C">
      <w:pPr>
        <w:spacing w:line="360" w:lineRule="auto"/>
        <w:ind w:firstLine="435"/>
        <w:outlineLvl w:val="9"/>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①具有独立法人资格并具有有效的营业执照、税务登记证、组织机构代码证（或三证合一证件，提供复印件加盖公章）；②投标人需提供在安徽省代理的用户数量、代理的用户用电总量、在省电力交易中心提供的履约保函金额、合作发电单位（或者是发电集团全资子公司），提供证明加盖投标人公章，未提供按无效标处理；③在皖有自己的发电厂（自行提供证明材料）；④具有安徽电力市场信用等级AA级证书。</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条自行查询或承诺。</w:t>
      </w:r>
    </w:p>
    <w:p w14:paraId="2F0ADDD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default" w:ascii="宋体" w:hAnsi="宋体" w:eastAsia="宋体" w:cs="宋体"/>
          <w:i/>
          <w:iCs/>
          <w:sz w:val="24"/>
          <w:szCs w:val="24"/>
          <w:highlight w:val="none"/>
          <w:lang w:val="en-US" w:eastAsia="zh-CN"/>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16 </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lang w:val="en-US" w:eastAsia="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none"/>
          <w:lang w:val="en-US" w:eastAsia="zh-CN"/>
        </w:rPr>
        <w:t>分前</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20 </w:t>
      </w:r>
      <w:r>
        <w:rPr>
          <w:rFonts w:hint="eastAsia" w:ascii="宋体" w:hAnsi="宋体" w:eastAsia="宋体" w:cs="宋体"/>
          <w:sz w:val="24"/>
          <w:szCs w:val="24"/>
          <w:highlight w:val="none"/>
          <w:u w:val="none"/>
        </w:rPr>
        <w:t>日</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color w:val="auto"/>
          <w:sz w:val="24"/>
          <w:szCs w:val="24"/>
          <w:highlight w:val="none"/>
          <w:lang w:val="en-US" w:eastAsia="zh-CN"/>
        </w:rPr>
        <w:t>滁州市第二人民医院西区至善楼三楼招标办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795"/>
      <w:bookmarkStart w:id="14" w:name="_Toc35393626"/>
      <w:bookmarkStart w:id="15" w:name="_Toc8807"/>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3338F36">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滁州市第二人民医院（市传染病医院、市精神病医院）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3114"/>
      <w:bookmarkStart w:id="20"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564"/>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12</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 xml:space="preserve"> 18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1000元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3D717CA1">
            <w:pPr>
              <w:pStyle w:val="30"/>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pStyle w:val="30"/>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415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6CE7F4">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1ED89F81">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25BE1959">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正本1份，副本2份，正副本不一致时，以正本为准。</w:t>
            </w:r>
          </w:p>
        </w:tc>
      </w:tr>
      <w:tr w14:paraId="3EC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A8D8A2">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1A49F5B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35EE4C60">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一正两副装订成册，密封</w:t>
            </w:r>
            <w:r>
              <w:rPr>
                <w:rFonts w:hint="eastAsia" w:ascii="宋体" w:hAnsi="宋体" w:eastAsia="宋体"/>
                <w:b/>
                <w:bCs w:val="0"/>
                <w:color w:val="auto"/>
                <w:sz w:val="24"/>
                <w:szCs w:val="24"/>
                <w:highlight w:val="none"/>
                <w:lang w:val="en-US" w:eastAsia="zh-CN"/>
              </w:rPr>
              <w:t>于</w:t>
            </w:r>
            <w:r>
              <w:rPr>
                <w:rFonts w:hint="eastAsia" w:ascii="宋体" w:hAnsi="宋体" w:eastAsia="宋体"/>
                <w:b/>
                <w:bCs w:val="0"/>
                <w:color w:val="auto"/>
                <w:sz w:val="24"/>
                <w:szCs w:val="24"/>
                <w:highlight w:val="none"/>
              </w:rPr>
              <w:t>档案袋中，各部分档案袋封面注明项目名称、单位、联系人及联系方式</w:t>
            </w:r>
          </w:p>
        </w:tc>
      </w:tr>
      <w:tr w14:paraId="6B5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BBF9DE">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35</w:t>
            </w:r>
          </w:p>
        </w:tc>
        <w:tc>
          <w:tcPr>
            <w:tcW w:w="1174" w:type="pct"/>
            <w:vAlign w:val="center"/>
          </w:tcPr>
          <w:p w14:paraId="3057A2CD">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0EB23D11">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递交投标文件截止时间：2024年12月20</w:t>
            </w:r>
            <w:bookmarkStart w:id="69" w:name="_GoBack"/>
            <w:bookmarkEnd w:id="69"/>
            <w:r>
              <w:rPr>
                <w:rFonts w:hint="eastAsia" w:ascii="宋体" w:hAnsi="宋体" w:eastAsia="宋体"/>
                <w:b/>
                <w:bCs w:val="0"/>
                <w:color w:val="auto"/>
                <w:sz w:val="24"/>
                <w:szCs w:val="24"/>
                <w:highlight w:val="none"/>
                <w:lang w:val="en-US" w:eastAsia="zh-CN"/>
              </w:rPr>
              <w:t>日11点30分（</w:t>
            </w:r>
            <w:r>
              <w:rPr>
                <w:rFonts w:hint="eastAsia" w:ascii="宋体" w:hAnsi="宋体" w:eastAsia="宋体"/>
                <w:b/>
                <w:bCs w:val="0"/>
                <w:color w:val="auto"/>
                <w:sz w:val="24"/>
                <w:szCs w:val="24"/>
                <w:highlight w:val="none"/>
              </w:rPr>
              <w:t>北京时间）</w:t>
            </w:r>
          </w:p>
          <w:p w14:paraId="674782EC">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143591C6">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14880"/>
      <w:bookmarkStart w:id="22" w:name="_Toc24882"/>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1E5684B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45F256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16068A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39CC2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FB75B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B55B8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00116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5384AF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98025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23981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598282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3B33A4B">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7A0621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4913F77F">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1FC27823">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3181F015">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79B304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2081F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0BE42EA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1E5EFC3">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1EE0F5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CDA99F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0A6F4B0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41F30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7056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42BC3D4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310E44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4BB205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176A0D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C09A8C">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A75824E">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65570C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252EC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4998BF">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728F4C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3E03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7BD5548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757EE1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5CD30AA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181E98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737F0A0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27ECF4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6F4F46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993D4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50229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3785BD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4608A5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CD778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50AE813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7C316B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6D33D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12A2CD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6F4342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B52E54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25F55A5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772ABD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416D7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72B40D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58F549E5">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198D20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400B0FB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2B8FB3E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1A026E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E6F4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5DE4B5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EB5ED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50E507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498573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11E22A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D344D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92DD3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4F24FD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0CF9D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1288002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E8B3D0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83D5FB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3699399">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3F827B2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67A534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9A91A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46E9FB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0ECFD1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5C60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624F8E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465AD8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978A4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5BEE6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64BCFFB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5E13D0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6EF3C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2D052C9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45B81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FF5DFE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9D7CE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51E432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2E9E47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FCA98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84F82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2DE51C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38D82B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B7140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4A15A8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E34B3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4724E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1B9B22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5FA4C0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530D71CB">
      <w:pPr>
        <w:spacing w:line="360" w:lineRule="auto"/>
        <w:ind w:firstLine="736" w:firstLineChars="307"/>
        <w:rPr>
          <w:rFonts w:hint="eastAsia" w:ascii="宋体" w:hAnsi="宋体" w:eastAsia="宋体"/>
          <w:color w:val="auto"/>
          <w:sz w:val="24"/>
          <w:highlight w:val="none"/>
        </w:rPr>
      </w:pPr>
      <w:r>
        <w:rPr>
          <w:rFonts w:asciiTheme="minorEastAsia" w:hAnsiTheme="minorEastAsia" w:eastAsiaTheme="minorEastAsia"/>
          <w:color w:val="auto"/>
          <w:sz w:val="24"/>
          <w:highlight w:val="none"/>
        </w:rPr>
        <w:t>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C01F50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3C39633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F0ACB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944BB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3240EA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14A5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C7AB12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76ECD6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B415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42F9307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75F1B1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549A53E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35455A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107B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6FA087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3C39E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A2342BB">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7EF791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3F89C717">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2BA642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0E3D67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80C5D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7F4A7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73A645B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D09E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28EDE9D">
      <w:pPr>
        <w:spacing w:line="360" w:lineRule="auto"/>
        <w:ind w:firstLine="437"/>
        <w:outlineLvl w:val="2"/>
        <w:rPr>
          <w:rFonts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038F4B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840E2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CC3DCA8">
      <w:pP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502EAC64">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77A900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489CA2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FD96A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EA18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01F75D2">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65CD53BB">
      <w:pP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0AFA7F43">
      <w:pPr>
        <w:spacing w:line="360" w:lineRule="auto"/>
        <w:ind w:firstLine="437"/>
        <w:outlineLvl w:val="1"/>
        <w:rPr>
          <w:rFonts w:hint="eastAsia" w:ascii="宋体" w:hAnsi="宋体" w:eastAsia="宋体"/>
          <w:b/>
          <w:color w:val="auto"/>
          <w:sz w:val="24"/>
          <w:szCs w:val="18"/>
          <w:highlight w:val="none"/>
        </w:rPr>
      </w:pPr>
      <w:bookmarkStart w:id="30" w:name="_Toc2554"/>
      <w:bookmarkStart w:id="31" w:name="_Toc32151"/>
      <w:r>
        <w:rPr>
          <w:rFonts w:hint="eastAsia" w:ascii="宋体" w:hAnsi="宋体" w:eastAsia="宋体"/>
          <w:b/>
          <w:color w:val="auto"/>
          <w:sz w:val="24"/>
          <w:szCs w:val="18"/>
          <w:highlight w:val="none"/>
        </w:rPr>
        <w:t>一、采购需求前附表</w:t>
      </w:r>
      <w:bookmarkEnd w:id="30"/>
      <w:bookmarkEnd w:id="31"/>
    </w:p>
    <w:tbl>
      <w:tblPr>
        <w:tblStyle w:val="22"/>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2375"/>
        <w:gridCol w:w="6890"/>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C64C6B2">
            <w:pPr>
              <w:rPr>
                <w:rFonts w:ascii="宋体" w:hAnsi="宋体" w:eastAsia="宋体"/>
                <w:b w:val="0"/>
                <w:color w:val="auto"/>
                <w:sz w:val="24"/>
                <w:highlight w:val="none"/>
                <w:u w:val="single"/>
              </w:rPr>
            </w:pPr>
            <w:r>
              <w:rPr>
                <w:rFonts w:hint="eastAsia" w:ascii="宋体" w:hAnsi="宋体" w:eastAsia="宋体" w:cs="@仿宋_GB2312"/>
                <w:b/>
                <w:bCs w:val="0"/>
                <w:color w:val="auto"/>
                <w:kern w:val="0"/>
                <w:sz w:val="24"/>
                <w:szCs w:val="28"/>
                <w:highlight w:val="none"/>
                <w:u w:val="single"/>
                <w:lang w:val="en-US" w:eastAsia="zh-CN" w:bidi="ar-SA"/>
              </w:rPr>
              <w:t>每月根据供电公司电费清单及发票按时转账</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地点</w:t>
            </w:r>
          </w:p>
        </w:tc>
        <w:tc>
          <w:tcPr>
            <w:tcW w:w="3299" w:type="pct"/>
            <w:vAlign w:val="center"/>
          </w:tcPr>
          <w:p w14:paraId="75913D3A">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rPr>
            </w:pPr>
            <w:r>
              <w:rPr>
                <w:rFonts w:hint="eastAsia" w:ascii="宋体" w:hAnsi="宋体" w:eastAsia="宋体"/>
                <w:b w:val="0"/>
                <w:color w:val="auto"/>
                <w:sz w:val="24"/>
                <w:highlight w:val="none"/>
                <w:u w:val="single"/>
                <w:lang w:val="en-US" w:eastAsia="zh-CN"/>
              </w:rPr>
              <w:t>滁州市第二人民医院</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期限</w:t>
            </w:r>
          </w:p>
        </w:tc>
        <w:tc>
          <w:tcPr>
            <w:tcW w:w="3299" w:type="pct"/>
            <w:vAlign w:val="center"/>
          </w:tcPr>
          <w:p w14:paraId="7618E6D2">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一年</w:t>
            </w:r>
          </w:p>
        </w:tc>
      </w:tr>
    </w:tbl>
    <w:p w14:paraId="454619E1">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二、相关要求</w:t>
      </w:r>
    </w:p>
    <w:p w14:paraId="743E97C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bookmarkStart w:id="32" w:name="_Toc4843"/>
      <w:bookmarkStart w:id="33" w:name="_Toc7421"/>
      <w:r>
        <w:rPr>
          <w:rFonts w:hint="eastAsia" w:ascii="宋体" w:hAnsi="宋体" w:eastAsia="宋体" w:cs="宋体"/>
          <w:color w:val="000000"/>
          <w:kern w:val="0"/>
          <w:sz w:val="24"/>
          <w:szCs w:val="24"/>
          <w:highlight w:val="none"/>
          <w:lang w:val="en-US" w:eastAsia="zh-CN"/>
        </w:rPr>
        <w:t>1、招标期限：本次医院2024年电力市场化交易服务项目；</w:t>
      </w:r>
    </w:p>
    <w:p w14:paraId="7D99542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2、输配电价让利及政府性基金让利归甲方所有（如若政策调整，须按新政策执行）；</w:t>
      </w:r>
    </w:p>
    <w:p w14:paraId="0034D1C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3、本次投标采用固定价格，最高限价为上网电价439.28元/兆瓦时，投标人所报的价格包括含人工费、材料费、差旅费、食宿费、利润及税金等一切费用。（相关风险自行考虑）。</w:t>
      </w:r>
    </w:p>
    <w:bookmarkEnd w:id="32"/>
    <w:bookmarkEnd w:id="33"/>
    <w:p w14:paraId="0391D67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p>
    <w:p w14:paraId="6E4735E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宋体"/>
          <w:color w:val="auto"/>
          <w:sz w:val="24"/>
          <w:highlight w:val="none"/>
        </w:rPr>
      </w:pPr>
      <w:r>
        <w:rPr>
          <w:rFonts w:ascii="宋体" w:hAnsi="宋体" w:eastAsia="宋体"/>
          <w:color w:val="auto"/>
          <w:sz w:val="24"/>
          <w:highlight w:val="none"/>
        </w:rPr>
        <w:br w:type="page"/>
      </w:r>
    </w:p>
    <w:p w14:paraId="5E7ECF36">
      <w:pPr>
        <w:numPr>
          <w:ilvl w:val="0"/>
          <w:numId w:val="1"/>
        </w:numPr>
        <w:ind w:left="0" w:leftChars="0" w:firstLine="0" w:firstLineChars="0"/>
        <w:jc w:val="center"/>
        <w:rPr>
          <w:rFonts w:hint="eastAsia" w:asciiTheme="minorEastAsia" w:hAnsiTheme="minorEastAsia" w:eastAsiaTheme="minorEastAsia"/>
          <w:b/>
          <w:color w:val="auto"/>
          <w:sz w:val="28"/>
          <w:highlight w:val="none"/>
        </w:rPr>
      </w:pPr>
      <w:bookmarkStart w:id="34" w:name="_Toc3538"/>
      <w:bookmarkStart w:id="35" w:name="_Toc4682"/>
      <w:r>
        <w:rPr>
          <w:rFonts w:hint="eastAsia" w:asciiTheme="minorEastAsia" w:hAnsiTheme="minorEastAsia" w:eastAsiaTheme="minorEastAsia"/>
          <w:b/>
          <w:color w:val="auto"/>
          <w:sz w:val="28"/>
          <w:highlight w:val="none"/>
        </w:rPr>
        <w:t xml:space="preserve"> 评标方法和标准（最低评标价法）</w:t>
      </w:r>
      <w:bookmarkEnd w:id="34"/>
    </w:p>
    <w:p w14:paraId="079CE36A">
      <w:pPr>
        <w:spacing w:line="360" w:lineRule="auto"/>
        <w:ind w:firstLine="437"/>
        <w:outlineLvl w:val="1"/>
        <w:rPr>
          <w:rFonts w:asciiTheme="minorEastAsia" w:hAnsiTheme="minorEastAsia" w:eastAsiaTheme="minorEastAsia"/>
          <w:b/>
          <w:color w:val="auto"/>
          <w:sz w:val="24"/>
          <w:highlight w:val="none"/>
        </w:rPr>
      </w:pPr>
      <w:bookmarkStart w:id="36" w:name="_Toc6560"/>
      <w:bookmarkStart w:id="37" w:name="_Toc10401"/>
      <w:r>
        <w:rPr>
          <w:rFonts w:hint="eastAsia" w:asciiTheme="minorEastAsia" w:hAnsiTheme="minorEastAsia" w:eastAsiaTheme="minorEastAsia"/>
          <w:b/>
          <w:color w:val="auto"/>
          <w:sz w:val="24"/>
          <w:highlight w:val="none"/>
        </w:rPr>
        <w:t>一、总则</w:t>
      </w:r>
      <w:bookmarkEnd w:id="36"/>
      <w:bookmarkEnd w:id="37"/>
    </w:p>
    <w:p w14:paraId="48901C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796B9B2C">
      <w:pPr>
        <w:spacing w:line="360" w:lineRule="auto"/>
        <w:ind w:firstLine="437"/>
        <w:outlineLvl w:val="1"/>
        <w:rPr>
          <w:rFonts w:asciiTheme="minorEastAsia" w:hAnsiTheme="minorEastAsia" w:eastAsiaTheme="minorEastAsia"/>
          <w:b/>
          <w:color w:val="auto"/>
          <w:sz w:val="24"/>
          <w:highlight w:val="none"/>
        </w:rPr>
      </w:pPr>
      <w:bookmarkStart w:id="38" w:name="_Toc17743"/>
      <w:bookmarkStart w:id="39" w:name="_Toc28533"/>
      <w:r>
        <w:rPr>
          <w:rFonts w:hint="eastAsia" w:asciiTheme="minorEastAsia" w:hAnsiTheme="minorEastAsia" w:eastAsiaTheme="minorEastAsia"/>
          <w:b/>
          <w:color w:val="auto"/>
          <w:sz w:val="24"/>
          <w:highlight w:val="none"/>
        </w:rPr>
        <w:t>二、评标方法</w:t>
      </w:r>
      <w:bookmarkEnd w:id="38"/>
      <w:bookmarkEnd w:id="39"/>
    </w:p>
    <w:p w14:paraId="1B37B07D">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2CBC2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21CB90BF">
            <w:pPr>
              <w:pStyle w:val="31"/>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120F250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3DF8AA72">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6F3161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131783BA">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599" w:type="pct"/>
            <w:tcBorders>
              <w:bottom w:val="single" w:color="auto" w:sz="4" w:space="0"/>
            </w:tcBorders>
            <w:vAlign w:val="center"/>
          </w:tcPr>
          <w:p w14:paraId="7A7397D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3733FC75">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6C13A953">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1FB91E83">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3472AD4">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81" w:type="pct"/>
            <w:vAlign w:val="center"/>
          </w:tcPr>
          <w:p w14:paraId="764CF86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6D2804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2644B0F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2DE36D6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1" w:type="pct"/>
            <w:vAlign w:val="center"/>
          </w:tcPr>
          <w:p w14:paraId="6C73FBA9">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4E5A603">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7C8E227C">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3B797CE4">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r w14:paraId="2E5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1FDDA45">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0990B5E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599" w:type="pct"/>
            <w:tcBorders>
              <w:bottom w:val="single" w:color="auto" w:sz="4" w:space="0"/>
            </w:tcBorders>
            <w:vAlign w:val="center"/>
          </w:tcPr>
          <w:p w14:paraId="110F5924">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81" w:type="pct"/>
            <w:tcBorders>
              <w:bottom w:val="single" w:color="auto" w:sz="4" w:space="0"/>
            </w:tcBorders>
            <w:vAlign w:val="center"/>
          </w:tcPr>
          <w:p w14:paraId="3BA6D19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279ADF">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7247A7C4">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599" w:type="pct"/>
            <w:vAlign w:val="center"/>
          </w:tcPr>
          <w:p w14:paraId="331407C4">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1" w:type="pct"/>
            <w:vAlign w:val="center"/>
          </w:tcPr>
          <w:p w14:paraId="2E70B3EE">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B85BDFF">
      <w:pPr>
        <w:spacing w:line="360" w:lineRule="auto"/>
        <w:ind w:firstLine="435"/>
        <w:rPr>
          <w:rFonts w:asciiTheme="minorEastAsia" w:hAnsiTheme="minorEastAsia" w:eastAsiaTheme="minorEastAsia"/>
          <w:color w:val="auto"/>
          <w:sz w:val="24"/>
          <w:highlight w:val="none"/>
        </w:rPr>
      </w:pPr>
      <w:bookmarkStart w:id="40"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0"/>
    <w:p w14:paraId="06198EE0">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79DE64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469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C91E71">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C8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B13A0A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53EC329D">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546902E">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98716C6">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AF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99A1D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0B16228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49E19E14">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2A70E83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F6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FA806D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6BB14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3D66730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6749063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E5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42ACEA">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07C19EB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CF38B3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075E1724">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0E29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1769A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74D29C3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32CE8F2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127B76C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4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3FA343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5A837F1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613D4F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16E695A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24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8BD42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2321" w:type="dxa"/>
            <w:vAlign w:val="center"/>
          </w:tcPr>
          <w:p w14:paraId="31314EAD">
            <w:pPr>
              <w:spacing w:line="360" w:lineRule="auto"/>
              <w:ind w:firstLine="240" w:firstLineChars="100"/>
              <w:outlineLvl w:val="2"/>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技术</w:t>
            </w:r>
            <w:r>
              <w:rPr>
                <w:rFonts w:hint="eastAsia" w:asciiTheme="minorEastAsia" w:hAnsiTheme="minorEastAsia" w:eastAsiaTheme="minorEastAsia"/>
                <w:color w:val="auto"/>
                <w:sz w:val="24"/>
                <w:szCs w:val="28"/>
                <w:highlight w:val="none"/>
              </w:rPr>
              <w:t>响应情况</w:t>
            </w:r>
          </w:p>
        </w:tc>
        <w:tc>
          <w:tcPr>
            <w:tcW w:w="3430" w:type="dxa"/>
            <w:vAlign w:val="center"/>
          </w:tcPr>
          <w:p w14:paraId="52501C1E">
            <w:pPr>
              <w:spacing w:after="50" w:line="360" w:lineRule="auto"/>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45F1BF7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9A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F7DAC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60234B1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2F3E51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2" w:type="pct"/>
            <w:vAlign w:val="center"/>
          </w:tcPr>
          <w:p w14:paraId="19E73918">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475E1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67414C6">
      <w:pPr>
        <w:spacing w:line="360" w:lineRule="auto"/>
        <w:jc w:val="center"/>
        <w:outlineLvl w:val="0"/>
        <w:rPr>
          <w:rFonts w:hint="eastAsia" w:ascii="宋体" w:hAnsi="宋体" w:eastAsia="宋体"/>
          <w:b/>
          <w:color w:val="auto"/>
          <w:sz w:val="28"/>
          <w:highlight w:val="none"/>
        </w:rPr>
      </w:pPr>
    </w:p>
    <w:p w14:paraId="25F76BB0">
      <w:pPr>
        <w:spacing w:line="360" w:lineRule="auto"/>
        <w:jc w:val="center"/>
        <w:outlineLvl w:val="0"/>
        <w:rPr>
          <w:rFonts w:hint="eastAsia" w:ascii="宋体" w:hAnsi="宋体" w:eastAsia="宋体"/>
          <w:b/>
          <w:color w:val="auto"/>
          <w:sz w:val="28"/>
          <w:highlight w:val="none"/>
        </w:rPr>
      </w:pPr>
    </w:p>
    <w:p w14:paraId="1FBD6F61">
      <w:pPr>
        <w:spacing w:line="360" w:lineRule="auto"/>
        <w:jc w:val="center"/>
        <w:outlineLvl w:val="0"/>
        <w:rPr>
          <w:rFonts w:hint="eastAsia" w:ascii="宋体" w:hAnsi="宋体" w:eastAsia="宋体"/>
          <w:b/>
          <w:color w:val="auto"/>
          <w:sz w:val="28"/>
          <w:highlight w:val="none"/>
        </w:rPr>
      </w:pPr>
    </w:p>
    <w:p w14:paraId="2A06C6F0">
      <w:pPr>
        <w:spacing w:line="360" w:lineRule="auto"/>
        <w:jc w:val="center"/>
        <w:outlineLvl w:val="0"/>
        <w:rPr>
          <w:rFonts w:hint="eastAsia" w:ascii="宋体" w:hAnsi="宋体" w:eastAsia="宋体"/>
          <w:b/>
          <w:color w:val="auto"/>
          <w:sz w:val="28"/>
          <w:highlight w:val="none"/>
        </w:rPr>
      </w:pPr>
    </w:p>
    <w:p w14:paraId="7AF604BE">
      <w:pPr>
        <w:spacing w:line="360" w:lineRule="auto"/>
        <w:jc w:val="center"/>
        <w:outlineLvl w:val="0"/>
        <w:rPr>
          <w:rFonts w:hint="eastAsia" w:ascii="宋体" w:hAnsi="宋体" w:eastAsia="宋体"/>
          <w:b/>
          <w:color w:val="auto"/>
          <w:sz w:val="28"/>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5"/>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39EF2DC">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2D2B0B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1" w:name="_Toc22209"/>
      <w:r>
        <w:rPr>
          <w:rFonts w:hint="eastAsia" w:ascii="宋体" w:hAnsi="宋体" w:eastAsia="宋体" w:cs="@仿宋_GB2312"/>
          <w:b/>
          <w:color w:val="000000"/>
          <w:sz w:val="24"/>
          <w:szCs w:val="20"/>
          <w:highlight w:val="none"/>
        </w:rPr>
        <w:t>第一节 政府采购合同协议书</w:t>
      </w:r>
      <w:bookmarkEnd w:id="41"/>
    </w:p>
    <w:p w14:paraId="3CFAAAC5">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48F83BA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w:t>
      </w:r>
    </w:p>
    <w:p w14:paraId="6C356262">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9"/>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BE828F6">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9"/>
        <w:pageBreakBefore w:val="0"/>
        <w:numPr>
          <w:ilvl w:val="0"/>
          <w:numId w:val="3"/>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滁州市第二人民医院电力市场化交易服务项目</w:t>
      </w:r>
      <w:r>
        <w:rPr>
          <w:rFonts w:hint="eastAsia" w:ascii="宋体" w:hAnsi="宋体" w:eastAsia="宋体" w:cs="宋体"/>
          <w:sz w:val="24"/>
          <w:szCs w:val="24"/>
          <w:highlight w:val="none"/>
          <w:u w:val="single"/>
        </w:rPr>
        <w:t xml:space="preserve"> </w:t>
      </w:r>
    </w:p>
    <w:p w14:paraId="6AAE4482">
      <w:pPr>
        <w:pStyle w:val="9"/>
        <w:pageBreakBefore w:val="0"/>
        <w:numPr>
          <w:ilvl w:val="0"/>
          <w:numId w:val="3"/>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CZEY-2024044</w:t>
      </w:r>
      <w:r>
        <w:rPr>
          <w:rFonts w:hint="eastAsia" w:ascii="宋体" w:hAnsi="宋体" w:eastAsia="宋体" w:cs="宋体"/>
          <w:sz w:val="24"/>
          <w:szCs w:val="24"/>
          <w:highlight w:val="none"/>
          <w:u w:val="single"/>
        </w:rPr>
        <w:t xml:space="preserve"> </w:t>
      </w:r>
    </w:p>
    <w:p w14:paraId="6A58944D">
      <w:pPr>
        <w:pStyle w:val="9"/>
        <w:pageBreakBefore w:val="0"/>
        <w:numPr>
          <w:ilvl w:val="0"/>
          <w:numId w:val="3"/>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319E2176">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7AF6F0B4">
      <w:pPr>
        <w:pStyle w:val="58"/>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080D590B">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p>
    <w:p w14:paraId="177CCD5D">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CC426B">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C26EA48">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w:t>
      </w:r>
      <w:r>
        <w:rPr>
          <w:rFonts w:hint="eastAsia" w:ascii="宋体" w:hAnsi="宋体" w:eastAsia="宋体" w:cs="宋体"/>
          <w:iCs/>
          <w:sz w:val="24"/>
          <w:szCs w:val="24"/>
          <w:highlight w:val="none"/>
          <w:lang w:val="en-US" w:eastAsia="zh-CN"/>
        </w:rPr>
        <w:t>单</w:t>
      </w:r>
      <w:r>
        <w:rPr>
          <w:rFonts w:hint="eastAsia" w:ascii="宋体" w:hAnsi="宋体" w:eastAsia="宋体" w:cs="宋体"/>
          <w:iCs/>
          <w:sz w:val="24"/>
          <w:szCs w:val="24"/>
          <w:highlight w:val="none"/>
        </w:rPr>
        <w:t>价</w:t>
      </w:r>
    </w:p>
    <w:p w14:paraId="012A70D9">
      <w:pPr>
        <w:pStyle w:val="59"/>
        <w:pageBreakBefore w:val="0"/>
        <w:kinsoku/>
        <w:wordWrap/>
        <w:overflowPunct/>
        <w:topLinePunct w:val="0"/>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w:t>
      </w:r>
      <w:r>
        <w:rPr>
          <w:rFonts w:hint="eastAsia" w:ascii="宋体" w:hAnsi="宋体" w:eastAsia="宋体" w:cs="宋体"/>
          <w:sz w:val="24"/>
          <w:szCs w:val="24"/>
          <w:highlight w:val="none"/>
          <w:lang w:eastAsia="zh-CN"/>
        </w:rPr>
        <w:t>每月根据供电公司电费清单及发票按时转账</w:t>
      </w:r>
    </w:p>
    <w:p w14:paraId="08D9228F">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D1D86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4EEB5511">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pageBreakBefore w:val="0"/>
        <w:numPr>
          <w:ilvl w:val="0"/>
          <w:numId w:val="4"/>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F85CFA1">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7E50A408">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F9F357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63D571C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8C366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339440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0AA5F7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5EC180A">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合同签字盖章之日起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59A3B81">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C3D36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7EC029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72643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0571B6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44B2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C5800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85AB39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2"/>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2"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2"/>
    </w:p>
    <w:p w14:paraId="6AA78251">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CB15C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DC1B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213E5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231B7A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D30B8A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FE268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2E14B8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63127C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102B1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597C6E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664DCF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8159B1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557C85C">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33205B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4165A9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5A866E7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DFEC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1A767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292F0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89353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69B7D21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1203233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445A40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539847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9739C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4C5A09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E777B03">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9534BF4">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7250F31C">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87F8E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30A7F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20E5D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6E789B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649EC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2D04A9F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78298A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7DBE5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1162AAD">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82E35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6A03D2E">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45FC1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7DB08F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B23E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E5559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6BE262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4E42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ECE75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CA2F3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14173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1EBBA9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5BAEE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20048E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009203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2CE700F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BB06A4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8175A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3"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3"/>
      <w:r>
        <w:rPr>
          <w:rFonts w:hint="eastAsia" w:ascii="宋体" w:hAnsi="宋体" w:eastAsia="宋体" w:cs="宋体"/>
          <w:color w:val="auto"/>
          <w:sz w:val="24"/>
          <w:szCs w:val="24"/>
          <w:highlight w:val="none"/>
        </w:rPr>
        <w:t>。</w:t>
      </w:r>
    </w:p>
    <w:p w14:paraId="1A430B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E1B9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E66611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67ED6B3">
      <w:pPr>
        <w:pStyle w:val="2"/>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3FB7F829">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2CD94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01A5FE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CDC8358">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3B29E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EC29C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55B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1E690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1E500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2746F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AB7BA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3330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548E00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6BB9EA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A5C39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AB8CB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8B9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E7D2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670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7DFEA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C08D3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46ED4FAA">
      <w:pPr>
        <w:pageBreakBefore w:val="0"/>
        <w:numPr>
          <w:ilvl w:val="0"/>
          <w:numId w:val="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66F71BEA">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CF75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B11258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7B790A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7E69D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40C9EED">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04B74CA4">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BAA9D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97E94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E918AD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53A87D7">
      <w:pPr>
        <w:pStyle w:val="5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02A34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0EB8B9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AA9D5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7804E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0EEB90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B8100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644AD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4A893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C11EB5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A075F69">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0F42B9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A2A4C5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52704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BF21B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438F9F8">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375D786">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0DD9285B">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46614FE">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8D0C4F">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4E4DC897">
      <w:pPr>
        <w:pStyle w:val="58"/>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0D32E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56FA0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18972D1">
      <w:pPr>
        <w:pageBreakBefore w:val="0"/>
        <w:numPr>
          <w:ilvl w:val="0"/>
          <w:numId w:val="8"/>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131A2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D9B258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4" w:name="_Toc20313"/>
    </w:p>
    <w:p w14:paraId="29B51941">
      <w:pPr>
        <w:pStyle w:val="2"/>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44"/>
    <w:p w14:paraId="26820FA4">
      <w:pPr>
        <w:spacing w:line="360" w:lineRule="auto"/>
        <w:jc w:val="center"/>
        <w:outlineLvl w:val="0"/>
        <w:rPr>
          <w:rFonts w:ascii="宋体" w:hAnsi="宋体" w:eastAsia="宋体"/>
          <w:b/>
          <w:color w:val="auto"/>
          <w:sz w:val="28"/>
          <w:highlight w:val="none"/>
        </w:rPr>
      </w:pPr>
      <w:bookmarkStart w:id="45" w:name="_Toc22492"/>
      <w:r>
        <w:rPr>
          <w:rFonts w:hint="eastAsia" w:ascii="宋体" w:hAnsi="宋体" w:eastAsia="宋体"/>
          <w:b/>
          <w:color w:val="auto"/>
          <w:sz w:val="28"/>
          <w:highlight w:val="none"/>
        </w:rPr>
        <w:t>第六章  投标文件格式</w:t>
      </w:r>
      <w:bookmarkEnd w:id="45"/>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46" w:name="_Toc651"/>
      <w:r>
        <w:rPr>
          <w:rFonts w:hint="eastAsia" w:ascii="宋体" w:hAnsi="宋体" w:eastAsia="宋体"/>
          <w:b/>
          <w:color w:val="auto"/>
          <w:sz w:val="72"/>
          <w:highlight w:val="none"/>
        </w:rPr>
        <w:t>投</w:t>
      </w:r>
      <w:bookmarkEnd w:id="46"/>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47" w:name="_Toc6148"/>
      <w:r>
        <w:rPr>
          <w:rFonts w:hint="eastAsia" w:ascii="宋体" w:hAnsi="宋体" w:eastAsia="宋体"/>
          <w:b/>
          <w:color w:val="auto"/>
          <w:sz w:val="72"/>
          <w:highlight w:val="none"/>
        </w:rPr>
        <w:t>标</w:t>
      </w:r>
      <w:bookmarkEnd w:id="47"/>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48" w:name="_Toc1338"/>
      <w:r>
        <w:rPr>
          <w:rFonts w:hint="eastAsia" w:ascii="宋体" w:hAnsi="宋体" w:eastAsia="宋体"/>
          <w:b/>
          <w:color w:val="auto"/>
          <w:sz w:val="72"/>
          <w:highlight w:val="none"/>
        </w:rPr>
        <w:t>文</w:t>
      </w:r>
      <w:bookmarkEnd w:id="48"/>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49" w:name="_Toc10796"/>
      <w:r>
        <w:rPr>
          <w:rFonts w:hint="eastAsia" w:ascii="宋体" w:hAnsi="宋体" w:eastAsia="宋体"/>
          <w:b/>
          <w:color w:val="auto"/>
          <w:sz w:val="72"/>
          <w:highlight w:val="none"/>
        </w:rPr>
        <w:t>件</w:t>
      </w:r>
      <w:bookmarkEnd w:id="49"/>
    </w:p>
    <w:p w14:paraId="7F796F65">
      <w:pPr>
        <w:spacing w:after="156" w:afterLines="50" w:line="500" w:lineRule="exact"/>
        <w:jc w:val="center"/>
        <w:rPr>
          <w:rFonts w:ascii="宋体" w:hAnsi="宋体" w:eastAsia="宋体"/>
          <w:b/>
          <w:color w:val="auto"/>
          <w:sz w:val="28"/>
          <w:szCs w:val="28"/>
          <w:highlight w:val="none"/>
        </w:rPr>
      </w:pPr>
    </w:p>
    <w:p w14:paraId="61271EB9">
      <w:pPr>
        <w:pStyle w:val="2"/>
        <w:rPr>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0" w:name="_Toc8037"/>
      <w:bookmarkStart w:id="51"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0"/>
      <w:bookmarkEnd w:id="51"/>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3C215242">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（2）供应商须具有有效的营业执照、税务登记证、组织机构代码证（或三证合一的证书）；</w:t>
      </w:r>
    </w:p>
    <w:p w14:paraId="121B21C2">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olor w:val="auto"/>
          <w:sz w:val="24"/>
          <w:highlight w:val="none"/>
          <w:lang w:val="en-US" w:eastAsia="zh-CN"/>
        </w:rPr>
        <w:t>（3）</w:t>
      </w:r>
      <w:r>
        <w:rPr>
          <w:rFonts w:hint="eastAsia" w:ascii="宋体" w:hAnsi="宋体" w:eastAsia="宋体" w:cs="宋体"/>
          <w:color w:val="auto"/>
          <w:sz w:val="24"/>
          <w:highlight w:val="none"/>
          <w:lang w:val="en-US" w:eastAsia="zh-CN"/>
        </w:rPr>
        <w:t>投标人需提供在安徽省代理的用户数量、代理的用户用电总量、在省电力交易中心提供的履约保函金额、合作发电单位（或者是发电集团全资子公司），提供证明加盖投标人公章；</w:t>
      </w:r>
    </w:p>
    <w:p w14:paraId="4AF0FFFA">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（4）供应商资格声明书（格式见附件）</w:t>
      </w:r>
    </w:p>
    <w:p w14:paraId="50783036">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（5）诚信履约承诺函（格式见附件）</w:t>
      </w:r>
    </w:p>
    <w:p w14:paraId="2F4B8E07">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（6）开标一览表（格式见附件）；</w:t>
      </w:r>
    </w:p>
    <w:p w14:paraId="48DFCBE9">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（7）投标函（格式见附件）；</w:t>
      </w:r>
    </w:p>
    <w:p w14:paraId="769950CD">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4ADF3973">
      <w:pPr>
        <w:pStyle w:val="2"/>
        <w:rPr>
          <w:rFonts w:hint="eastAsia"/>
          <w:highlight w:val="none"/>
          <w:lang w:val="en-US" w:eastAsia="zh-CN"/>
        </w:rPr>
      </w:pPr>
    </w:p>
    <w:p w14:paraId="18824151">
      <w:pPr>
        <w:spacing w:line="360" w:lineRule="auto"/>
        <w:ind w:firstLine="435"/>
        <w:rPr>
          <w:rFonts w:hint="eastAsia" w:ascii="宋体" w:hAnsi="宋体" w:eastAsia="宋体" w:cs="宋体"/>
          <w:color w:val="auto"/>
          <w:sz w:val="24"/>
          <w:highlight w:val="none"/>
          <w:lang w:val="en-US" w:eastAsia="zh-CN"/>
        </w:rPr>
      </w:pPr>
    </w:p>
    <w:p w14:paraId="3DC4AE93">
      <w:pPr>
        <w:spacing w:line="360" w:lineRule="auto"/>
        <w:jc w:val="center"/>
        <w:outlineLvl w:val="1"/>
        <w:rPr>
          <w:rFonts w:hint="eastAsia" w:ascii="宋体" w:hAnsi="宋体" w:eastAsia="宋体"/>
          <w:b/>
          <w:color w:val="auto"/>
          <w:sz w:val="24"/>
          <w:highlight w:val="none"/>
        </w:rPr>
      </w:pPr>
      <w:bookmarkStart w:id="52" w:name="_Toc1328"/>
      <w:r>
        <w:rPr>
          <w:rFonts w:hint="eastAsia" w:ascii="宋体" w:hAnsi="宋体" w:eastAsia="宋体"/>
          <w:b/>
          <w:color w:val="auto"/>
          <w:sz w:val="24"/>
          <w:highlight w:val="none"/>
          <w:lang w:val="en-US" w:eastAsia="zh-CN"/>
        </w:rPr>
        <w:t>一．投标人资格声明书</w:t>
      </w:r>
      <w:bookmarkEnd w:id="52"/>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53"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54"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3"/>
      <w:bookmarkEnd w:id="54"/>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55" w:name="_Toc520299348"/>
      <w:bookmarkStart w:id="56" w:name="_Toc457768004"/>
      <w:bookmarkStart w:id="57" w:name="_Toc300210382"/>
      <w:bookmarkStart w:id="58" w:name="_Toc26536"/>
      <w:bookmarkStart w:id="59" w:name="_Toc25813"/>
      <w:bookmarkStart w:id="60" w:name="_Hlk11701496"/>
      <w:r>
        <w:rPr>
          <w:rFonts w:hint="eastAsia" w:ascii="宋体" w:hAnsi="宋体" w:eastAsia="宋体"/>
          <w:b/>
          <w:color w:val="auto"/>
          <w:sz w:val="24"/>
          <w:highlight w:val="none"/>
          <w:lang w:val="en-US" w:eastAsia="zh-CN"/>
        </w:rPr>
        <w:t>三、</w:t>
      </w:r>
      <w:bookmarkEnd w:id="55"/>
      <w:bookmarkEnd w:id="56"/>
      <w:bookmarkEnd w:id="57"/>
      <w:r>
        <w:rPr>
          <w:rFonts w:hint="eastAsia" w:ascii="宋体" w:hAnsi="宋体" w:eastAsia="宋体"/>
          <w:b/>
          <w:color w:val="auto"/>
          <w:sz w:val="24"/>
          <w:highlight w:val="none"/>
          <w:lang w:val="en-US" w:eastAsia="zh-CN"/>
        </w:rPr>
        <w:t>诚信履约承诺函</w:t>
      </w:r>
      <w:bookmarkEnd w:id="58"/>
      <w:bookmarkEnd w:id="59"/>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60"/>
    <w:p w14:paraId="5FBCD799">
      <w:pPr>
        <w:spacing w:line="360" w:lineRule="auto"/>
        <w:jc w:val="center"/>
        <w:outlineLvl w:val="0"/>
        <w:rPr>
          <w:rFonts w:hint="eastAsia" w:ascii="宋体" w:hAnsi="宋体" w:eastAsia="宋体"/>
          <w:b/>
          <w:color w:val="auto"/>
          <w:sz w:val="28"/>
          <w:highlight w:val="none"/>
        </w:rPr>
      </w:pPr>
      <w:bookmarkStart w:id="61" w:name="_Toc6435"/>
      <w:bookmarkStart w:id="62" w:name="_Toc18131"/>
    </w:p>
    <w:p w14:paraId="570C60F9">
      <w:pPr>
        <w:spacing w:line="360" w:lineRule="auto"/>
        <w:jc w:val="center"/>
        <w:outlineLvl w:val="1"/>
        <w:rPr>
          <w:rFonts w:ascii="宋体" w:hAnsi="宋体" w:eastAsia="宋体"/>
          <w:b/>
          <w:color w:val="auto"/>
          <w:sz w:val="24"/>
          <w:highlight w:val="none"/>
        </w:rPr>
      </w:pPr>
      <w:bookmarkStart w:id="63" w:name="_Toc28960"/>
      <w:bookmarkStart w:id="64" w:name="_Toc5555"/>
      <w:r>
        <w:rPr>
          <w:rFonts w:hint="eastAsia" w:ascii="宋体" w:hAnsi="宋体" w:eastAsia="宋体"/>
          <w:b/>
          <w:color w:val="auto"/>
          <w:sz w:val="24"/>
          <w:highlight w:val="none"/>
        </w:rPr>
        <w:t>一、开标一览表</w:t>
      </w:r>
      <w:bookmarkEnd w:id="63"/>
      <w:bookmarkEnd w:id="64"/>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color w:val="auto"/>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8FF83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B340F0F">
            <w:pPr>
              <w:spacing w:line="360" w:lineRule="auto"/>
              <w:rPr>
                <w:rFonts w:ascii="宋体" w:hAnsi="宋体" w:eastAsia="宋体"/>
                <w:color w:val="auto"/>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9D0561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F7342E3">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13CC634">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20380D8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232E93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6BDF3B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A835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3EF9C6B9">
            <w:pPr>
              <w:numPr>
                <w:ilvl w:val="0"/>
                <w:numId w:val="0"/>
              </w:numPr>
              <w:shd w:val="clear" w:fill="FF0000"/>
              <w:spacing w:line="360" w:lineRule="auto"/>
              <w:jc w:val="left"/>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1.甲方方不承担考核偏差费用。</w:t>
            </w:r>
          </w:p>
          <w:p w14:paraId="13DA47F0">
            <w:pPr>
              <w:pStyle w:val="2"/>
              <w:numPr>
                <w:ilvl w:val="0"/>
                <w:numId w:val="0"/>
              </w:numPr>
              <w:shd w:val="clear" w:fill="FF0000"/>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rPr>
              <w:t>2</w:t>
            </w:r>
            <w:r>
              <w:rPr>
                <w:rFonts w:hint="eastAsia" w:ascii="宋体" w:hAnsi="宋体" w:eastAsia="宋体"/>
                <w:bCs/>
                <w:color w:val="auto"/>
                <w:sz w:val="24"/>
                <w:highlight w:val="none"/>
                <w:lang w:val="en-US" w:eastAsia="zh-CN"/>
              </w:rPr>
              <w:t>乙方售电公司在现货交易中100%传导给甲方。</w:t>
            </w:r>
          </w:p>
          <w:p w14:paraId="3FEB29F9">
            <w:pPr>
              <w:rPr>
                <w:rFonts w:hint="default"/>
                <w:highlight w:val="none"/>
                <w:lang w:val="en-US" w:eastAsia="zh-CN"/>
              </w:rPr>
            </w:pPr>
          </w:p>
        </w:tc>
      </w:tr>
    </w:tbl>
    <w:p w14:paraId="200C245E">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FC48B7D">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B2D85F">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DF9A03C">
      <w:pPr>
        <w:spacing w:line="360" w:lineRule="auto"/>
        <w:ind w:firstLine="360" w:firstLineChars="150"/>
        <w:rPr>
          <w:rFonts w:ascii="宋体" w:hAnsi="宋体" w:eastAsia="宋体"/>
          <w:color w:val="auto"/>
          <w:sz w:val="24"/>
          <w:highlight w:val="none"/>
        </w:rPr>
      </w:pPr>
    </w:p>
    <w:p w14:paraId="55F106A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E90591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75800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772A84AD">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65" w:name="_Toc18010"/>
      <w:bookmarkStart w:id="66" w:name="_Toc6441"/>
      <w:r>
        <w:rPr>
          <w:rFonts w:hint="eastAsia" w:ascii="宋体" w:hAnsi="宋体" w:eastAsia="宋体"/>
          <w:b/>
          <w:color w:val="auto"/>
          <w:sz w:val="24"/>
          <w:highlight w:val="none"/>
        </w:rPr>
        <w:t>二、投标函</w:t>
      </w:r>
      <w:bookmarkEnd w:id="65"/>
      <w:bookmarkEnd w:id="66"/>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7DDD1FC1">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67" w:name="_Toc6796"/>
      <w:bookmarkStart w:id="68" w:name="_Toc31991"/>
    </w:p>
    <w:p w14:paraId="2484B04A">
      <w:pPr>
        <w:spacing w:line="360" w:lineRule="auto"/>
        <w:jc w:val="center"/>
        <w:outlineLvl w:val="1"/>
        <w:rPr>
          <w:rFonts w:hint="eastAsia" w:ascii="宋体" w:hAnsi="宋体" w:eastAsia="宋体"/>
          <w:b/>
          <w:color w:val="auto"/>
          <w:sz w:val="24"/>
          <w:highlight w:val="none"/>
        </w:rPr>
      </w:pPr>
    </w:p>
    <w:p w14:paraId="223B7C8F">
      <w:pPr>
        <w:spacing w:line="360" w:lineRule="auto"/>
        <w:jc w:val="center"/>
        <w:outlineLvl w:val="1"/>
        <w:rPr>
          <w:rFonts w:hint="eastAsia" w:ascii="宋体" w:hAnsi="宋体" w:eastAsia="宋体"/>
          <w:b/>
          <w:color w:val="auto"/>
          <w:sz w:val="24"/>
          <w:highlight w:val="none"/>
        </w:rPr>
      </w:pPr>
    </w:p>
    <w:p w14:paraId="42B97848">
      <w:pPr>
        <w:spacing w:line="360" w:lineRule="auto"/>
        <w:jc w:val="center"/>
        <w:outlineLvl w:val="1"/>
        <w:rPr>
          <w:rFonts w:hint="eastAsia" w:ascii="宋体" w:hAnsi="宋体" w:eastAsia="宋体"/>
          <w:b/>
          <w:color w:val="auto"/>
          <w:sz w:val="24"/>
          <w:highlight w:val="none"/>
        </w:rPr>
      </w:pPr>
    </w:p>
    <w:bookmarkEnd w:id="67"/>
    <w:bookmarkEnd w:id="68"/>
    <w:p w14:paraId="2F215D73">
      <w:pPr>
        <w:widowControl/>
        <w:jc w:val="left"/>
        <w:rPr>
          <w:rFonts w:ascii="宋体" w:hAnsi="宋体" w:eastAsia="宋体"/>
          <w:color w:val="auto"/>
          <w:sz w:val="24"/>
          <w:highlight w:val="none"/>
        </w:rPr>
      </w:pPr>
      <w:r>
        <w:rPr>
          <w:rFonts w:ascii="宋体" w:hAnsi="宋体" w:eastAsia="宋体"/>
          <w:color w:val="auto"/>
          <w:sz w:val="24"/>
          <w:highlight w:val="none"/>
        </w:rPr>
        <w:br w:type="page"/>
      </w:r>
      <w:bookmarkEnd w:id="61"/>
      <w:bookmarkEnd w:id="62"/>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AABAFD3">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6C09713">
      <w:pPr>
        <w:widowControl/>
        <w:jc w:val="left"/>
        <w:rPr>
          <w:rFonts w:ascii="宋体" w:hAnsi="宋体" w:eastAsia="宋体"/>
          <w:color w:val="auto"/>
          <w:sz w:val="24"/>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B5DFF0">
                    <w:pPr>
                      <w:pStyle w:val="1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abstractNum w:abstractNumId="7">
    <w:nsid w:val="2A064A37"/>
    <w:multiLevelType w:val="singleLevel"/>
    <w:tmpl w:val="2A064A37"/>
    <w:lvl w:ilvl="0" w:tentative="0">
      <w:start w:val="3"/>
      <w:numFmt w:val="chineseCounting"/>
      <w:suff w:val="space"/>
      <w:lvlText w:val="第%1章"/>
      <w:lvlJc w:val="left"/>
      <w:rPr>
        <w:rFonts w:hint="eastAsia"/>
      </w:rPr>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000000"/>
    <w:rsid w:val="00135135"/>
    <w:rsid w:val="01777E75"/>
    <w:rsid w:val="01B3556A"/>
    <w:rsid w:val="01E25ABE"/>
    <w:rsid w:val="02907B51"/>
    <w:rsid w:val="034D095E"/>
    <w:rsid w:val="03A82CAD"/>
    <w:rsid w:val="05502988"/>
    <w:rsid w:val="0A6749FB"/>
    <w:rsid w:val="0C96488C"/>
    <w:rsid w:val="0D5A0848"/>
    <w:rsid w:val="10026281"/>
    <w:rsid w:val="11B524F0"/>
    <w:rsid w:val="142E658A"/>
    <w:rsid w:val="14A64372"/>
    <w:rsid w:val="14ED3D4F"/>
    <w:rsid w:val="161146EA"/>
    <w:rsid w:val="16EE413B"/>
    <w:rsid w:val="17B80644"/>
    <w:rsid w:val="1B325A6D"/>
    <w:rsid w:val="1BAD248A"/>
    <w:rsid w:val="1C8A6328"/>
    <w:rsid w:val="1C9F6277"/>
    <w:rsid w:val="1E081BFA"/>
    <w:rsid w:val="1ECF593D"/>
    <w:rsid w:val="1F6A3B3E"/>
    <w:rsid w:val="20586E69"/>
    <w:rsid w:val="20631D11"/>
    <w:rsid w:val="20E63CC8"/>
    <w:rsid w:val="21374CD0"/>
    <w:rsid w:val="21A60641"/>
    <w:rsid w:val="22632F8C"/>
    <w:rsid w:val="22A5210D"/>
    <w:rsid w:val="233A2855"/>
    <w:rsid w:val="24013373"/>
    <w:rsid w:val="24A273AD"/>
    <w:rsid w:val="25475BB8"/>
    <w:rsid w:val="25FE400E"/>
    <w:rsid w:val="27AB1F74"/>
    <w:rsid w:val="27FF4722"/>
    <w:rsid w:val="297B3BC8"/>
    <w:rsid w:val="2D96494A"/>
    <w:rsid w:val="2EB060C2"/>
    <w:rsid w:val="30442B30"/>
    <w:rsid w:val="311A0999"/>
    <w:rsid w:val="3190410E"/>
    <w:rsid w:val="319475D5"/>
    <w:rsid w:val="31EF5153"/>
    <w:rsid w:val="3A881CA1"/>
    <w:rsid w:val="3B5B7B12"/>
    <w:rsid w:val="3B7010B2"/>
    <w:rsid w:val="3B8B3D12"/>
    <w:rsid w:val="3D202664"/>
    <w:rsid w:val="3E900306"/>
    <w:rsid w:val="3F5E1ADA"/>
    <w:rsid w:val="406D3E12"/>
    <w:rsid w:val="41846EB2"/>
    <w:rsid w:val="41FB544E"/>
    <w:rsid w:val="424E75EA"/>
    <w:rsid w:val="43FC45F2"/>
    <w:rsid w:val="45455285"/>
    <w:rsid w:val="45CA5863"/>
    <w:rsid w:val="48C12F4D"/>
    <w:rsid w:val="4AF3565B"/>
    <w:rsid w:val="4B076EEB"/>
    <w:rsid w:val="4B964046"/>
    <w:rsid w:val="4BFC116A"/>
    <w:rsid w:val="4C2B0BB7"/>
    <w:rsid w:val="4E5877A0"/>
    <w:rsid w:val="4F842056"/>
    <w:rsid w:val="4FE47521"/>
    <w:rsid w:val="50E579F5"/>
    <w:rsid w:val="520E2096"/>
    <w:rsid w:val="55C45E2B"/>
    <w:rsid w:val="56D5001B"/>
    <w:rsid w:val="5853793A"/>
    <w:rsid w:val="585872F1"/>
    <w:rsid w:val="585D6076"/>
    <w:rsid w:val="5A7D545E"/>
    <w:rsid w:val="5CED210B"/>
    <w:rsid w:val="5E08087F"/>
    <w:rsid w:val="5E203E1A"/>
    <w:rsid w:val="5EDE0559"/>
    <w:rsid w:val="6111492D"/>
    <w:rsid w:val="629E0205"/>
    <w:rsid w:val="638F5526"/>
    <w:rsid w:val="68753C2C"/>
    <w:rsid w:val="69013140"/>
    <w:rsid w:val="6929500B"/>
    <w:rsid w:val="693D7F76"/>
    <w:rsid w:val="69F70A2D"/>
    <w:rsid w:val="6C3C3EA6"/>
    <w:rsid w:val="6F0155A2"/>
    <w:rsid w:val="6F6607E6"/>
    <w:rsid w:val="70C55FE8"/>
    <w:rsid w:val="714C3766"/>
    <w:rsid w:val="71ED1E0E"/>
    <w:rsid w:val="73E7745D"/>
    <w:rsid w:val="74485A21"/>
    <w:rsid w:val="7554492F"/>
    <w:rsid w:val="78A21D8D"/>
    <w:rsid w:val="7B9003DA"/>
    <w:rsid w:val="7CEF2EDE"/>
    <w:rsid w:val="7D2D1C58"/>
    <w:rsid w:val="7F7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3"/>
    <w:qFormat/>
    <w:uiPriority w:val="9"/>
    <w:rPr>
      <w:rFonts w:ascii="@仿宋_GB2312" w:hAnsi="@仿宋_GB2312" w:eastAsia="@仿宋_GB2312" w:cs="@仿宋_GB2312"/>
      <w:b/>
      <w:bCs/>
      <w:kern w:val="44"/>
      <w:sz w:val="44"/>
      <w:szCs w:val="44"/>
    </w:rPr>
  </w:style>
  <w:style w:type="paragraph" w:customStyle="1" w:styleId="46">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42</Pages>
  <Words>8641</Words>
  <Characters>9135</Characters>
  <Paragraphs>1417</Paragraphs>
  <TotalTime>12</TotalTime>
  <ScaleCrop>false</ScaleCrop>
  <LinksUpToDate>false</LinksUpToDate>
  <CharactersWithSpaces>9366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2024-12-17T01:22:33Z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1F566F51B69A4496A98B8CE64F19642C_13</vt:lpwstr>
  </property>
</Properties>
</file>