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0B4DDA">
      <w:pPr>
        <w:spacing w:line="360" w:lineRule="auto"/>
        <w:ind w:firstLine="723"/>
        <w:jc w:val="center"/>
        <w:rPr>
          <w:rStyle w:val="179"/>
        </w:rPr>
      </w:pPr>
    </w:p>
    <w:p w14:paraId="0EF1ADB3">
      <w:pPr>
        <w:spacing w:after="156" w:afterLines="50"/>
        <w:ind w:right="-625"/>
        <w:jc w:val="center"/>
        <w:rPr>
          <w:rFonts w:ascii="宋体" w:hAnsi="宋体"/>
          <w:b/>
          <w:sz w:val="48"/>
          <w:szCs w:val="48"/>
        </w:rPr>
      </w:pPr>
      <w:bookmarkStart w:id="0" w:name="OLE_LINK3"/>
      <w:bookmarkStart w:id="1" w:name="OLE_LINK2"/>
      <w:bookmarkStart w:id="2" w:name="_Toc21247_WPSOffice_Level1"/>
      <w:bookmarkStart w:id="3" w:name="OLE_LINK1"/>
      <w:r>
        <w:rPr>
          <w:rFonts w:hint="eastAsia" w:ascii="宋体" w:hAnsi="宋体"/>
          <w:b/>
          <w:sz w:val="48"/>
          <w:szCs w:val="48"/>
        </w:rPr>
        <w:t>滁州市第二人民医院电梯维保服务项目</w:t>
      </w:r>
    </w:p>
    <w:p w14:paraId="5E31A283">
      <w:pPr>
        <w:spacing w:after="156" w:afterLines="50"/>
        <w:ind w:left="-850" w:leftChars="-405" w:right="-625"/>
        <w:jc w:val="center"/>
        <w:rPr>
          <w:sz w:val="24"/>
        </w:rPr>
      </w:pPr>
    </w:p>
    <w:p w14:paraId="683286E6">
      <w:pPr>
        <w:pStyle w:val="49"/>
        <w:ind w:left="0" w:leftChars="0" w:firstLine="3200" w:firstLineChars="1000"/>
        <w:rPr>
          <w:sz w:val="32"/>
          <w:szCs w:val="32"/>
        </w:rPr>
      </w:pPr>
    </w:p>
    <w:p w14:paraId="09F1CAAC">
      <w:pPr>
        <w:pStyle w:val="49"/>
        <w:ind w:left="0" w:leftChars="0" w:firstLine="0" w:firstLineChars="0"/>
        <w:jc w:val="center"/>
        <w:rPr>
          <w:rFonts w:ascii="宋体" w:hAnsi="宋体" w:cs="宋体"/>
          <w:sz w:val="32"/>
          <w:szCs w:val="32"/>
        </w:rPr>
      </w:pPr>
      <w:r>
        <w:rPr>
          <w:rFonts w:hint="eastAsia"/>
          <w:sz w:val="32"/>
          <w:szCs w:val="32"/>
        </w:rPr>
        <w:t>项目编号：CZEY-2024032</w:t>
      </w:r>
    </w:p>
    <w:p w14:paraId="5272A29A">
      <w:pPr>
        <w:spacing w:line="360" w:lineRule="auto"/>
        <w:ind w:firstLine="1928"/>
        <w:rPr>
          <w:rFonts w:ascii="楷体" w:hAnsi="楷体" w:eastAsia="楷体" w:cs="楷体"/>
          <w:b/>
          <w:sz w:val="96"/>
          <w:szCs w:val="96"/>
        </w:rPr>
      </w:pPr>
    </w:p>
    <w:p w14:paraId="07C126B0">
      <w:pPr>
        <w:spacing w:line="360" w:lineRule="auto"/>
        <w:ind w:firstLine="1928"/>
        <w:rPr>
          <w:rFonts w:ascii="宋体" w:hAnsi="宋体" w:cs="宋体"/>
          <w:bCs/>
          <w:sz w:val="96"/>
          <w:szCs w:val="96"/>
        </w:rPr>
      </w:pPr>
      <w:r>
        <w:rPr>
          <w:rFonts w:hint="eastAsia" w:ascii="宋体" w:hAnsi="宋体" w:cs="宋体"/>
          <w:b/>
          <w:sz w:val="96"/>
          <w:szCs w:val="96"/>
        </w:rPr>
        <w:t>招 标 文 件</w:t>
      </w:r>
    </w:p>
    <w:p w14:paraId="5D417581">
      <w:pPr>
        <w:ind w:firstLine="1687"/>
        <w:rPr>
          <w:rFonts w:ascii="宋体" w:hAnsi="宋体"/>
          <w:b/>
          <w:sz w:val="84"/>
          <w:szCs w:val="84"/>
        </w:rPr>
      </w:pPr>
    </w:p>
    <w:p w14:paraId="0DDCFE1F">
      <w:pPr>
        <w:pStyle w:val="49"/>
      </w:pPr>
    </w:p>
    <w:p w14:paraId="5C5E9FC3">
      <w:pPr>
        <w:ind w:firstLine="560"/>
        <w:rPr>
          <w:rFonts w:ascii="宋体"/>
          <w:sz w:val="28"/>
          <w:szCs w:val="28"/>
        </w:rPr>
      </w:pPr>
    </w:p>
    <w:p w14:paraId="69C56F34">
      <w:pPr>
        <w:ind w:firstLine="643" w:firstLineChars="200"/>
        <w:rPr>
          <w:rFonts w:ascii="宋体"/>
          <w:b/>
          <w:sz w:val="32"/>
          <w:szCs w:val="32"/>
        </w:rPr>
      </w:pPr>
    </w:p>
    <w:p w14:paraId="748AD546">
      <w:pPr>
        <w:pStyle w:val="17"/>
        <w:ind w:firstLine="883"/>
      </w:pPr>
    </w:p>
    <w:p w14:paraId="11C86669">
      <w:pPr>
        <w:ind w:firstLine="643"/>
        <w:rPr>
          <w:rFonts w:ascii="宋体" w:hAnsi="宋体"/>
          <w:b/>
          <w:spacing w:val="-20"/>
          <w:sz w:val="32"/>
          <w:szCs w:val="32"/>
          <w:u w:val="single"/>
        </w:rPr>
      </w:pPr>
      <w:r>
        <w:rPr>
          <w:rFonts w:hint="eastAsia" w:ascii="宋体"/>
          <w:b/>
          <w:sz w:val="32"/>
          <w:szCs w:val="32"/>
        </w:rPr>
        <w:t>采  购  人：</w:t>
      </w:r>
      <w:r>
        <w:rPr>
          <w:rFonts w:hint="eastAsia" w:ascii="宋体" w:hAnsi="宋体"/>
          <w:b/>
          <w:spacing w:val="-20"/>
          <w:sz w:val="32"/>
          <w:szCs w:val="32"/>
          <w:u w:val="single"/>
        </w:rPr>
        <w:t>滁州市第二人民医院（市传染病医院、市精神病医院）</w:t>
      </w:r>
    </w:p>
    <w:p w14:paraId="08F31179">
      <w:pPr>
        <w:ind w:firstLine="643"/>
        <w:jc w:val="right"/>
        <w:rPr>
          <w:rFonts w:ascii="宋体"/>
          <w:b/>
          <w:spacing w:val="-20"/>
          <w:sz w:val="32"/>
          <w:szCs w:val="32"/>
        </w:rPr>
      </w:pPr>
      <w:r>
        <w:rPr>
          <w:rFonts w:hint="eastAsia" w:ascii="宋体"/>
          <w:b/>
          <w:spacing w:val="-20"/>
          <w:sz w:val="32"/>
          <w:szCs w:val="32"/>
        </w:rPr>
        <w:t>（盖单位章）</w:t>
      </w:r>
    </w:p>
    <w:p w14:paraId="36C15907">
      <w:pPr>
        <w:ind w:firstLine="643"/>
        <w:rPr>
          <w:rFonts w:ascii="宋体"/>
          <w:b/>
          <w:sz w:val="32"/>
          <w:szCs w:val="32"/>
          <w:u w:val="single"/>
        </w:rPr>
      </w:pPr>
      <w:r>
        <w:rPr>
          <w:rFonts w:hint="eastAsia" w:ascii="宋体"/>
          <w:b/>
          <w:sz w:val="32"/>
          <w:szCs w:val="32"/>
        </w:rPr>
        <w:t>采购代理机构：</w:t>
      </w:r>
      <w:r>
        <w:rPr>
          <w:rFonts w:hint="eastAsia" w:ascii="宋体"/>
          <w:b/>
          <w:sz w:val="32"/>
          <w:szCs w:val="32"/>
          <w:u w:val="single"/>
        </w:rPr>
        <w:t xml:space="preserve"> </w:t>
      </w:r>
      <w:r>
        <w:rPr>
          <w:rFonts w:hint="eastAsia" w:ascii="宋体" w:hAnsi="宋体"/>
          <w:b/>
          <w:spacing w:val="-20"/>
          <w:sz w:val="32"/>
          <w:szCs w:val="32"/>
          <w:u w:val="single"/>
        </w:rPr>
        <w:t xml:space="preserve">江苏川页工程项目管理有限公司  </w:t>
      </w:r>
      <w:r>
        <w:rPr>
          <w:rFonts w:hint="eastAsia" w:ascii="宋体"/>
          <w:b/>
          <w:sz w:val="32"/>
          <w:szCs w:val="32"/>
        </w:rPr>
        <w:t>（盖单位章）</w:t>
      </w:r>
    </w:p>
    <w:p w14:paraId="0F7FB88F">
      <w:pPr>
        <w:ind w:firstLine="643"/>
        <w:jc w:val="center"/>
        <w:rPr>
          <w:rFonts w:ascii="宋体"/>
          <w:b/>
          <w:sz w:val="32"/>
          <w:szCs w:val="32"/>
        </w:rPr>
      </w:pPr>
      <w:r>
        <w:rPr>
          <w:rFonts w:hint="eastAsia" w:ascii="宋体"/>
          <w:b/>
          <w:sz w:val="32"/>
          <w:szCs w:val="32"/>
          <w:u w:val="single"/>
        </w:rPr>
        <w:t xml:space="preserve">二〇二四 </w:t>
      </w:r>
      <w:r>
        <w:rPr>
          <w:rFonts w:hint="eastAsia" w:ascii="宋体"/>
          <w:b/>
          <w:sz w:val="32"/>
          <w:szCs w:val="32"/>
        </w:rPr>
        <w:t xml:space="preserve">年 </w:t>
      </w:r>
      <w:r>
        <w:rPr>
          <w:rFonts w:hint="eastAsia" w:ascii="宋体"/>
          <w:b/>
          <w:sz w:val="32"/>
          <w:szCs w:val="32"/>
          <w:u w:val="single"/>
        </w:rPr>
        <w:t xml:space="preserve"> 八 </w:t>
      </w:r>
      <w:r>
        <w:rPr>
          <w:rFonts w:hint="eastAsia" w:ascii="宋体"/>
          <w:b/>
          <w:sz w:val="32"/>
          <w:szCs w:val="32"/>
        </w:rPr>
        <w:t>月</w:t>
      </w:r>
    </w:p>
    <w:p w14:paraId="0333AD63">
      <w:pPr>
        <w:adjustRightInd w:val="0"/>
        <w:snapToGrid w:val="0"/>
        <w:spacing w:line="460" w:lineRule="exact"/>
        <w:ind w:firstLine="723"/>
        <w:jc w:val="center"/>
        <w:rPr>
          <w:rFonts w:ascii="宋体" w:hAnsi="宋体" w:cs="宋体"/>
          <w:b/>
          <w:spacing w:val="20"/>
          <w:sz w:val="32"/>
          <w:szCs w:val="32"/>
        </w:rPr>
      </w:pPr>
    </w:p>
    <w:p w14:paraId="7077E782">
      <w:pPr>
        <w:pStyle w:val="49"/>
      </w:pPr>
    </w:p>
    <w:p w14:paraId="170BB16D">
      <w:pPr>
        <w:adjustRightInd w:val="0"/>
        <w:snapToGrid w:val="0"/>
        <w:spacing w:line="460" w:lineRule="exact"/>
        <w:ind w:firstLine="723"/>
        <w:jc w:val="center"/>
        <w:rPr>
          <w:rFonts w:ascii="宋体" w:hAnsi="宋体" w:cs="宋体"/>
          <w:b/>
          <w:spacing w:val="20"/>
          <w:sz w:val="32"/>
          <w:szCs w:val="32"/>
        </w:rPr>
      </w:pPr>
    </w:p>
    <w:p w14:paraId="64C91615">
      <w:pPr>
        <w:adjustRightInd w:val="0"/>
        <w:snapToGrid w:val="0"/>
        <w:spacing w:line="460" w:lineRule="exact"/>
        <w:ind w:firstLine="723"/>
        <w:jc w:val="center"/>
        <w:rPr>
          <w:rFonts w:ascii="宋体" w:hAnsi="宋体" w:cs="宋体"/>
          <w:b/>
          <w:spacing w:val="20"/>
          <w:sz w:val="32"/>
          <w:szCs w:val="32"/>
        </w:rPr>
      </w:pPr>
    </w:p>
    <w:p w14:paraId="12E416B3">
      <w:pPr>
        <w:adjustRightInd w:val="0"/>
        <w:snapToGrid w:val="0"/>
        <w:spacing w:line="460" w:lineRule="exact"/>
        <w:ind w:firstLine="723"/>
        <w:jc w:val="center"/>
        <w:rPr>
          <w:rFonts w:ascii="宋体" w:hAnsi="宋体" w:cs="宋体"/>
          <w:b/>
          <w:spacing w:val="20"/>
          <w:sz w:val="32"/>
          <w:szCs w:val="32"/>
        </w:rPr>
      </w:pPr>
      <w:r>
        <w:rPr>
          <w:rFonts w:hint="eastAsia" w:ascii="宋体" w:hAnsi="宋体" w:cs="宋体"/>
          <w:b/>
          <w:spacing w:val="20"/>
          <w:sz w:val="32"/>
          <w:szCs w:val="32"/>
        </w:rPr>
        <w:t>目 录</w:t>
      </w:r>
    </w:p>
    <w:p w14:paraId="0FA5502E">
      <w:pPr>
        <w:spacing w:line="360" w:lineRule="exact"/>
        <w:ind w:firstLine="723"/>
        <w:jc w:val="center"/>
        <w:rPr>
          <w:b/>
          <w:sz w:val="36"/>
        </w:rPr>
      </w:pPr>
    </w:p>
    <w:p w14:paraId="0FA991AB">
      <w:pPr>
        <w:pStyle w:val="31"/>
        <w:tabs>
          <w:tab w:val="right" w:leader="dot" w:pos="8296"/>
        </w:tabs>
        <w:spacing w:line="440" w:lineRule="exact"/>
        <w:ind w:firstLine="482"/>
        <w:rPr>
          <w:rFonts w:ascii="宋体" w:hAnsi="宋体"/>
          <w:sz w:val="24"/>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fldChar w:fldCharType="begin"/>
      </w:r>
      <w:r>
        <w:instrText xml:space="preserve"> HYPERLINK \l "_Toc58430304" </w:instrText>
      </w:r>
      <w:r>
        <w:fldChar w:fldCharType="separate"/>
      </w:r>
      <w:r>
        <w:rPr>
          <w:rStyle w:val="61"/>
          <w:rFonts w:hint="eastAsia" w:ascii="宋体" w:hAnsi="宋体"/>
          <w:color w:val="auto"/>
          <w:sz w:val="24"/>
        </w:rPr>
        <w:t>第一章</w:t>
      </w:r>
      <w:r>
        <w:rPr>
          <w:rStyle w:val="61"/>
          <w:rFonts w:ascii="宋体" w:hAnsi="宋体"/>
          <w:color w:val="auto"/>
          <w:sz w:val="24"/>
        </w:rPr>
        <w:t xml:space="preserve"> </w:t>
      </w:r>
      <w:r>
        <w:rPr>
          <w:rStyle w:val="61"/>
          <w:rFonts w:hint="eastAsia" w:ascii="宋体" w:hAnsi="宋体"/>
          <w:color w:val="auto"/>
          <w:sz w:val="24"/>
        </w:rPr>
        <w:t>招标公告</w:t>
      </w:r>
      <w:r>
        <w:rPr>
          <w:rFonts w:ascii="宋体" w:hAnsi="宋体"/>
          <w:sz w:val="24"/>
        </w:rPr>
        <w:tab/>
      </w:r>
      <w:r>
        <w:rPr>
          <w:rFonts w:hint="eastAsia" w:ascii="宋体" w:hAnsi="宋体"/>
          <w:sz w:val="24"/>
        </w:rPr>
        <w:t>3</w:t>
      </w:r>
      <w:r>
        <w:rPr>
          <w:rFonts w:hint="eastAsia" w:ascii="宋体" w:hAnsi="宋体"/>
          <w:sz w:val="24"/>
        </w:rPr>
        <w:fldChar w:fldCharType="end"/>
      </w:r>
    </w:p>
    <w:p w14:paraId="5E2D1133">
      <w:pPr>
        <w:pStyle w:val="31"/>
        <w:tabs>
          <w:tab w:val="right" w:leader="dot" w:pos="8296"/>
        </w:tabs>
        <w:spacing w:line="440" w:lineRule="exact"/>
        <w:ind w:firstLine="402"/>
        <w:rPr>
          <w:rFonts w:ascii="宋体" w:hAnsi="宋体"/>
          <w:sz w:val="24"/>
        </w:rPr>
      </w:pPr>
      <w:r>
        <w:fldChar w:fldCharType="begin"/>
      </w:r>
      <w:r>
        <w:instrText xml:space="preserve"> HYPERLINK \l "_Toc58430313" </w:instrText>
      </w:r>
      <w:r>
        <w:fldChar w:fldCharType="separate"/>
      </w:r>
      <w:r>
        <w:rPr>
          <w:rStyle w:val="61"/>
          <w:rFonts w:hint="eastAsia" w:ascii="宋体" w:hAnsi="宋体"/>
          <w:color w:val="auto"/>
          <w:sz w:val="24"/>
        </w:rPr>
        <w:t>第二章</w:t>
      </w:r>
      <w:r>
        <w:rPr>
          <w:rStyle w:val="61"/>
          <w:rFonts w:ascii="宋体" w:hAnsi="宋体"/>
          <w:color w:val="auto"/>
          <w:sz w:val="24"/>
        </w:rPr>
        <w:t xml:space="preserve"> </w:t>
      </w:r>
      <w:r>
        <w:rPr>
          <w:rStyle w:val="61"/>
          <w:rFonts w:hint="eastAsia" w:ascii="宋体" w:hAnsi="宋体"/>
          <w:color w:val="auto"/>
          <w:sz w:val="24"/>
        </w:rPr>
        <w:t>投标人须知前附表</w:t>
      </w:r>
      <w:r>
        <w:rPr>
          <w:rFonts w:ascii="宋体" w:hAnsi="宋体"/>
          <w:sz w:val="24"/>
        </w:rPr>
        <w:tab/>
      </w:r>
      <w:r>
        <w:rPr>
          <w:rFonts w:hint="eastAsia" w:ascii="宋体" w:hAnsi="宋体"/>
          <w:sz w:val="24"/>
        </w:rPr>
        <w:t>5</w:t>
      </w:r>
      <w:r>
        <w:rPr>
          <w:rFonts w:hint="eastAsia" w:ascii="宋体" w:hAnsi="宋体"/>
          <w:sz w:val="24"/>
        </w:rPr>
        <w:fldChar w:fldCharType="end"/>
      </w:r>
    </w:p>
    <w:p w14:paraId="2CFF2ABB">
      <w:pPr>
        <w:pStyle w:val="31"/>
        <w:tabs>
          <w:tab w:val="right" w:leader="dot" w:pos="8296"/>
        </w:tabs>
        <w:spacing w:line="440" w:lineRule="exact"/>
        <w:ind w:firstLine="402"/>
        <w:rPr>
          <w:rFonts w:ascii="宋体" w:hAnsi="宋体"/>
          <w:sz w:val="24"/>
        </w:rPr>
      </w:pPr>
      <w:r>
        <w:fldChar w:fldCharType="begin"/>
      </w:r>
      <w:r>
        <w:instrText xml:space="preserve"> HYPERLINK \l "_Toc58430316" </w:instrText>
      </w:r>
      <w:r>
        <w:fldChar w:fldCharType="separate"/>
      </w:r>
      <w:r>
        <w:rPr>
          <w:rStyle w:val="61"/>
          <w:rFonts w:hint="eastAsia" w:ascii="宋体" w:hAnsi="宋体"/>
          <w:color w:val="auto"/>
          <w:sz w:val="24"/>
        </w:rPr>
        <w:t>第三章</w:t>
      </w:r>
      <w:r>
        <w:rPr>
          <w:rStyle w:val="61"/>
          <w:rFonts w:ascii="宋体" w:hAnsi="宋体"/>
          <w:color w:val="auto"/>
          <w:sz w:val="24"/>
        </w:rPr>
        <w:t xml:space="preserve"> </w:t>
      </w:r>
      <w:r>
        <w:rPr>
          <w:rStyle w:val="61"/>
          <w:rFonts w:hint="eastAsia" w:ascii="宋体" w:hAnsi="宋体"/>
          <w:color w:val="auto"/>
          <w:sz w:val="24"/>
        </w:rPr>
        <w:t>评标办法</w:t>
      </w:r>
      <w:r>
        <w:rPr>
          <w:rFonts w:ascii="宋体" w:hAnsi="宋体"/>
          <w:sz w:val="24"/>
        </w:rPr>
        <w:tab/>
      </w:r>
      <w:r>
        <w:rPr>
          <w:rFonts w:hint="eastAsia" w:ascii="宋体" w:hAnsi="宋体"/>
          <w:sz w:val="24"/>
        </w:rPr>
        <w:t>1</w:t>
      </w:r>
      <w:r>
        <w:rPr>
          <w:rFonts w:hint="eastAsia" w:ascii="宋体" w:hAnsi="宋体"/>
          <w:sz w:val="24"/>
        </w:rPr>
        <w:fldChar w:fldCharType="end"/>
      </w:r>
      <w:r>
        <w:rPr>
          <w:rFonts w:hint="eastAsia" w:ascii="宋体" w:hAnsi="宋体"/>
          <w:sz w:val="24"/>
        </w:rPr>
        <w:t>3</w:t>
      </w:r>
    </w:p>
    <w:p w14:paraId="40F7C087">
      <w:pPr>
        <w:pStyle w:val="31"/>
        <w:tabs>
          <w:tab w:val="right" w:leader="dot" w:pos="8296"/>
        </w:tabs>
        <w:spacing w:line="440" w:lineRule="exact"/>
        <w:ind w:firstLine="402"/>
        <w:rPr>
          <w:rFonts w:ascii="宋体" w:hAnsi="宋体"/>
          <w:sz w:val="24"/>
        </w:rPr>
      </w:pPr>
      <w:r>
        <w:fldChar w:fldCharType="begin"/>
      </w:r>
      <w:r>
        <w:instrText xml:space="preserve"> HYPERLINK \l "_Toc58430328" </w:instrText>
      </w:r>
      <w:r>
        <w:fldChar w:fldCharType="separate"/>
      </w:r>
      <w:r>
        <w:rPr>
          <w:rStyle w:val="61"/>
          <w:rFonts w:hint="eastAsia" w:ascii="宋体" w:hAnsi="宋体"/>
          <w:color w:val="auto"/>
          <w:sz w:val="24"/>
        </w:rPr>
        <w:t>第四章</w:t>
      </w:r>
      <w:r>
        <w:rPr>
          <w:rStyle w:val="61"/>
          <w:rFonts w:ascii="宋体" w:hAnsi="宋体"/>
          <w:color w:val="auto"/>
          <w:sz w:val="24"/>
        </w:rPr>
        <w:t xml:space="preserve"> </w:t>
      </w:r>
      <w:r>
        <w:rPr>
          <w:rStyle w:val="61"/>
          <w:rFonts w:hint="eastAsia" w:ascii="宋体" w:hAnsi="宋体"/>
          <w:color w:val="auto"/>
          <w:sz w:val="24"/>
        </w:rPr>
        <w:t>服务需求</w:t>
      </w:r>
      <w:r>
        <w:rPr>
          <w:rFonts w:ascii="宋体" w:hAnsi="宋体"/>
          <w:sz w:val="24"/>
        </w:rPr>
        <w:tab/>
      </w:r>
      <w:r>
        <w:rPr>
          <w:rFonts w:hint="eastAsia" w:ascii="宋体" w:hAnsi="宋体"/>
          <w:sz w:val="24"/>
        </w:rPr>
        <w:t>19</w:t>
      </w:r>
      <w:r>
        <w:rPr>
          <w:rFonts w:hint="eastAsia" w:ascii="宋体" w:hAnsi="宋体"/>
          <w:sz w:val="24"/>
        </w:rPr>
        <w:fldChar w:fldCharType="end"/>
      </w:r>
    </w:p>
    <w:p w14:paraId="05282A15">
      <w:pPr>
        <w:pStyle w:val="31"/>
        <w:tabs>
          <w:tab w:val="right" w:leader="dot" w:pos="8296"/>
        </w:tabs>
        <w:spacing w:line="440" w:lineRule="exact"/>
        <w:ind w:firstLine="402"/>
        <w:rPr>
          <w:rFonts w:ascii="宋体" w:hAnsi="宋体"/>
          <w:sz w:val="24"/>
        </w:rPr>
      </w:pPr>
      <w:r>
        <w:fldChar w:fldCharType="begin"/>
      </w:r>
      <w:r>
        <w:instrText xml:space="preserve"> HYPERLINK \l "_Toc58430329" </w:instrText>
      </w:r>
      <w:r>
        <w:fldChar w:fldCharType="separate"/>
      </w:r>
      <w:r>
        <w:rPr>
          <w:rStyle w:val="61"/>
          <w:rFonts w:hint="eastAsia" w:ascii="宋体" w:hAnsi="宋体"/>
          <w:color w:val="auto"/>
          <w:sz w:val="24"/>
        </w:rPr>
        <w:t>第五章</w:t>
      </w:r>
      <w:r>
        <w:rPr>
          <w:rStyle w:val="61"/>
          <w:rFonts w:ascii="宋体" w:hAnsi="宋体"/>
          <w:color w:val="auto"/>
          <w:sz w:val="24"/>
        </w:rPr>
        <w:t xml:space="preserve"> </w:t>
      </w:r>
      <w:r>
        <w:rPr>
          <w:rStyle w:val="61"/>
          <w:rFonts w:hint="eastAsia" w:ascii="宋体" w:hAnsi="宋体"/>
          <w:color w:val="auto"/>
          <w:sz w:val="24"/>
        </w:rPr>
        <w:t>合同条款及格式</w:t>
      </w:r>
      <w:r>
        <w:rPr>
          <w:rFonts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1</w:t>
      </w:r>
    </w:p>
    <w:p w14:paraId="48BD40AF">
      <w:pPr>
        <w:pStyle w:val="31"/>
        <w:tabs>
          <w:tab w:val="right" w:leader="dot" w:pos="8296"/>
        </w:tabs>
        <w:spacing w:line="440" w:lineRule="exact"/>
        <w:ind w:firstLine="402"/>
        <w:rPr>
          <w:rFonts w:ascii="宋体" w:hAnsi="宋体"/>
          <w:sz w:val="24"/>
        </w:rPr>
      </w:pPr>
      <w:r>
        <w:fldChar w:fldCharType="begin"/>
      </w:r>
      <w:r>
        <w:instrText xml:space="preserve"> HYPERLINK \l "_Toc58430332" </w:instrText>
      </w:r>
      <w:r>
        <w:fldChar w:fldCharType="separate"/>
      </w:r>
      <w:r>
        <w:rPr>
          <w:rStyle w:val="61"/>
          <w:rFonts w:hint="eastAsia" w:ascii="宋体" w:hAnsi="宋体"/>
          <w:color w:val="auto"/>
          <w:sz w:val="24"/>
        </w:rPr>
        <w:t>第六章</w:t>
      </w:r>
      <w:r>
        <w:rPr>
          <w:rStyle w:val="61"/>
          <w:rFonts w:ascii="宋体" w:hAnsi="宋体"/>
          <w:color w:val="auto"/>
          <w:sz w:val="24"/>
        </w:rPr>
        <w:t xml:space="preserve"> </w:t>
      </w:r>
      <w:r>
        <w:rPr>
          <w:rStyle w:val="61"/>
          <w:rFonts w:hint="eastAsia" w:ascii="宋体" w:hAnsi="宋体"/>
          <w:color w:val="auto"/>
          <w:sz w:val="24"/>
        </w:rPr>
        <w:t>投标文件格式</w:t>
      </w:r>
      <w:r>
        <w:rPr>
          <w:rFonts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8</w:t>
      </w:r>
    </w:p>
    <w:p w14:paraId="79D52938">
      <w:pPr>
        <w:pStyle w:val="31"/>
        <w:tabs>
          <w:tab w:val="right" w:leader="dot" w:pos="8296"/>
        </w:tabs>
        <w:spacing w:line="440" w:lineRule="exact"/>
        <w:ind w:firstLine="482"/>
        <w:rPr>
          <w:rStyle w:val="61"/>
          <w:rFonts w:ascii="宋体" w:hAnsi="宋体"/>
          <w:color w:val="auto"/>
          <w:sz w:val="24"/>
        </w:rPr>
      </w:pPr>
      <w:r>
        <w:rPr>
          <w:rStyle w:val="61"/>
          <w:rFonts w:hint="eastAsia" w:hAnsi="宋体"/>
          <w:color w:val="auto"/>
          <w:sz w:val="24"/>
        </w:rPr>
        <w:t>第七章 采购人、采购代理机构对本招标文件的确认</w:t>
      </w:r>
      <w:r>
        <w:rPr>
          <w:rFonts w:ascii="宋体" w:hAnsi="宋体"/>
          <w:sz w:val="24"/>
        </w:rPr>
        <w:tab/>
      </w:r>
      <w:r>
        <w:rPr>
          <w:rStyle w:val="61"/>
          <w:rFonts w:hint="eastAsia" w:hAnsi="宋体"/>
          <w:color w:val="auto"/>
          <w:sz w:val="24"/>
        </w:rPr>
        <w:t>40</w:t>
      </w:r>
    </w:p>
    <w:p w14:paraId="7D707CC0">
      <w:pPr>
        <w:rPr>
          <w:rFonts w:ascii="宋体" w:hAnsi="宋体" w:cs="宋体"/>
          <w:bCs/>
          <w:spacing w:val="20"/>
          <w:sz w:val="24"/>
        </w:rPr>
      </w:pPr>
      <w:r>
        <w:rPr>
          <w:rFonts w:hint="eastAsia" w:ascii="宋体" w:hAnsi="宋体" w:cs="宋体"/>
          <w:sz w:val="24"/>
        </w:rPr>
        <w:fldChar w:fldCharType="end"/>
      </w:r>
    </w:p>
    <w:p w14:paraId="51384C3F">
      <w:pPr>
        <w:rPr>
          <w:rFonts w:ascii="宋体" w:hAnsi="宋体" w:cs="宋体"/>
          <w:bCs/>
          <w:sz w:val="24"/>
        </w:rPr>
      </w:pPr>
    </w:p>
    <w:p w14:paraId="56E28916">
      <w:pPr>
        <w:rPr>
          <w:rFonts w:ascii="宋体" w:hAnsi="宋体" w:cs="宋体"/>
          <w:bCs/>
          <w:sz w:val="24"/>
        </w:rPr>
      </w:pPr>
    </w:p>
    <w:p w14:paraId="45261759">
      <w:pPr>
        <w:pStyle w:val="31"/>
        <w:tabs>
          <w:tab w:val="right" w:leader="dot" w:pos="9071"/>
        </w:tabs>
        <w:spacing w:line="360" w:lineRule="auto"/>
        <w:ind w:firstLine="400"/>
        <w:rPr>
          <w:rFonts w:ascii="宋体" w:hAnsi="宋体" w:cs="宋体"/>
          <w:b w:val="0"/>
          <w:szCs w:val="24"/>
        </w:rPr>
      </w:pPr>
    </w:p>
    <w:p w14:paraId="6C053A19">
      <w:pPr>
        <w:rPr>
          <w:rFonts w:ascii="宋体" w:hAnsi="宋体" w:cs="宋体"/>
          <w:bCs/>
          <w:sz w:val="24"/>
        </w:rPr>
      </w:pPr>
    </w:p>
    <w:p w14:paraId="030218BC">
      <w:pPr>
        <w:spacing w:before="156" w:beforeLines="50" w:after="156" w:afterLines="50"/>
        <w:ind w:firstLine="562"/>
        <w:jc w:val="center"/>
        <w:rPr>
          <w:rFonts w:ascii="宋体" w:hAnsi="宋体" w:cs="宋体"/>
          <w:b/>
          <w:sz w:val="32"/>
          <w:szCs w:val="32"/>
        </w:rPr>
        <w:sectPr>
          <w:footerReference r:id="rId5" w:type="first"/>
          <w:headerReference r:id="rId3" w:type="default"/>
          <w:footerReference r:id="rId4" w:type="default"/>
          <w:pgSz w:w="11907" w:h="16840"/>
          <w:pgMar w:top="1440" w:right="1080" w:bottom="1440" w:left="1080" w:header="680" w:footer="680" w:gutter="0"/>
          <w:cols w:space="720" w:num="1"/>
          <w:titlePg/>
          <w:docGrid w:type="lines" w:linePitch="312" w:charSpace="0"/>
        </w:sectPr>
      </w:pPr>
      <w:bookmarkStart w:id="4" w:name="_Toc20534"/>
      <w:r>
        <w:rPr>
          <w:rFonts w:hint="eastAsia" w:ascii="宋体"/>
          <w:b/>
          <w:sz w:val="28"/>
          <w:szCs w:val="28"/>
        </w:rPr>
        <w:br w:type="page"/>
      </w:r>
    </w:p>
    <w:p w14:paraId="01E7DEC6">
      <w:pPr>
        <w:spacing w:before="156" w:beforeLines="50" w:after="156" w:afterLines="50" w:line="560" w:lineRule="exact"/>
        <w:jc w:val="center"/>
        <w:outlineLvl w:val="0"/>
        <w:rPr>
          <w:rFonts w:ascii="宋体" w:hAnsi="宋体" w:cs="宋体"/>
          <w:sz w:val="32"/>
          <w:szCs w:val="32"/>
        </w:rPr>
      </w:pPr>
      <w:bookmarkStart w:id="5" w:name="_Toc58430304"/>
      <w:bookmarkStart w:id="6" w:name="_Toc32457"/>
      <w:bookmarkStart w:id="7" w:name="_Toc16307"/>
      <w:r>
        <w:rPr>
          <w:rFonts w:hint="eastAsia" w:ascii="宋体" w:hAnsi="宋体" w:cs="宋体"/>
          <w:b/>
          <w:bCs/>
          <w:kern w:val="44"/>
          <w:sz w:val="32"/>
          <w:szCs w:val="32"/>
        </w:rPr>
        <w:t>第一章</w:t>
      </w:r>
      <w:r>
        <w:rPr>
          <w:rFonts w:hint="eastAsia" w:ascii="宋体" w:hAnsi="宋体" w:cs="宋体"/>
          <w:b/>
          <w:sz w:val="32"/>
          <w:szCs w:val="32"/>
        </w:rPr>
        <w:t xml:space="preserve">  </w:t>
      </w:r>
      <w:r>
        <w:rPr>
          <w:rFonts w:hint="eastAsia" w:ascii="宋体" w:hAnsi="宋体" w:cs="宋体"/>
          <w:b/>
          <w:bCs/>
          <w:kern w:val="44"/>
          <w:sz w:val="32"/>
          <w:szCs w:val="32"/>
        </w:rPr>
        <w:t>滁州市第二人民医院电梯维保服务项目招标公告</w:t>
      </w:r>
      <w:bookmarkEnd w:id="5"/>
    </w:p>
    <w:p w14:paraId="4E04DBB4">
      <w:pPr>
        <w:spacing w:line="440" w:lineRule="exact"/>
        <w:ind w:firstLine="482" w:firstLineChars="200"/>
        <w:rPr>
          <w:rFonts w:ascii="宋体" w:hAnsi="宋体" w:cs="宋体"/>
          <w:b/>
          <w:bCs/>
          <w:sz w:val="24"/>
        </w:rPr>
      </w:pPr>
      <w:bookmarkStart w:id="8" w:name="_Toc28359079"/>
      <w:bookmarkStart w:id="9" w:name="_Toc28359002"/>
      <w:bookmarkStart w:id="10" w:name="_Toc35393621"/>
      <w:bookmarkStart w:id="11" w:name="_Toc35393790"/>
      <w:bookmarkStart w:id="12" w:name="_Toc58430305"/>
      <w:bookmarkStart w:id="13" w:name="_Hlk24379207"/>
      <w:r>
        <w:rPr>
          <w:rFonts w:hint="eastAsia" w:ascii="宋体" w:hAnsi="宋体" w:cs="宋体"/>
          <w:b/>
          <w:bCs/>
          <w:sz w:val="24"/>
        </w:rPr>
        <w:t>一、项目基本情况</w:t>
      </w:r>
      <w:bookmarkEnd w:id="8"/>
      <w:bookmarkEnd w:id="9"/>
      <w:bookmarkEnd w:id="10"/>
      <w:bookmarkEnd w:id="11"/>
      <w:bookmarkEnd w:id="12"/>
    </w:p>
    <w:p w14:paraId="44EA78D0">
      <w:pPr>
        <w:spacing w:line="440" w:lineRule="exact"/>
        <w:ind w:firstLine="480" w:firstLineChars="200"/>
        <w:rPr>
          <w:rFonts w:ascii="宋体" w:hAnsi="宋体" w:cs="宋体"/>
          <w:sz w:val="24"/>
        </w:rPr>
      </w:pPr>
      <w:r>
        <w:rPr>
          <w:rFonts w:hint="eastAsia" w:ascii="宋体" w:hAnsi="宋体" w:cs="宋体"/>
          <w:sz w:val="24"/>
        </w:rPr>
        <w:t>项目名称：滁州市第二人民医院电梯维保服务项目</w:t>
      </w:r>
    </w:p>
    <w:p w14:paraId="5A3CEA84">
      <w:pPr>
        <w:spacing w:line="440" w:lineRule="exact"/>
        <w:ind w:firstLine="480" w:firstLineChars="200"/>
        <w:rPr>
          <w:rFonts w:ascii="宋体" w:hAnsi="宋体" w:cs="宋体"/>
          <w:sz w:val="24"/>
        </w:rPr>
      </w:pPr>
      <w:r>
        <w:rPr>
          <w:rFonts w:hint="eastAsia" w:ascii="宋体" w:hAnsi="宋体" w:cs="宋体"/>
          <w:sz w:val="24"/>
        </w:rPr>
        <w:t>项目编号：CZEY-2024032</w:t>
      </w:r>
    </w:p>
    <w:bookmarkEnd w:id="13"/>
    <w:p w14:paraId="300F402B">
      <w:pPr>
        <w:spacing w:line="440" w:lineRule="exact"/>
        <w:ind w:firstLine="480" w:firstLineChars="200"/>
        <w:rPr>
          <w:rFonts w:ascii="宋体" w:hAnsi="宋体" w:cs="宋体"/>
          <w:sz w:val="24"/>
        </w:rPr>
      </w:pPr>
      <w:r>
        <w:rPr>
          <w:rFonts w:hint="eastAsia" w:ascii="宋体" w:hAnsi="宋体" w:cs="宋体"/>
          <w:sz w:val="24"/>
        </w:rPr>
        <w:t>预算金额：81000元/年</w:t>
      </w:r>
    </w:p>
    <w:p w14:paraId="48174212">
      <w:pPr>
        <w:spacing w:line="440" w:lineRule="exact"/>
        <w:ind w:firstLine="482" w:firstLineChars="200"/>
        <w:rPr>
          <w:rFonts w:ascii="宋体" w:hAnsi="宋体" w:cs="宋体"/>
          <w:b/>
          <w:bCs/>
          <w:sz w:val="24"/>
        </w:rPr>
      </w:pPr>
      <w:r>
        <w:rPr>
          <w:rFonts w:hint="eastAsia" w:ascii="宋体" w:hAnsi="宋体" w:cs="宋体"/>
          <w:b/>
          <w:bCs/>
          <w:sz w:val="24"/>
        </w:rPr>
        <w:t>最高限价：4500元/台/年，81000元/年，投标人报价高于此限价的，其投标文件按无效标处理（小于等于此报价的为有效报价）</w:t>
      </w:r>
    </w:p>
    <w:p w14:paraId="103CBED3">
      <w:pPr>
        <w:spacing w:line="460" w:lineRule="exact"/>
        <w:ind w:firstLine="480" w:firstLineChars="200"/>
        <w:rPr>
          <w:rFonts w:ascii="宋体" w:hAnsi="宋体" w:cs="宋体"/>
          <w:sz w:val="24"/>
        </w:rPr>
      </w:pPr>
      <w:r>
        <w:rPr>
          <w:rFonts w:hint="eastAsia" w:ascii="宋体" w:hAnsi="宋体" w:cs="宋体"/>
          <w:sz w:val="24"/>
        </w:rPr>
        <w:t>采购需求：共18台电梯维保服务，具体详见采购需求及服务要求。</w:t>
      </w:r>
    </w:p>
    <w:p w14:paraId="237CE6B0">
      <w:pPr>
        <w:spacing w:line="440" w:lineRule="exact"/>
        <w:ind w:firstLine="480" w:firstLineChars="200"/>
        <w:rPr>
          <w:rFonts w:ascii="宋体" w:hAnsi="宋体" w:cs="宋体"/>
          <w:sz w:val="24"/>
        </w:rPr>
      </w:pPr>
      <w:r>
        <w:rPr>
          <w:rFonts w:hint="eastAsia" w:ascii="宋体" w:hAnsi="宋体" w:cs="宋体"/>
          <w:sz w:val="24"/>
        </w:rPr>
        <w:t>服务期限：三年（合同一年一签）。</w:t>
      </w:r>
    </w:p>
    <w:p w14:paraId="5D42A384">
      <w:pPr>
        <w:spacing w:line="440" w:lineRule="exact"/>
        <w:ind w:firstLine="480" w:firstLineChars="200"/>
        <w:rPr>
          <w:rFonts w:ascii="宋体" w:hAnsi="宋体" w:cs="宋体"/>
          <w:sz w:val="24"/>
        </w:rPr>
      </w:pPr>
      <w:r>
        <w:rPr>
          <w:rFonts w:hint="eastAsia" w:ascii="宋体" w:hAnsi="宋体" w:cs="宋体"/>
          <w:sz w:val="24"/>
        </w:rPr>
        <w:t>本项目不接受联合体投标。</w:t>
      </w:r>
    </w:p>
    <w:p w14:paraId="1F949A93">
      <w:pPr>
        <w:spacing w:line="440" w:lineRule="exact"/>
        <w:ind w:firstLine="482" w:firstLineChars="200"/>
        <w:rPr>
          <w:rFonts w:ascii="宋体" w:hAnsi="宋体" w:cs="宋体"/>
          <w:b/>
          <w:bCs/>
          <w:sz w:val="24"/>
        </w:rPr>
      </w:pPr>
      <w:bookmarkStart w:id="14" w:name="_Toc28359080"/>
      <w:bookmarkStart w:id="15" w:name="_Toc58430306"/>
      <w:bookmarkStart w:id="16" w:name="_Toc28359003"/>
      <w:bookmarkStart w:id="17" w:name="_Toc35393622"/>
      <w:bookmarkStart w:id="18" w:name="_Toc35393791"/>
      <w:r>
        <w:rPr>
          <w:rFonts w:hint="eastAsia" w:ascii="宋体" w:hAnsi="宋体" w:cs="宋体"/>
          <w:b/>
          <w:bCs/>
          <w:sz w:val="24"/>
        </w:rPr>
        <w:t>二、申请人的资格要求</w:t>
      </w:r>
      <w:bookmarkEnd w:id="14"/>
      <w:bookmarkEnd w:id="15"/>
      <w:bookmarkEnd w:id="16"/>
      <w:bookmarkEnd w:id="17"/>
      <w:bookmarkEnd w:id="18"/>
    </w:p>
    <w:p w14:paraId="2F70731F">
      <w:pPr>
        <w:spacing w:line="440" w:lineRule="exact"/>
        <w:ind w:firstLine="480" w:firstLineChars="200"/>
        <w:rPr>
          <w:rFonts w:ascii="宋体" w:hAnsi="宋体" w:cs="宋体"/>
          <w:sz w:val="24"/>
        </w:rPr>
      </w:pPr>
      <w:bookmarkStart w:id="19" w:name="_Toc28359081"/>
      <w:bookmarkStart w:id="20" w:name="_Toc28359004"/>
      <w:r>
        <w:rPr>
          <w:rFonts w:hint="eastAsia" w:ascii="宋体" w:hAnsi="宋体" w:cs="宋体"/>
          <w:sz w:val="24"/>
        </w:rPr>
        <w:t>1.满足《中华人民共和国政府采购法》第二十二条规定；</w:t>
      </w:r>
    </w:p>
    <w:p w14:paraId="61C2C9C8">
      <w:pPr>
        <w:spacing w:line="440" w:lineRule="exact"/>
        <w:ind w:firstLine="480" w:firstLineChars="200"/>
        <w:rPr>
          <w:rFonts w:ascii="宋体" w:hAnsi="宋体" w:cs="宋体"/>
          <w:sz w:val="24"/>
        </w:rPr>
      </w:pPr>
      <w:r>
        <w:rPr>
          <w:rFonts w:hint="eastAsia" w:ascii="宋体" w:hAnsi="宋体" w:cs="宋体"/>
          <w:sz w:val="24"/>
        </w:rPr>
        <w:t>2.落实政府采购政策需满足的资格要求：无</w:t>
      </w:r>
    </w:p>
    <w:p w14:paraId="5C591007">
      <w:pPr>
        <w:spacing w:line="440" w:lineRule="exact"/>
        <w:ind w:firstLine="480" w:firstLineChars="200"/>
        <w:rPr>
          <w:rFonts w:ascii="宋体" w:hAnsi="宋体" w:cs="宋体"/>
          <w:sz w:val="24"/>
        </w:rPr>
      </w:pPr>
      <w:r>
        <w:rPr>
          <w:rFonts w:hint="eastAsia" w:ascii="宋体" w:hAnsi="宋体" w:cs="宋体"/>
          <w:sz w:val="24"/>
        </w:rPr>
        <w:t>3.本项目的特定资格要求：</w:t>
      </w:r>
      <w:r>
        <w:rPr>
          <w:rFonts w:hint="eastAsia" w:ascii="宋体" w:hAnsi="宋体" w:cs="宋体"/>
          <w:sz w:val="24"/>
          <w:u w:val="single"/>
        </w:rPr>
        <w:t>①具有独立承担民事责任的能力；②具有《特种设备安装改造维修许可证》（电梯）或《特种设备生产许可证》（电梯）含修理</w:t>
      </w:r>
      <w:r>
        <w:rPr>
          <w:rFonts w:hint="eastAsia" w:ascii="宋体" w:hAnsi="宋体" w:cs="宋体"/>
          <w:sz w:val="24"/>
        </w:rPr>
        <w:t>；</w:t>
      </w:r>
    </w:p>
    <w:p w14:paraId="24940F23">
      <w:pPr>
        <w:spacing w:line="440" w:lineRule="exact"/>
        <w:ind w:firstLine="480" w:firstLineChars="200"/>
        <w:rPr>
          <w:rFonts w:ascii="宋体" w:hAnsi="宋体" w:cs="宋体"/>
          <w:sz w:val="24"/>
        </w:rPr>
      </w:pPr>
      <w:r>
        <w:rPr>
          <w:rFonts w:hint="eastAsia" w:ascii="宋体" w:hAnsi="宋体" w:cs="宋体"/>
          <w:sz w:val="24"/>
        </w:rPr>
        <w:t>4.信誉要求：投标人不得存在以下情形：</w:t>
      </w:r>
    </w:p>
    <w:p w14:paraId="2A2C0C88">
      <w:pPr>
        <w:spacing w:line="440" w:lineRule="exact"/>
        <w:ind w:firstLine="480" w:firstLineChars="200"/>
        <w:rPr>
          <w:rFonts w:ascii="宋体" w:hAnsi="宋体" w:cs="宋体"/>
          <w:sz w:val="24"/>
        </w:rPr>
      </w:pPr>
      <w:r>
        <w:rPr>
          <w:rFonts w:hint="eastAsia" w:ascii="宋体" w:hAnsi="宋体" w:cs="宋体"/>
          <w:sz w:val="24"/>
        </w:rPr>
        <w:t>①投标人被人民法院列入失信被执行人的；</w:t>
      </w:r>
    </w:p>
    <w:p w14:paraId="7B302502">
      <w:pPr>
        <w:spacing w:line="440" w:lineRule="exact"/>
        <w:ind w:firstLine="480" w:firstLineChars="200"/>
        <w:rPr>
          <w:rFonts w:ascii="宋体" w:hAnsi="宋体" w:cs="宋体"/>
          <w:sz w:val="24"/>
        </w:rPr>
      </w:pPr>
      <w:r>
        <w:rPr>
          <w:rFonts w:hint="eastAsia" w:ascii="宋体" w:hAnsi="宋体" w:cs="宋体"/>
          <w:sz w:val="24"/>
        </w:rPr>
        <w:t>②投标人或其法定代表人或拟派项目负责人前三年有行贿犯罪行为的；</w:t>
      </w:r>
    </w:p>
    <w:p w14:paraId="48DF6BF1">
      <w:pPr>
        <w:spacing w:line="440" w:lineRule="exact"/>
        <w:ind w:firstLine="480" w:firstLineChars="200"/>
        <w:rPr>
          <w:rFonts w:ascii="宋体" w:hAnsi="宋体" w:cs="宋体"/>
          <w:sz w:val="24"/>
        </w:rPr>
      </w:pPr>
      <w:r>
        <w:rPr>
          <w:rFonts w:hint="eastAsia" w:ascii="宋体" w:hAnsi="宋体" w:cs="宋体"/>
          <w:sz w:val="24"/>
        </w:rPr>
        <w:t>③投标人被市场监督管理部门列入经营异常名录或者严重违法企业名单的；</w:t>
      </w:r>
    </w:p>
    <w:p w14:paraId="182A8F5E">
      <w:pPr>
        <w:spacing w:line="440" w:lineRule="exact"/>
        <w:ind w:firstLine="480" w:firstLineChars="200"/>
        <w:rPr>
          <w:rFonts w:ascii="宋体" w:hAnsi="宋体" w:cs="宋体"/>
          <w:sz w:val="24"/>
        </w:rPr>
      </w:pPr>
      <w:r>
        <w:rPr>
          <w:rFonts w:hint="eastAsia" w:ascii="宋体" w:hAnsi="宋体" w:cs="宋体"/>
          <w:sz w:val="24"/>
        </w:rPr>
        <w:t>④投标人被税务部门列入重大税收违法案件当事人的；</w:t>
      </w:r>
    </w:p>
    <w:p w14:paraId="47FF9688">
      <w:pPr>
        <w:spacing w:line="440" w:lineRule="exact"/>
        <w:ind w:firstLine="480" w:firstLineChars="200"/>
        <w:rPr>
          <w:rFonts w:ascii="宋体" w:hAnsi="宋体" w:cs="宋体"/>
          <w:sz w:val="24"/>
        </w:rPr>
      </w:pPr>
      <w:r>
        <w:rPr>
          <w:rFonts w:hint="eastAsia" w:ascii="宋体" w:hAnsi="宋体" w:cs="宋体"/>
          <w:sz w:val="24"/>
        </w:rPr>
        <w:t>⑤在“信用中国”网站上披露仍在公示期的严重失信行为的。</w:t>
      </w:r>
    </w:p>
    <w:p w14:paraId="3C6EDDF8">
      <w:pPr>
        <w:spacing w:line="440" w:lineRule="exact"/>
        <w:ind w:firstLine="480" w:firstLineChars="200"/>
        <w:rPr>
          <w:rFonts w:ascii="宋体" w:hAnsi="宋体" w:cs="宋体"/>
          <w:sz w:val="24"/>
        </w:rPr>
      </w:pPr>
      <w:r>
        <w:rPr>
          <w:rFonts w:hint="eastAsia" w:ascii="宋体" w:hAnsi="宋体" w:cs="宋体"/>
          <w:sz w:val="24"/>
        </w:rPr>
        <w:t>5.投标人所属分公司、办事处等分支机构存在第4款信誉要求①-⑤项情形之一的，接受投标人参加本项目。</w:t>
      </w:r>
    </w:p>
    <w:p w14:paraId="3CBE53A7">
      <w:pPr>
        <w:spacing w:line="440" w:lineRule="exact"/>
        <w:ind w:firstLine="480" w:firstLineChars="200"/>
        <w:rPr>
          <w:rFonts w:ascii="宋体" w:hAnsi="宋体" w:cs="宋体"/>
          <w:sz w:val="24"/>
        </w:rPr>
      </w:pPr>
      <w:r>
        <w:rPr>
          <w:rFonts w:hint="eastAsia" w:ascii="宋体" w:hAnsi="宋体" w:cs="宋体"/>
          <w:sz w:val="24"/>
        </w:rPr>
        <w:t>备注：第3、4条自行查询或承诺。</w:t>
      </w:r>
    </w:p>
    <w:bookmarkEnd w:id="19"/>
    <w:bookmarkEnd w:id="20"/>
    <w:p w14:paraId="3C031E5D">
      <w:pPr>
        <w:spacing w:line="440" w:lineRule="exact"/>
        <w:ind w:firstLine="482" w:firstLineChars="200"/>
        <w:rPr>
          <w:rFonts w:ascii="宋体" w:hAnsi="宋体" w:cs="宋体"/>
          <w:b/>
          <w:bCs/>
          <w:sz w:val="24"/>
        </w:rPr>
      </w:pPr>
      <w:bookmarkStart w:id="21" w:name="_Toc28359007"/>
      <w:bookmarkStart w:id="22" w:name="_Toc35393625"/>
      <w:bookmarkStart w:id="23" w:name="_Toc28359084"/>
      <w:bookmarkStart w:id="24" w:name="_Toc58430309"/>
      <w:bookmarkStart w:id="25" w:name="_Toc35393794"/>
      <w:r>
        <w:rPr>
          <w:rFonts w:hint="eastAsia" w:ascii="宋体" w:hAnsi="宋体" w:cs="宋体"/>
          <w:b/>
          <w:bCs/>
          <w:sz w:val="24"/>
        </w:rPr>
        <w:t>三、招标公告发布时间及文件领取方式：</w:t>
      </w:r>
    </w:p>
    <w:p w14:paraId="5C568E3B">
      <w:pPr>
        <w:spacing w:line="440" w:lineRule="exact"/>
        <w:ind w:firstLine="480" w:firstLineChars="200"/>
        <w:rPr>
          <w:rFonts w:ascii="宋体" w:hAnsi="宋体" w:cs="宋体"/>
          <w:sz w:val="24"/>
        </w:rPr>
      </w:pPr>
      <w:r>
        <w:rPr>
          <w:rFonts w:hint="eastAsia" w:ascii="宋体" w:hAnsi="宋体" w:cs="宋体"/>
          <w:sz w:val="24"/>
        </w:rPr>
        <w:t>发布时间：2024年</w:t>
      </w:r>
      <w:r>
        <w:rPr>
          <w:rFonts w:ascii="宋体" w:hAnsi="宋体" w:cs="宋体"/>
          <w:sz w:val="24"/>
        </w:rPr>
        <w:t>8</w:t>
      </w:r>
      <w:r>
        <w:rPr>
          <w:rFonts w:hint="eastAsia" w:ascii="宋体" w:hAnsi="宋体" w:cs="宋体"/>
          <w:sz w:val="24"/>
        </w:rPr>
        <w:t>月</w:t>
      </w:r>
      <w:r>
        <w:rPr>
          <w:rFonts w:hint="eastAsia" w:ascii="宋体" w:hAnsi="宋体" w:cs="宋体"/>
          <w:sz w:val="24"/>
          <w:lang w:val="en-US" w:eastAsia="zh-CN"/>
        </w:rPr>
        <w:t>02</w:t>
      </w:r>
      <w:r>
        <w:rPr>
          <w:rFonts w:hint="eastAsia" w:ascii="宋体" w:hAnsi="宋体" w:cs="宋体"/>
          <w:sz w:val="24"/>
        </w:rPr>
        <w:t>日12时后</w:t>
      </w:r>
    </w:p>
    <w:p w14:paraId="25A021F4">
      <w:pPr>
        <w:spacing w:line="440" w:lineRule="exact"/>
        <w:ind w:firstLine="480" w:firstLineChars="200"/>
        <w:rPr>
          <w:rFonts w:ascii="宋体" w:hAnsi="宋体" w:cs="宋体"/>
          <w:sz w:val="24"/>
        </w:rPr>
      </w:pPr>
      <w:r>
        <w:rPr>
          <w:rFonts w:hint="eastAsia" w:ascii="宋体" w:hAnsi="宋体" w:cs="宋体"/>
          <w:sz w:val="24"/>
        </w:rPr>
        <w:t>领取方式：滁州市第二人民医院官网，自行下载</w:t>
      </w:r>
    </w:p>
    <w:p w14:paraId="5804F530">
      <w:pPr>
        <w:spacing w:line="440" w:lineRule="exact"/>
        <w:ind w:firstLine="482" w:firstLineChars="200"/>
        <w:rPr>
          <w:rFonts w:ascii="宋体" w:hAnsi="宋体" w:cs="宋体"/>
          <w:b/>
          <w:bCs/>
          <w:sz w:val="24"/>
        </w:rPr>
      </w:pPr>
      <w:bookmarkStart w:id="26" w:name="_Toc28359082"/>
      <w:bookmarkStart w:id="27" w:name="_Toc28359005"/>
      <w:bookmarkStart w:id="28" w:name="_Toc35393793"/>
      <w:bookmarkStart w:id="29" w:name="_Toc58430308"/>
      <w:bookmarkStart w:id="30" w:name="_Toc35393624"/>
      <w:r>
        <w:rPr>
          <w:rFonts w:hint="eastAsia" w:ascii="宋体" w:hAnsi="宋体" w:cs="宋体"/>
          <w:b/>
          <w:bCs/>
          <w:sz w:val="24"/>
        </w:rPr>
        <w:t>四、投标文件递交</w:t>
      </w:r>
      <w:bookmarkEnd w:id="26"/>
      <w:bookmarkEnd w:id="27"/>
      <w:r>
        <w:rPr>
          <w:rFonts w:hint="eastAsia" w:ascii="宋体" w:hAnsi="宋体" w:cs="宋体"/>
          <w:b/>
          <w:bCs/>
          <w:sz w:val="24"/>
        </w:rPr>
        <w:t>截止时间、开标时间和地点</w:t>
      </w:r>
      <w:bookmarkEnd w:id="28"/>
      <w:bookmarkEnd w:id="29"/>
      <w:bookmarkEnd w:id="30"/>
    </w:p>
    <w:p w14:paraId="0863A38D">
      <w:pPr>
        <w:spacing w:line="440" w:lineRule="exact"/>
        <w:ind w:firstLine="482" w:firstLineChars="200"/>
        <w:rPr>
          <w:rFonts w:ascii="宋体" w:hAnsi="宋体" w:cs="宋体"/>
          <w:b/>
          <w:bCs/>
          <w:sz w:val="24"/>
        </w:rPr>
      </w:pPr>
      <w:r>
        <w:rPr>
          <w:rFonts w:hint="eastAsia" w:ascii="宋体" w:hAnsi="宋体" w:cs="宋体"/>
          <w:b/>
          <w:bCs/>
          <w:sz w:val="24"/>
        </w:rPr>
        <w:t>2024年8月</w:t>
      </w:r>
      <w:r>
        <w:rPr>
          <w:rFonts w:hint="eastAsia" w:ascii="宋体" w:hAnsi="宋体" w:cs="宋体"/>
          <w:b/>
          <w:bCs/>
          <w:sz w:val="24"/>
          <w:lang w:val="en-US" w:eastAsia="zh-CN"/>
        </w:rPr>
        <w:t>08</w:t>
      </w:r>
      <w:r>
        <w:rPr>
          <w:rFonts w:hint="eastAsia" w:ascii="宋体" w:hAnsi="宋体" w:cs="宋体"/>
          <w:b/>
          <w:bCs/>
          <w:sz w:val="24"/>
        </w:rPr>
        <w:t>日11时30分前(北京时间)</w:t>
      </w:r>
    </w:p>
    <w:p w14:paraId="108F163E">
      <w:pPr>
        <w:spacing w:line="440" w:lineRule="exact"/>
        <w:ind w:firstLine="480" w:firstLineChars="200"/>
        <w:rPr>
          <w:rFonts w:ascii="宋体" w:hAnsi="宋体" w:cs="宋体"/>
          <w:sz w:val="24"/>
        </w:rPr>
      </w:pPr>
      <w:r>
        <w:rPr>
          <w:rFonts w:hint="eastAsia" w:ascii="宋体" w:hAnsi="宋体" w:cs="宋体"/>
          <w:sz w:val="24"/>
        </w:rPr>
        <w:t>注：各投标人可以采用直接送达或邮寄的方式，递交时间以直接送达或快递送达的时间为准，逾期不予接收。</w:t>
      </w:r>
    </w:p>
    <w:p w14:paraId="74CAFAB6">
      <w:pPr>
        <w:spacing w:line="440" w:lineRule="exact"/>
        <w:ind w:firstLine="480" w:firstLineChars="200"/>
        <w:rPr>
          <w:rFonts w:ascii="宋体" w:hAnsi="宋体" w:cs="宋体"/>
          <w:sz w:val="24"/>
        </w:rPr>
      </w:pPr>
      <w:r>
        <w:rPr>
          <w:rFonts w:hint="eastAsia" w:ascii="宋体" w:hAnsi="宋体" w:cs="宋体"/>
          <w:sz w:val="24"/>
        </w:rPr>
        <w:t>地点：滁州市第二人民医院西区至善楼三楼第三会议室</w:t>
      </w:r>
    </w:p>
    <w:p w14:paraId="52421C83">
      <w:pPr>
        <w:spacing w:line="440" w:lineRule="exact"/>
        <w:ind w:firstLine="482" w:firstLineChars="200"/>
        <w:rPr>
          <w:rFonts w:ascii="宋体" w:hAnsi="宋体" w:cs="宋体"/>
          <w:b/>
          <w:bCs/>
          <w:sz w:val="24"/>
        </w:rPr>
      </w:pPr>
      <w:r>
        <w:rPr>
          <w:rFonts w:hint="eastAsia" w:ascii="宋体" w:hAnsi="宋体" w:cs="宋体"/>
          <w:b/>
          <w:bCs/>
          <w:sz w:val="24"/>
        </w:rPr>
        <w:t>五、公告期限</w:t>
      </w:r>
      <w:bookmarkEnd w:id="21"/>
      <w:bookmarkEnd w:id="22"/>
      <w:bookmarkEnd w:id="23"/>
      <w:bookmarkEnd w:id="24"/>
      <w:bookmarkEnd w:id="25"/>
    </w:p>
    <w:p w14:paraId="4A544A7A">
      <w:pPr>
        <w:spacing w:line="440" w:lineRule="exact"/>
        <w:ind w:firstLine="480" w:firstLineChars="200"/>
        <w:rPr>
          <w:rFonts w:ascii="宋体" w:hAnsi="宋体" w:cs="宋体"/>
          <w:sz w:val="24"/>
        </w:rPr>
      </w:pPr>
      <w:r>
        <w:rPr>
          <w:rFonts w:hint="eastAsia" w:ascii="宋体" w:hAnsi="宋体" w:cs="宋体"/>
          <w:sz w:val="24"/>
        </w:rPr>
        <w:t>自本公告发布之日起5个工作日。</w:t>
      </w:r>
    </w:p>
    <w:p w14:paraId="0F77C0FD">
      <w:pPr>
        <w:spacing w:line="440" w:lineRule="exact"/>
        <w:ind w:firstLine="482" w:firstLineChars="200"/>
        <w:rPr>
          <w:rFonts w:ascii="宋体" w:hAnsi="宋体" w:cs="宋体"/>
          <w:b/>
          <w:bCs/>
          <w:sz w:val="24"/>
        </w:rPr>
      </w:pPr>
      <w:r>
        <w:rPr>
          <w:rFonts w:hint="eastAsia" w:ascii="宋体" w:hAnsi="宋体" w:cs="宋体"/>
          <w:b/>
          <w:bCs/>
          <w:sz w:val="24"/>
        </w:rPr>
        <w:t>六、投标保证金金额及缴纳账户</w:t>
      </w:r>
    </w:p>
    <w:p w14:paraId="10F25B84">
      <w:pPr>
        <w:spacing w:line="440" w:lineRule="exact"/>
        <w:ind w:firstLine="480" w:firstLineChars="200"/>
        <w:rPr>
          <w:rFonts w:ascii="宋体" w:hAnsi="宋体" w:cs="宋体"/>
          <w:sz w:val="24"/>
        </w:rPr>
      </w:pPr>
      <w:bookmarkStart w:id="31" w:name="_Toc58430312"/>
      <w:r>
        <w:rPr>
          <w:rFonts w:hint="eastAsia" w:ascii="宋体" w:hAnsi="宋体" w:cs="宋体"/>
          <w:sz w:val="24"/>
        </w:rPr>
        <w:t>不要求</w:t>
      </w:r>
    </w:p>
    <w:p w14:paraId="478F6769">
      <w:pPr>
        <w:spacing w:line="440" w:lineRule="exact"/>
        <w:ind w:firstLine="482" w:firstLineChars="200"/>
        <w:rPr>
          <w:rFonts w:ascii="宋体" w:hAnsi="宋体" w:cs="宋体"/>
          <w:b/>
          <w:bCs/>
          <w:sz w:val="24"/>
        </w:rPr>
      </w:pPr>
      <w:r>
        <w:rPr>
          <w:rFonts w:hint="eastAsia" w:ascii="宋体" w:hAnsi="宋体" w:cs="宋体"/>
          <w:b/>
          <w:bCs/>
          <w:sz w:val="24"/>
        </w:rPr>
        <w:t>七、对本次招标提出询问，请按以下方式联系</w:t>
      </w:r>
      <w:bookmarkEnd w:id="31"/>
    </w:p>
    <w:p w14:paraId="2D1F6CB3">
      <w:pPr>
        <w:spacing w:line="440" w:lineRule="exact"/>
        <w:ind w:firstLine="480" w:firstLineChars="200"/>
        <w:rPr>
          <w:rFonts w:ascii="宋体" w:hAnsi="宋体" w:cs="宋体"/>
          <w:sz w:val="24"/>
        </w:rPr>
      </w:pPr>
      <w:r>
        <w:rPr>
          <w:rFonts w:hint="eastAsia" w:ascii="宋体" w:hAnsi="宋体" w:cs="宋体"/>
          <w:sz w:val="24"/>
        </w:rPr>
        <w:t>1.采购人信息</w:t>
      </w:r>
    </w:p>
    <w:p w14:paraId="7308BB56">
      <w:pPr>
        <w:spacing w:line="440" w:lineRule="exact"/>
        <w:ind w:firstLine="480" w:firstLineChars="200"/>
        <w:rPr>
          <w:rFonts w:ascii="宋体" w:hAnsi="宋体" w:cs="宋体"/>
          <w:sz w:val="24"/>
        </w:rPr>
      </w:pPr>
      <w:r>
        <w:rPr>
          <w:rFonts w:hint="eastAsia" w:ascii="宋体" w:hAnsi="宋体" w:cs="宋体"/>
          <w:sz w:val="24"/>
        </w:rPr>
        <w:t>名    称：滁州市第二人民医院（市传染病医院、市精神病医院）</w:t>
      </w:r>
    </w:p>
    <w:p w14:paraId="1C21C7E9">
      <w:pPr>
        <w:spacing w:line="440" w:lineRule="exact"/>
        <w:ind w:firstLine="480" w:firstLineChars="200"/>
        <w:rPr>
          <w:rFonts w:ascii="宋体" w:hAnsi="宋体" w:cs="宋体"/>
          <w:sz w:val="24"/>
        </w:rPr>
      </w:pPr>
      <w:r>
        <w:rPr>
          <w:rFonts w:hint="eastAsia" w:ascii="宋体" w:hAnsi="宋体" w:cs="宋体"/>
          <w:sz w:val="24"/>
        </w:rPr>
        <w:t>地    址：滁州市清流中路1401号</w:t>
      </w:r>
    </w:p>
    <w:p w14:paraId="72B44E85">
      <w:pPr>
        <w:spacing w:line="440" w:lineRule="exact"/>
        <w:ind w:firstLine="480" w:firstLineChars="200"/>
        <w:rPr>
          <w:rFonts w:ascii="宋体" w:hAnsi="宋体" w:cs="宋体"/>
          <w:sz w:val="24"/>
        </w:rPr>
      </w:pPr>
      <w:r>
        <w:rPr>
          <w:rFonts w:hint="eastAsia" w:ascii="宋体" w:hAnsi="宋体" w:cs="宋体"/>
          <w:sz w:val="24"/>
        </w:rPr>
        <w:t>联系方式：</w:t>
      </w:r>
      <w:bookmarkStart w:id="32" w:name="_Toc28359086"/>
      <w:bookmarkStart w:id="33" w:name="_Toc28359009"/>
      <w:r>
        <w:rPr>
          <w:rFonts w:hint="eastAsia" w:ascii="宋体" w:hAnsi="宋体" w:cs="宋体"/>
          <w:sz w:val="24"/>
        </w:rPr>
        <w:t xml:space="preserve">招标办0550-3523822 </w:t>
      </w:r>
    </w:p>
    <w:p w14:paraId="06B7CF3B">
      <w:pPr>
        <w:spacing w:line="440" w:lineRule="exact"/>
        <w:ind w:firstLine="480" w:firstLineChars="200"/>
        <w:rPr>
          <w:rFonts w:ascii="宋体" w:hAnsi="宋体" w:cs="宋体"/>
          <w:sz w:val="24"/>
        </w:rPr>
      </w:pPr>
      <w:r>
        <w:rPr>
          <w:rFonts w:hint="eastAsia" w:ascii="宋体" w:hAnsi="宋体" w:cs="宋体"/>
          <w:sz w:val="24"/>
        </w:rPr>
        <w:t>2.采购代理机构信息</w:t>
      </w:r>
      <w:bookmarkEnd w:id="32"/>
      <w:bookmarkEnd w:id="33"/>
    </w:p>
    <w:p w14:paraId="63AF419A">
      <w:pPr>
        <w:spacing w:line="440" w:lineRule="exact"/>
        <w:ind w:firstLine="480" w:firstLineChars="200"/>
        <w:rPr>
          <w:rFonts w:ascii="宋体" w:hAnsi="宋体" w:cs="宋体"/>
          <w:sz w:val="24"/>
        </w:rPr>
      </w:pPr>
      <w:r>
        <w:rPr>
          <w:rFonts w:hint="eastAsia" w:ascii="宋体" w:hAnsi="宋体" w:cs="宋体"/>
          <w:sz w:val="24"/>
        </w:rPr>
        <w:t>名    称：江苏川页工程项目管理有限公司</w:t>
      </w:r>
    </w:p>
    <w:p w14:paraId="2ED677F6">
      <w:pPr>
        <w:spacing w:line="440" w:lineRule="exact"/>
        <w:ind w:firstLine="480" w:firstLineChars="200"/>
        <w:rPr>
          <w:rFonts w:ascii="宋体" w:hAnsi="宋体" w:cs="宋体"/>
          <w:sz w:val="24"/>
        </w:rPr>
      </w:pPr>
      <w:r>
        <w:rPr>
          <w:rFonts w:hint="eastAsia" w:ascii="宋体" w:hAnsi="宋体" w:cs="宋体"/>
          <w:sz w:val="24"/>
        </w:rPr>
        <w:t>地  　址：滁州市世贸大厦A座18楼1818室</w:t>
      </w:r>
    </w:p>
    <w:p w14:paraId="15E8AEA0">
      <w:pPr>
        <w:spacing w:line="440" w:lineRule="exact"/>
        <w:ind w:firstLine="480" w:firstLineChars="200"/>
        <w:rPr>
          <w:rFonts w:ascii="宋体" w:hAnsi="宋体" w:cs="宋体"/>
          <w:sz w:val="24"/>
        </w:rPr>
      </w:pPr>
      <w:r>
        <w:rPr>
          <w:rFonts w:hint="eastAsia" w:ascii="宋体" w:hAnsi="宋体" w:cs="宋体"/>
          <w:sz w:val="24"/>
        </w:rPr>
        <w:t>联系方式：</w:t>
      </w:r>
      <w:bookmarkStart w:id="34" w:name="_Toc28359010"/>
      <w:bookmarkStart w:id="35" w:name="_Toc28359087"/>
      <w:r>
        <w:rPr>
          <w:rFonts w:hint="eastAsia" w:ascii="宋体" w:hAnsi="宋体" w:cs="宋体"/>
          <w:sz w:val="24"/>
        </w:rPr>
        <w:t>赵建飞18755018236</w:t>
      </w:r>
    </w:p>
    <w:p w14:paraId="451D1C40">
      <w:pPr>
        <w:spacing w:line="440" w:lineRule="exact"/>
        <w:ind w:firstLine="480" w:firstLineChars="200"/>
        <w:rPr>
          <w:rFonts w:ascii="宋体" w:hAnsi="宋体" w:cs="宋体"/>
          <w:sz w:val="24"/>
        </w:rPr>
      </w:pPr>
      <w:r>
        <w:rPr>
          <w:rFonts w:hint="eastAsia" w:ascii="宋体" w:hAnsi="宋体" w:cs="宋体"/>
          <w:sz w:val="24"/>
        </w:rPr>
        <w:t>3.项目联系方式</w:t>
      </w:r>
      <w:bookmarkEnd w:id="34"/>
      <w:bookmarkEnd w:id="35"/>
    </w:p>
    <w:p w14:paraId="57F3DEF0">
      <w:pPr>
        <w:spacing w:line="440" w:lineRule="exact"/>
        <w:ind w:firstLine="480" w:firstLineChars="200"/>
        <w:rPr>
          <w:rFonts w:ascii="宋体" w:hAnsi="宋体" w:cs="宋体"/>
          <w:sz w:val="24"/>
        </w:rPr>
      </w:pPr>
      <w:r>
        <w:rPr>
          <w:rFonts w:hint="eastAsia" w:ascii="宋体" w:hAnsi="宋体" w:cs="宋体"/>
          <w:sz w:val="24"/>
        </w:rPr>
        <w:t>项目联系人：招标办、赵建飞</w:t>
      </w:r>
    </w:p>
    <w:p w14:paraId="206CC10D">
      <w:pPr>
        <w:spacing w:line="440" w:lineRule="exact"/>
        <w:ind w:firstLine="480" w:firstLineChars="200"/>
        <w:rPr>
          <w:rFonts w:ascii="宋体" w:hAnsi="宋体" w:cs="宋体"/>
          <w:sz w:val="24"/>
        </w:rPr>
      </w:pPr>
      <w:r>
        <w:rPr>
          <w:rFonts w:hint="eastAsia" w:ascii="宋体" w:hAnsi="宋体" w:cs="宋体"/>
          <w:sz w:val="24"/>
        </w:rPr>
        <w:t>电　  话：0550-3523822 、18755018236</w:t>
      </w:r>
    </w:p>
    <w:p w14:paraId="1A413729">
      <w:pPr>
        <w:spacing w:line="440" w:lineRule="exact"/>
        <w:ind w:firstLine="480" w:firstLineChars="200"/>
        <w:rPr>
          <w:rFonts w:ascii="宋体" w:hAnsi="宋体" w:cs="宋体"/>
          <w:sz w:val="24"/>
        </w:rPr>
      </w:pPr>
    </w:p>
    <w:p w14:paraId="48EB7C57">
      <w:pPr>
        <w:spacing w:line="440" w:lineRule="exact"/>
        <w:ind w:firstLine="480" w:firstLineChars="200"/>
        <w:rPr>
          <w:rFonts w:ascii="宋体" w:hAnsi="宋体" w:cs="宋体"/>
          <w:sz w:val="24"/>
        </w:rPr>
      </w:pPr>
    </w:p>
    <w:p w14:paraId="1599A608">
      <w:pPr>
        <w:spacing w:line="440" w:lineRule="exact"/>
        <w:ind w:firstLine="480" w:firstLineChars="200"/>
        <w:rPr>
          <w:rFonts w:ascii="宋体" w:hAnsi="宋体" w:cs="宋体"/>
          <w:sz w:val="24"/>
        </w:rPr>
      </w:pPr>
    </w:p>
    <w:p w14:paraId="1A7EA60B">
      <w:pPr>
        <w:spacing w:line="440" w:lineRule="exact"/>
        <w:ind w:firstLine="480" w:firstLineChars="200"/>
        <w:rPr>
          <w:rFonts w:ascii="宋体" w:hAnsi="宋体" w:cs="宋体"/>
          <w:sz w:val="24"/>
        </w:rPr>
      </w:pPr>
    </w:p>
    <w:p w14:paraId="120BA59D">
      <w:pPr>
        <w:spacing w:line="440" w:lineRule="exact"/>
        <w:ind w:firstLine="480" w:firstLineChars="200"/>
        <w:rPr>
          <w:rFonts w:ascii="宋体" w:hAnsi="宋体" w:cs="宋体"/>
          <w:sz w:val="24"/>
        </w:rPr>
      </w:pPr>
    </w:p>
    <w:p w14:paraId="6CCD7890">
      <w:pPr>
        <w:spacing w:line="440" w:lineRule="exact"/>
        <w:ind w:firstLine="480" w:firstLineChars="200"/>
        <w:rPr>
          <w:rFonts w:ascii="宋体" w:hAnsi="宋体" w:cs="宋体"/>
          <w:sz w:val="24"/>
        </w:rPr>
      </w:pPr>
    </w:p>
    <w:p w14:paraId="4D3AFB43">
      <w:pPr>
        <w:spacing w:line="440" w:lineRule="exact"/>
        <w:ind w:firstLine="480" w:firstLineChars="200"/>
        <w:rPr>
          <w:rFonts w:ascii="宋体" w:hAnsi="宋体" w:cs="宋体"/>
          <w:sz w:val="24"/>
        </w:rPr>
      </w:pPr>
    </w:p>
    <w:p w14:paraId="684D95D1">
      <w:pPr>
        <w:spacing w:line="440" w:lineRule="exact"/>
        <w:ind w:firstLine="480" w:firstLineChars="200"/>
        <w:rPr>
          <w:rFonts w:ascii="宋体" w:hAnsi="宋体" w:cs="宋体"/>
          <w:sz w:val="24"/>
        </w:rPr>
      </w:pPr>
    </w:p>
    <w:p w14:paraId="42562BF9">
      <w:pPr>
        <w:spacing w:line="440" w:lineRule="exact"/>
        <w:ind w:firstLine="480" w:firstLineChars="200"/>
        <w:rPr>
          <w:rFonts w:ascii="宋体" w:hAnsi="宋体" w:cs="宋体"/>
          <w:sz w:val="24"/>
        </w:rPr>
      </w:pPr>
    </w:p>
    <w:p w14:paraId="031A24BB">
      <w:pPr>
        <w:spacing w:line="440" w:lineRule="exact"/>
        <w:ind w:firstLine="480" w:firstLineChars="200"/>
        <w:rPr>
          <w:rFonts w:ascii="宋体" w:hAnsi="宋体" w:cs="宋体"/>
          <w:sz w:val="24"/>
        </w:rPr>
      </w:pPr>
    </w:p>
    <w:p w14:paraId="53EED1BB">
      <w:pPr>
        <w:spacing w:line="440" w:lineRule="exact"/>
        <w:ind w:firstLine="480" w:firstLineChars="200"/>
        <w:rPr>
          <w:rFonts w:ascii="宋体" w:hAnsi="宋体" w:cs="宋体"/>
          <w:sz w:val="24"/>
        </w:rPr>
      </w:pPr>
    </w:p>
    <w:p w14:paraId="2BACEDAA">
      <w:pPr>
        <w:spacing w:line="440" w:lineRule="exact"/>
        <w:ind w:firstLine="480" w:firstLineChars="200"/>
        <w:rPr>
          <w:rFonts w:ascii="宋体" w:hAnsi="宋体" w:cs="宋体"/>
          <w:sz w:val="24"/>
        </w:rPr>
      </w:pPr>
    </w:p>
    <w:p w14:paraId="7A4090A0">
      <w:pPr>
        <w:spacing w:line="440" w:lineRule="exact"/>
        <w:ind w:firstLine="480" w:firstLineChars="200"/>
        <w:rPr>
          <w:rFonts w:ascii="宋体" w:hAnsi="宋体" w:cs="宋体"/>
          <w:sz w:val="24"/>
        </w:rPr>
      </w:pPr>
    </w:p>
    <w:p w14:paraId="3079409F">
      <w:pPr>
        <w:spacing w:line="440" w:lineRule="exact"/>
        <w:ind w:firstLine="480" w:firstLineChars="200"/>
        <w:rPr>
          <w:rFonts w:ascii="宋体" w:hAnsi="宋体" w:cs="宋体"/>
          <w:sz w:val="24"/>
        </w:rPr>
      </w:pPr>
    </w:p>
    <w:p w14:paraId="3BA4E148">
      <w:pPr>
        <w:spacing w:before="156" w:beforeLines="50" w:after="156" w:afterLines="50"/>
        <w:jc w:val="center"/>
        <w:outlineLvl w:val="0"/>
        <w:rPr>
          <w:rFonts w:ascii="宋体"/>
          <w:b/>
          <w:sz w:val="32"/>
          <w:szCs w:val="32"/>
        </w:rPr>
      </w:pPr>
      <w:bookmarkStart w:id="36" w:name="_Toc58430313"/>
      <w:r>
        <w:rPr>
          <w:rFonts w:hint="eastAsia" w:ascii="宋体"/>
          <w:b/>
          <w:sz w:val="32"/>
          <w:szCs w:val="32"/>
        </w:rPr>
        <w:t>第二章 投标人须知</w:t>
      </w:r>
      <w:bookmarkEnd w:id="36"/>
    </w:p>
    <w:p w14:paraId="0C0AF677">
      <w:pPr>
        <w:snapToGrid w:val="0"/>
        <w:spacing w:line="500" w:lineRule="exact"/>
        <w:jc w:val="center"/>
        <w:outlineLvl w:val="1"/>
        <w:rPr>
          <w:rFonts w:ascii="宋体"/>
          <w:b/>
          <w:sz w:val="28"/>
          <w:szCs w:val="28"/>
        </w:rPr>
      </w:pPr>
      <w:bookmarkStart w:id="37" w:name="_Toc449028865"/>
      <w:bookmarkStart w:id="38" w:name="_Toc58430314"/>
      <w:r>
        <w:rPr>
          <w:rFonts w:hint="eastAsia" w:ascii="宋体"/>
          <w:b/>
          <w:sz w:val="32"/>
          <w:szCs w:val="32"/>
        </w:rPr>
        <w:t>一、</w:t>
      </w:r>
      <w:r>
        <w:rPr>
          <w:rFonts w:hint="eastAsia" w:ascii="宋体"/>
          <w:b/>
          <w:sz w:val="28"/>
          <w:szCs w:val="28"/>
        </w:rPr>
        <w:t>投标人须知前附表</w:t>
      </w:r>
      <w:bookmarkEnd w:id="37"/>
      <w:bookmarkEnd w:id="38"/>
    </w:p>
    <w:tbl>
      <w:tblPr>
        <w:tblStyle w:val="50"/>
        <w:tblW w:w="101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70"/>
        <w:gridCol w:w="2400"/>
        <w:gridCol w:w="7127"/>
      </w:tblGrid>
      <w:tr w14:paraId="5E1799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670" w:type="dxa"/>
            <w:vAlign w:val="center"/>
          </w:tcPr>
          <w:p w14:paraId="263079E6">
            <w:pPr>
              <w:pStyle w:val="24"/>
              <w:spacing w:line="360" w:lineRule="exact"/>
              <w:jc w:val="center"/>
              <w:rPr>
                <w:rFonts w:ascii="宋体" w:hAnsi="宋体" w:cs="宋体"/>
                <w:b/>
                <w:szCs w:val="21"/>
              </w:rPr>
            </w:pPr>
            <w:r>
              <w:rPr>
                <w:rFonts w:hint="eastAsia" w:ascii="宋体" w:hAnsi="宋体" w:cs="宋体"/>
                <w:b/>
                <w:szCs w:val="21"/>
              </w:rPr>
              <w:t>序号</w:t>
            </w:r>
          </w:p>
        </w:tc>
        <w:tc>
          <w:tcPr>
            <w:tcW w:w="2400" w:type="dxa"/>
            <w:vAlign w:val="center"/>
          </w:tcPr>
          <w:p w14:paraId="73CE53E3">
            <w:pPr>
              <w:pStyle w:val="24"/>
              <w:spacing w:line="360" w:lineRule="exact"/>
              <w:ind w:firstLine="482"/>
              <w:jc w:val="left"/>
              <w:rPr>
                <w:rFonts w:ascii="宋体" w:hAnsi="宋体" w:cs="宋体"/>
                <w:b/>
                <w:szCs w:val="21"/>
              </w:rPr>
            </w:pPr>
            <w:r>
              <w:rPr>
                <w:rFonts w:hint="eastAsia" w:ascii="宋体" w:hAnsi="宋体" w:cs="宋体"/>
                <w:b/>
                <w:szCs w:val="21"/>
              </w:rPr>
              <w:t>内容</w:t>
            </w:r>
          </w:p>
        </w:tc>
        <w:tc>
          <w:tcPr>
            <w:tcW w:w="7127" w:type="dxa"/>
            <w:vAlign w:val="center"/>
          </w:tcPr>
          <w:p w14:paraId="7D91E5CB">
            <w:pPr>
              <w:pStyle w:val="24"/>
              <w:spacing w:line="360" w:lineRule="exact"/>
              <w:ind w:firstLine="482"/>
              <w:jc w:val="center"/>
              <w:rPr>
                <w:rFonts w:ascii="宋体" w:hAnsi="宋体" w:cs="宋体"/>
                <w:b/>
                <w:szCs w:val="21"/>
              </w:rPr>
            </w:pPr>
            <w:r>
              <w:rPr>
                <w:rFonts w:hint="eastAsia" w:ascii="宋体" w:hAnsi="宋体" w:cs="宋体"/>
                <w:b/>
                <w:szCs w:val="21"/>
              </w:rPr>
              <w:t>说明与要求</w:t>
            </w:r>
          </w:p>
        </w:tc>
      </w:tr>
      <w:tr w14:paraId="0598A3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670" w:type="dxa"/>
            <w:vAlign w:val="center"/>
          </w:tcPr>
          <w:p w14:paraId="798CFF49">
            <w:pPr>
              <w:pStyle w:val="24"/>
              <w:numPr>
                <w:ilvl w:val="0"/>
                <w:numId w:val="1"/>
              </w:numPr>
              <w:spacing w:line="360" w:lineRule="exact"/>
              <w:jc w:val="center"/>
              <w:rPr>
                <w:rFonts w:ascii="宋体" w:hAnsi="宋体" w:cs="宋体"/>
                <w:szCs w:val="21"/>
              </w:rPr>
            </w:pPr>
          </w:p>
        </w:tc>
        <w:tc>
          <w:tcPr>
            <w:tcW w:w="2400" w:type="dxa"/>
            <w:vAlign w:val="center"/>
          </w:tcPr>
          <w:p w14:paraId="32889F6F">
            <w:pPr>
              <w:pStyle w:val="24"/>
              <w:spacing w:line="360" w:lineRule="exact"/>
              <w:jc w:val="left"/>
              <w:rPr>
                <w:rFonts w:ascii="宋体" w:hAnsi="宋体" w:cs="宋体"/>
                <w:szCs w:val="21"/>
              </w:rPr>
            </w:pPr>
            <w:r>
              <w:rPr>
                <w:rFonts w:hint="eastAsia" w:ascii="宋体" w:hAnsi="宋体" w:cs="宋体"/>
                <w:szCs w:val="21"/>
              </w:rPr>
              <w:t>项目名称</w:t>
            </w:r>
          </w:p>
        </w:tc>
        <w:tc>
          <w:tcPr>
            <w:tcW w:w="7127" w:type="dxa"/>
            <w:vAlign w:val="center"/>
          </w:tcPr>
          <w:p w14:paraId="1146B36A">
            <w:pPr>
              <w:pStyle w:val="24"/>
              <w:spacing w:line="360" w:lineRule="exact"/>
              <w:rPr>
                <w:rFonts w:ascii="宋体" w:hAnsi="宋体" w:cs="宋体"/>
                <w:szCs w:val="21"/>
              </w:rPr>
            </w:pPr>
            <w:r>
              <w:rPr>
                <w:rFonts w:hint="eastAsia" w:ascii="宋体" w:hAnsi="宋体" w:cs="宋体"/>
                <w:szCs w:val="21"/>
              </w:rPr>
              <w:t>滁州市第二人民医院电梯维保服务项目</w:t>
            </w:r>
          </w:p>
        </w:tc>
      </w:tr>
      <w:tr w14:paraId="013190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jc w:val="center"/>
        </w:trPr>
        <w:tc>
          <w:tcPr>
            <w:tcW w:w="670" w:type="dxa"/>
            <w:vAlign w:val="center"/>
          </w:tcPr>
          <w:p w14:paraId="1126B82F">
            <w:pPr>
              <w:pStyle w:val="24"/>
              <w:numPr>
                <w:ilvl w:val="0"/>
                <w:numId w:val="1"/>
              </w:numPr>
              <w:spacing w:line="360" w:lineRule="exact"/>
              <w:jc w:val="center"/>
              <w:rPr>
                <w:rFonts w:ascii="宋体" w:hAnsi="宋体" w:cs="宋体"/>
                <w:b/>
                <w:bCs/>
                <w:szCs w:val="21"/>
              </w:rPr>
            </w:pPr>
          </w:p>
        </w:tc>
        <w:tc>
          <w:tcPr>
            <w:tcW w:w="2400" w:type="dxa"/>
            <w:vAlign w:val="center"/>
          </w:tcPr>
          <w:p w14:paraId="23599E96">
            <w:pPr>
              <w:pStyle w:val="24"/>
              <w:spacing w:line="360" w:lineRule="exact"/>
              <w:jc w:val="left"/>
              <w:rPr>
                <w:rFonts w:ascii="宋体" w:hAnsi="宋体" w:cs="宋体"/>
                <w:b/>
                <w:bCs/>
                <w:szCs w:val="21"/>
              </w:rPr>
            </w:pPr>
            <w:r>
              <w:rPr>
                <w:rFonts w:hint="eastAsia" w:ascii="宋体" w:hAnsi="宋体" w:cs="宋体"/>
                <w:b/>
                <w:bCs/>
                <w:szCs w:val="21"/>
              </w:rPr>
              <w:t>服务期</w:t>
            </w:r>
          </w:p>
        </w:tc>
        <w:tc>
          <w:tcPr>
            <w:tcW w:w="7127" w:type="dxa"/>
            <w:vAlign w:val="center"/>
          </w:tcPr>
          <w:p w14:paraId="4C9A49A3">
            <w:pPr>
              <w:pStyle w:val="24"/>
              <w:spacing w:line="360" w:lineRule="exact"/>
              <w:rPr>
                <w:rFonts w:ascii="宋体" w:hAnsi="宋体" w:cs="宋体"/>
                <w:b/>
                <w:bCs/>
                <w:szCs w:val="21"/>
              </w:rPr>
            </w:pPr>
            <w:r>
              <w:rPr>
                <w:rFonts w:hint="eastAsia" w:ascii="宋体" w:hAnsi="宋体" w:cs="宋体"/>
                <w:b/>
                <w:bCs/>
                <w:szCs w:val="21"/>
              </w:rPr>
              <w:t>三年（合同一年一签）。</w:t>
            </w:r>
          </w:p>
        </w:tc>
      </w:tr>
      <w:tr w14:paraId="3601BF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670" w:type="dxa"/>
            <w:vAlign w:val="center"/>
          </w:tcPr>
          <w:p w14:paraId="78D8BB48">
            <w:pPr>
              <w:pStyle w:val="24"/>
              <w:numPr>
                <w:ilvl w:val="0"/>
                <w:numId w:val="1"/>
              </w:numPr>
              <w:spacing w:line="360" w:lineRule="exact"/>
              <w:jc w:val="center"/>
              <w:rPr>
                <w:rFonts w:ascii="宋体" w:hAnsi="宋体" w:cs="宋体"/>
                <w:szCs w:val="21"/>
              </w:rPr>
            </w:pPr>
          </w:p>
        </w:tc>
        <w:tc>
          <w:tcPr>
            <w:tcW w:w="2400" w:type="dxa"/>
            <w:vAlign w:val="center"/>
          </w:tcPr>
          <w:p w14:paraId="785B007F">
            <w:pPr>
              <w:pStyle w:val="24"/>
              <w:spacing w:line="360" w:lineRule="exact"/>
              <w:jc w:val="left"/>
              <w:rPr>
                <w:rFonts w:ascii="宋体" w:hAnsi="宋体" w:cs="宋体"/>
                <w:szCs w:val="21"/>
              </w:rPr>
            </w:pPr>
            <w:r>
              <w:rPr>
                <w:rFonts w:hint="eastAsia" w:ascii="宋体" w:hAnsi="宋体" w:cs="宋体"/>
                <w:szCs w:val="21"/>
              </w:rPr>
              <w:t>服务地点</w:t>
            </w:r>
          </w:p>
        </w:tc>
        <w:tc>
          <w:tcPr>
            <w:tcW w:w="7127" w:type="dxa"/>
            <w:vAlign w:val="center"/>
          </w:tcPr>
          <w:p w14:paraId="11255D29">
            <w:pPr>
              <w:pStyle w:val="24"/>
              <w:spacing w:line="360" w:lineRule="exact"/>
              <w:rPr>
                <w:rFonts w:ascii="宋体" w:hAnsi="宋体" w:cs="宋体"/>
                <w:szCs w:val="21"/>
              </w:rPr>
            </w:pPr>
            <w:r>
              <w:rPr>
                <w:rFonts w:hint="eastAsia" w:ascii="宋体" w:hAnsi="宋体" w:cs="宋体"/>
                <w:szCs w:val="21"/>
              </w:rPr>
              <w:t>采购人指定地点</w:t>
            </w:r>
          </w:p>
        </w:tc>
      </w:tr>
      <w:tr w14:paraId="618981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670" w:type="dxa"/>
            <w:vAlign w:val="center"/>
          </w:tcPr>
          <w:p w14:paraId="049352CE">
            <w:pPr>
              <w:pStyle w:val="24"/>
              <w:numPr>
                <w:ilvl w:val="0"/>
                <w:numId w:val="1"/>
              </w:numPr>
              <w:spacing w:line="360" w:lineRule="exact"/>
              <w:jc w:val="center"/>
              <w:rPr>
                <w:rFonts w:ascii="宋体" w:hAnsi="宋体" w:cs="宋体"/>
                <w:szCs w:val="21"/>
              </w:rPr>
            </w:pPr>
          </w:p>
        </w:tc>
        <w:tc>
          <w:tcPr>
            <w:tcW w:w="2400" w:type="dxa"/>
            <w:vAlign w:val="center"/>
          </w:tcPr>
          <w:p w14:paraId="5BB65506">
            <w:pPr>
              <w:pStyle w:val="24"/>
              <w:spacing w:line="360" w:lineRule="exact"/>
              <w:jc w:val="left"/>
              <w:rPr>
                <w:rFonts w:ascii="宋体" w:hAnsi="宋体" w:cs="宋体"/>
                <w:szCs w:val="21"/>
              </w:rPr>
            </w:pPr>
            <w:r>
              <w:rPr>
                <w:rFonts w:hint="eastAsia" w:ascii="宋体" w:hAnsi="宋体" w:cs="宋体"/>
                <w:szCs w:val="21"/>
              </w:rPr>
              <w:t>采购人联系人及电话</w:t>
            </w:r>
          </w:p>
        </w:tc>
        <w:tc>
          <w:tcPr>
            <w:tcW w:w="7127" w:type="dxa"/>
            <w:vAlign w:val="center"/>
          </w:tcPr>
          <w:p w14:paraId="0A38ABBD">
            <w:pPr>
              <w:pStyle w:val="24"/>
              <w:spacing w:line="360" w:lineRule="exact"/>
              <w:rPr>
                <w:rFonts w:ascii="宋体" w:hAnsi="宋体" w:cs="宋体"/>
                <w:szCs w:val="21"/>
              </w:rPr>
            </w:pPr>
            <w:r>
              <w:rPr>
                <w:rFonts w:hint="eastAsia" w:ascii="宋体" w:hAnsi="宋体" w:cs="宋体"/>
                <w:szCs w:val="21"/>
              </w:rPr>
              <w:t xml:space="preserve">招标办 0550-3523822 </w:t>
            </w:r>
          </w:p>
        </w:tc>
      </w:tr>
      <w:tr w14:paraId="2660D1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670" w:type="dxa"/>
            <w:vAlign w:val="center"/>
          </w:tcPr>
          <w:p w14:paraId="0B4D0FF3">
            <w:pPr>
              <w:pStyle w:val="24"/>
              <w:numPr>
                <w:ilvl w:val="0"/>
                <w:numId w:val="1"/>
              </w:numPr>
              <w:spacing w:line="360" w:lineRule="exact"/>
              <w:jc w:val="center"/>
              <w:rPr>
                <w:rFonts w:ascii="宋体" w:hAnsi="宋体" w:cs="宋体"/>
                <w:szCs w:val="21"/>
              </w:rPr>
            </w:pPr>
          </w:p>
        </w:tc>
        <w:tc>
          <w:tcPr>
            <w:tcW w:w="2400" w:type="dxa"/>
            <w:vAlign w:val="center"/>
          </w:tcPr>
          <w:p w14:paraId="2B00D206">
            <w:pPr>
              <w:pStyle w:val="24"/>
              <w:spacing w:line="360" w:lineRule="exact"/>
              <w:jc w:val="left"/>
              <w:rPr>
                <w:rFonts w:ascii="宋体" w:hAnsi="宋体" w:cs="宋体"/>
                <w:szCs w:val="21"/>
              </w:rPr>
            </w:pPr>
            <w:r>
              <w:rPr>
                <w:rFonts w:hint="eastAsia" w:ascii="宋体" w:hAnsi="宋体" w:cs="宋体"/>
                <w:szCs w:val="21"/>
              </w:rPr>
              <w:t>采购代理机构联系人及电话</w:t>
            </w:r>
          </w:p>
        </w:tc>
        <w:tc>
          <w:tcPr>
            <w:tcW w:w="7127" w:type="dxa"/>
            <w:vAlign w:val="center"/>
          </w:tcPr>
          <w:p w14:paraId="6CF23E6B">
            <w:pPr>
              <w:pStyle w:val="24"/>
              <w:spacing w:line="360" w:lineRule="exact"/>
              <w:rPr>
                <w:rFonts w:ascii="宋体" w:hAnsi="宋体" w:cs="宋体"/>
                <w:szCs w:val="21"/>
              </w:rPr>
            </w:pPr>
            <w:r>
              <w:rPr>
                <w:rFonts w:hint="eastAsia" w:ascii="宋体" w:hAnsi="宋体" w:cs="宋体"/>
                <w:szCs w:val="21"/>
              </w:rPr>
              <w:t>赵建飞 18755018236</w:t>
            </w:r>
          </w:p>
        </w:tc>
      </w:tr>
      <w:tr w14:paraId="6E8517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670" w:type="dxa"/>
            <w:vAlign w:val="center"/>
          </w:tcPr>
          <w:p w14:paraId="2BFF7092">
            <w:pPr>
              <w:pStyle w:val="24"/>
              <w:numPr>
                <w:ilvl w:val="0"/>
                <w:numId w:val="1"/>
              </w:numPr>
              <w:spacing w:line="360" w:lineRule="exact"/>
              <w:jc w:val="center"/>
              <w:rPr>
                <w:rFonts w:ascii="宋体" w:hAnsi="宋体" w:cs="宋体"/>
                <w:szCs w:val="21"/>
              </w:rPr>
            </w:pPr>
          </w:p>
        </w:tc>
        <w:tc>
          <w:tcPr>
            <w:tcW w:w="2400" w:type="dxa"/>
            <w:vAlign w:val="center"/>
          </w:tcPr>
          <w:p w14:paraId="08A10526">
            <w:pPr>
              <w:pStyle w:val="24"/>
              <w:spacing w:line="360" w:lineRule="exact"/>
              <w:jc w:val="left"/>
              <w:rPr>
                <w:rFonts w:ascii="宋体" w:hAnsi="宋体" w:cs="宋体"/>
                <w:szCs w:val="21"/>
              </w:rPr>
            </w:pPr>
            <w:r>
              <w:rPr>
                <w:rFonts w:hint="eastAsia" w:ascii="宋体" w:hAnsi="宋体" w:cs="宋体"/>
                <w:szCs w:val="21"/>
              </w:rPr>
              <w:t>资金来源</w:t>
            </w:r>
          </w:p>
        </w:tc>
        <w:tc>
          <w:tcPr>
            <w:tcW w:w="7127" w:type="dxa"/>
            <w:vAlign w:val="center"/>
          </w:tcPr>
          <w:p w14:paraId="1C933707">
            <w:pPr>
              <w:pStyle w:val="24"/>
              <w:spacing w:line="360" w:lineRule="exact"/>
              <w:rPr>
                <w:rFonts w:ascii="宋体" w:hAnsi="宋体" w:cs="宋体"/>
                <w:szCs w:val="21"/>
              </w:rPr>
            </w:pPr>
            <w:r>
              <w:rPr>
                <w:rFonts w:hint="eastAsia" w:ascii="宋体" w:hAnsi="宋体" w:cs="宋体"/>
                <w:szCs w:val="21"/>
              </w:rPr>
              <w:t>财政资金</w:t>
            </w:r>
          </w:p>
        </w:tc>
      </w:tr>
      <w:tr w14:paraId="71678EF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14:paraId="2F11BC0C">
            <w:pPr>
              <w:pStyle w:val="24"/>
              <w:numPr>
                <w:ilvl w:val="0"/>
                <w:numId w:val="1"/>
              </w:numPr>
              <w:spacing w:line="360" w:lineRule="exact"/>
              <w:jc w:val="center"/>
              <w:rPr>
                <w:rFonts w:ascii="宋体" w:hAnsi="宋体" w:cs="宋体"/>
                <w:szCs w:val="21"/>
              </w:rPr>
            </w:pPr>
          </w:p>
        </w:tc>
        <w:tc>
          <w:tcPr>
            <w:tcW w:w="2400" w:type="dxa"/>
            <w:vAlign w:val="center"/>
          </w:tcPr>
          <w:p w14:paraId="062BB6A0">
            <w:pPr>
              <w:pStyle w:val="24"/>
              <w:spacing w:line="360" w:lineRule="exact"/>
              <w:jc w:val="left"/>
              <w:rPr>
                <w:rFonts w:ascii="宋体" w:hAnsi="宋体" w:cs="宋体"/>
                <w:szCs w:val="21"/>
              </w:rPr>
            </w:pPr>
            <w:r>
              <w:rPr>
                <w:rFonts w:hint="eastAsia" w:ascii="宋体" w:hAnsi="宋体" w:cs="宋体"/>
                <w:szCs w:val="21"/>
              </w:rPr>
              <w:t>采购预算</w:t>
            </w:r>
          </w:p>
        </w:tc>
        <w:tc>
          <w:tcPr>
            <w:tcW w:w="7127" w:type="dxa"/>
            <w:vAlign w:val="center"/>
          </w:tcPr>
          <w:p w14:paraId="1C8B4A81">
            <w:pPr>
              <w:pStyle w:val="24"/>
              <w:spacing w:line="360" w:lineRule="exact"/>
              <w:rPr>
                <w:rFonts w:ascii="宋体" w:hAnsi="宋体" w:cs="宋体"/>
                <w:szCs w:val="21"/>
              </w:rPr>
            </w:pPr>
            <w:r>
              <w:rPr>
                <w:rFonts w:hint="eastAsia" w:ascii="宋体" w:hAnsi="宋体" w:cs="宋体"/>
                <w:b/>
                <w:kern w:val="0"/>
                <w:szCs w:val="21"/>
              </w:rPr>
              <w:t>81000元/年</w:t>
            </w:r>
          </w:p>
        </w:tc>
      </w:tr>
      <w:tr w14:paraId="079FF0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14:paraId="506FC9C1">
            <w:pPr>
              <w:pStyle w:val="24"/>
              <w:numPr>
                <w:ilvl w:val="0"/>
                <w:numId w:val="1"/>
              </w:numPr>
              <w:spacing w:line="360" w:lineRule="exact"/>
              <w:jc w:val="center"/>
              <w:rPr>
                <w:rFonts w:ascii="宋体" w:hAnsi="宋体" w:cs="宋体"/>
                <w:b/>
                <w:bCs/>
                <w:szCs w:val="21"/>
              </w:rPr>
            </w:pPr>
          </w:p>
        </w:tc>
        <w:tc>
          <w:tcPr>
            <w:tcW w:w="2400" w:type="dxa"/>
            <w:vAlign w:val="center"/>
          </w:tcPr>
          <w:p w14:paraId="493DDA87">
            <w:pPr>
              <w:pStyle w:val="24"/>
              <w:spacing w:line="360" w:lineRule="exact"/>
              <w:jc w:val="left"/>
              <w:rPr>
                <w:rFonts w:ascii="宋体" w:hAnsi="宋体" w:cs="宋体"/>
                <w:b/>
                <w:bCs/>
                <w:szCs w:val="21"/>
              </w:rPr>
            </w:pPr>
            <w:r>
              <w:rPr>
                <w:rFonts w:hint="eastAsia" w:ascii="宋体" w:hAnsi="宋体" w:cs="宋体"/>
                <w:b/>
                <w:bCs/>
                <w:szCs w:val="21"/>
              </w:rPr>
              <w:t>最高限价</w:t>
            </w:r>
          </w:p>
        </w:tc>
        <w:tc>
          <w:tcPr>
            <w:tcW w:w="7127" w:type="dxa"/>
            <w:vAlign w:val="center"/>
          </w:tcPr>
          <w:p w14:paraId="6A666EB0">
            <w:pPr>
              <w:pStyle w:val="49"/>
              <w:spacing w:after="0" w:line="360" w:lineRule="exact"/>
              <w:ind w:left="0" w:leftChars="0" w:firstLine="0" w:firstLineChars="0"/>
              <w:rPr>
                <w:rFonts w:ascii="宋体" w:hAnsi="宋体" w:cs="宋体"/>
                <w:b/>
                <w:bCs/>
                <w:kern w:val="0"/>
                <w:szCs w:val="21"/>
              </w:rPr>
            </w:pPr>
            <w:r>
              <w:rPr>
                <w:rFonts w:hint="eastAsia" w:ascii="宋体" w:hAnsi="宋体" w:cs="宋体"/>
                <w:b/>
                <w:bCs/>
                <w:kern w:val="0"/>
                <w:szCs w:val="21"/>
              </w:rPr>
              <w:t>4500元/台/年，81000元/年，合计18台，各单位投标总报价不得高于上述最高限价单价及总价，否则其投标文件按无效标处理。</w:t>
            </w:r>
          </w:p>
        </w:tc>
      </w:tr>
      <w:tr w14:paraId="146301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14:paraId="0F0269D0">
            <w:pPr>
              <w:pStyle w:val="24"/>
              <w:numPr>
                <w:ilvl w:val="0"/>
                <w:numId w:val="1"/>
              </w:numPr>
              <w:spacing w:line="360" w:lineRule="exact"/>
              <w:jc w:val="center"/>
              <w:rPr>
                <w:rFonts w:ascii="宋体" w:hAnsi="宋体" w:cs="宋体"/>
                <w:b/>
                <w:bCs/>
                <w:color w:val="0000FF"/>
                <w:szCs w:val="21"/>
              </w:rPr>
            </w:pPr>
          </w:p>
        </w:tc>
        <w:tc>
          <w:tcPr>
            <w:tcW w:w="2400" w:type="dxa"/>
            <w:vAlign w:val="center"/>
          </w:tcPr>
          <w:p w14:paraId="61786D0F">
            <w:pPr>
              <w:pStyle w:val="24"/>
              <w:spacing w:line="360" w:lineRule="exact"/>
              <w:jc w:val="left"/>
              <w:rPr>
                <w:rFonts w:ascii="宋体" w:hAnsi="宋体" w:cs="宋体"/>
                <w:b/>
                <w:bCs/>
                <w:color w:val="0000FF"/>
                <w:szCs w:val="21"/>
              </w:rPr>
            </w:pPr>
            <w:r>
              <w:rPr>
                <w:rFonts w:hint="eastAsia" w:ascii="宋体" w:hAnsi="宋体" w:cs="宋体"/>
                <w:b/>
                <w:bCs/>
                <w:color w:val="0000FF"/>
                <w:szCs w:val="21"/>
              </w:rPr>
              <w:t>报价要求</w:t>
            </w:r>
          </w:p>
        </w:tc>
        <w:tc>
          <w:tcPr>
            <w:tcW w:w="7127" w:type="dxa"/>
            <w:vAlign w:val="center"/>
          </w:tcPr>
          <w:p w14:paraId="2F7072D2">
            <w:pPr>
              <w:pStyle w:val="49"/>
              <w:spacing w:after="0" w:line="360" w:lineRule="exact"/>
              <w:ind w:left="0" w:leftChars="0" w:firstLine="0" w:firstLineChars="0"/>
              <w:rPr>
                <w:rFonts w:ascii="宋体" w:hAnsi="宋体" w:cs="宋体"/>
                <w:b/>
                <w:bCs/>
                <w:color w:val="FF0000"/>
                <w:kern w:val="0"/>
                <w:szCs w:val="21"/>
              </w:rPr>
            </w:pPr>
            <w:r>
              <w:rPr>
                <w:rFonts w:hint="eastAsia" w:ascii="宋体" w:hAnsi="宋体" w:cs="宋体"/>
                <w:b/>
                <w:bCs/>
                <w:color w:val="FF0000"/>
                <w:kern w:val="0"/>
                <w:szCs w:val="21"/>
              </w:rPr>
              <w:t>本次费用包含电梯年检费（检测年或检验年）、限速器效验费、平衡系数试验费、125%称重试验、鼓式抱闸拆解费、电梯责任险，均由中标人支付（其中每台电梯年检费用不低于3次，需单独列项报价，如后期电梯当年未年检则将此部分费用扣除）。</w:t>
            </w:r>
          </w:p>
        </w:tc>
      </w:tr>
      <w:tr w14:paraId="4A77B8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14:paraId="0E92D8BE">
            <w:pPr>
              <w:pStyle w:val="24"/>
              <w:numPr>
                <w:ilvl w:val="0"/>
                <w:numId w:val="1"/>
              </w:numPr>
              <w:spacing w:line="360" w:lineRule="exact"/>
              <w:jc w:val="center"/>
              <w:rPr>
                <w:rFonts w:ascii="宋体" w:hAnsi="宋体" w:cs="宋体"/>
                <w:szCs w:val="21"/>
              </w:rPr>
            </w:pPr>
          </w:p>
        </w:tc>
        <w:tc>
          <w:tcPr>
            <w:tcW w:w="2400" w:type="dxa"/>
            <w:vAlign w:val="center"/>
          </w:tcPr>
          <w:p w14:paraId="62F09410">
            <w:pPr>
              <w:pStyle w:val="24"/>
              <w:spacing w:line="360" w:lineRule="exact"/>
              <w:jc w:val="left"/>
              <w:rPr>
                <w:rFonts w:ascii="宋体" w:hAnsi="宋体" w:cs="宋体"/>
                <w:szCs w:val="21"/>
              </w:rPr>
            </w:pPr>
            <w:r>
              <w:rPr>
                <w:rFonts w:hint="eastAsia" w:ascii="宋体" w:hAnsi="宋体" w:cs="宋体"/>
                <w:szCs w:val="21"/>
              </w:rPr>
              <w:t>采购内容</w:t>
            </w:r>
          </w:p>
        </w:tc>
        <w:tc>
          <w:tcPr>
            <w:tcW w:w="7127" w:type="dxa"/>
            <w:vAlign w:val="center"/>
          </w:tcPr>
          <w:p w14:paraId="654D3EFA">
            <w:pPr>
              <w:pStyle w:val="24"/>
              <w:spacing w:line="360" w:lineRule="exact"/>
              <w:rPr>
                <w:rFonts w:ascii="宋体" w:hAnsi="宋体" w:cs="宋体"/>
                <w:szCs w:val="21"/>
              </w:rPr>
            </w:pPr>
            <w:r>
              <w:rPr>
                <w:rFonts w:hint="eastAsia" w:ascii="宋体" w:hAnsi="宋体" w:cs="宋体"/>
                <w:szCs w:val="21"/>
              </w:rPr>
              <w:t>招标采购内容为18台电梯电梯维护保养（半包方式），提供维保所需工具和劳务，并</w:t>
            </w:r>
            <w:r>
              <w:rPr>
                <w:rFonts w:hint="eastAsia" w:ascii="宋体" w:hAnsi="宋体" w:cs="宋体"/>
                <w:color w:val="FF0000"/>
                <w:szCs w:val="21"/>
              </w:rPr>
              <w:t>免费更换300元以内</w:t>
            </w:r>
            <w:r>
              <w:rPr>
                <w:rFonts w:hint="eastAsia" w:ascii="宋体" w:hAnsi="宋体" w:cs="宋体"/>
                <w:szCs w:val="21"/>
              </w:rPr>
              <w:t>或维修损坏的电梯零部件。包括但并不限于主机及曳引机装置（包括曳引马达、齿轮箱、编码器、抱闸装置、曳引轮、返绳轮等）、门机皮带、门球、齿轮、轴承、抱闸瓦、接触器、继电器、线圈、按钮、显示器以及其他辅助机械部件等。</w:t>
            </w:r>
          </w:p>
        </w:tc>
      </w:tr>
      <w:tr w14:paraId="491A53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14:paraId="1E13EB48">
            <w:pPr>
              <w:pStyle w:val="24"/>
              <w:numPr>
                <w:ilvl w:val="0"/>
                <w:numId w:val="1"/>
              </w:numPr>
              <w:spacing w:line="360" w:lineRule="exact"/>
              <w:jc w:val="center"/>
              <w:rPr>
                <w:rFonts w:ascii="宋体" w:hAnsi="宋体" w:cs="宋体"/>
                <w:szCs w:val="21"/>
              </w:rPr>
            </w:pPr>
          </w:p>
        </w:tc>
        <w:tc>
          <w:tcPr>
            <w:tcW w:w="2400" w:type="dxa"/>
            <w:vAlign w:val="center"/>
          </w:tcPr>
          <w:p w14:paraId="285F558E">
            <w:pPr>
              <w:pStyle w:val="24"/>
              <w:spacing w:line="360" w:lineRule="exact"/>
              <w:jc w:val="left"/>
              <w:rPr>
                <w:rFonts w:ascii="宋体" w:hAnsi="宋体" w:cs="宋体"/>
                <w:szCs w:val="21"/>
              </w:rPr>
            </w:pPr>
            <w:r>
              <w:rPr>
                <w:rFonts w:hint="eastAsia" w:ascii="宋体" w:hAnsi="宋体" w:cs="宋体"/>
                <w:szCs w:val="21"/>
              </w:rPr>
              <w:t>标包划分</w:t>
            </w:r>
          </w:p>
        </w:tc>
        <w:tc>
          <w:tcPr>
            <w:tcW w:w="7127" w:type="dxa"/>
            <w:vAlign w:val="center"/>
          </w:tcPr>
          <w:p w14:paraId="003D7C95">
            <w:pPr>
              <w:pStyle w:val="24"/>
              <w:spacing w:line="360" w:lineRule="exact"/>
              <w:rPr>
                <w:rFonts w:ascii="宋体" w:hAnsi="宋体" w:cs="宋体"/>
                <w:szCs w:val="21"/>
              </w:rPr>
            </w:pPr>
            <w:r>
              <w:rPr>
                <w:rFonts w:hint="eastAsia" w:ascii="宋体" w:hAnsi="宋体" w:cs="宋体"/>
                <w:szCs w:val="21"/>
              </w:rPr>
              <w:t>本项目划分为</w:t>
            </w:r>
            <w:r>
              <w:rPr>
                <w:rFonts w:hint="eastAsia" w:ascii="宋体" w:hAnsi="宋体" w:cs="宋体"/>
                <w:szCs w:val="21"/>
                <w:u w:val="single"/>
              </w:rPr>
              <w:t>壹</w:t>
            </w:r>
            <w:r>
              <w:rPr>
                <w:rFonts w:hint="eastAsia" w:ascii="宋体" w:hAnsi="宋体" w:cs="宋体"/>
                <w:szCs w:val="21"/>
              </w:rPr>
              <w:t>个标包</w:t>
            </w:r>
          </w:p>
        </w:tc>
      </w:tr>
      <w:tr w14:paraId="273F35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670" w:type="dxa"/>
            <w:vAlign w:val="center"/>
          </w:tcPr>
          <w:p w14:paraId="0C8CCEED">
            <w:pPr>
              <w:pStyle w:val="24"/>
              <w:numPr>
                <w:ilvl w:val="0"/>
                <w:numId w:val="1"/>
              </w:numPr>
              <w:spacing w:line="360" w:lineRule="exact"/>
              <w:jc w:val="center"/>
              <w:rPr>
                <w:rFonts w:ascii="宋体" w:hAnsi="宋体" w:cs="宋体"/>
                <w:szCs w:val="21"/>
              </w:rPr>
            </w:pPr>
          </w:p>
        </w:tc>
        <w:tc>
          <w:tcPr>
            <w:tcW w:w="2400" w:type="dxa"/>
            <w:vAlign w:val="center"/>
          </w:tcPr>
          <w:p w14:paraId="1EFE2FC1">
            <w:pPr>
              <w:pStyle w:val="24"/>
              <w:spacing w:line="360" w:lineRule="exact"/>
              <w:jc w:val="left"/>
              <w:rPr>
                <w:rFonts w:ascii="宋体" w:hAnsi="宋体" w:cs="宋体"/>
                <w:szCs w:val="21"/>
              </w:rPr>
            </w:pPr>
            <w:r>
              <w:rPr>
                <w:rFonts w:hint="eastAsia" w:ascii="宋体" w:hAnsi="宋体" w:cs="宋体"/>
                <w:szCs w:val="21"/>
              </w:rPr>
              <w:t>招标方式</w:t>
            </w:r>
          </w:p>
        </w:tc>
        <w:tc>
          <w:tcPr>
            <w:tcW w:w="7127" w:type="dxa"/>
            <w:vAlign w:val="center"/>
          </w:tcPr>
          <w:p w14:paraId="5338792F">
            <w:pPr>
              <w:pStyle w:val="24"/>
              <w:spacing w:line="360" w:lineRule="exact"/>
              <w:rPr>
                <w:rFonts w:ascii="宋体" w:hAnsi="宋体" w:cs="宋体"/>
                <w:szCs w:val="21"/>
              </w:rPr>
            </w:pPr>
            <w:r>
              <w:rPr>
                <w:rFonts w:hint="eastAsia" w:ascii="宋体" w:hAnsi="宋体" w:cs="宋体"/>
                <w:szCs w:val="21"/>
              </w:rPr>
              <w:t>公开招标</w:t>
            </w:r>
          </w:p>
        </w:tc>
      </w:tr>
      <w:tr w14:paraId="787D1C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670" w:type="dxa"/>
            <w:vAlign w:val="center"/>
          </w:tcPr>
          <w:p w14:paraId="5C73517C">
            <w:pPr>
              <w:pStyle w:val="24"/>
              <w:numPr>
                <w:ilvl w:val="0"/>
                <w:numId w:val="1"/>
              </w:numPr>
              <w:spacing w:line="360" w:lineRule="exact"/>
              <w:jc w:val="center"/>
              <w:rPr>
                <w:rFonts w:ascii="宋体" w:hAnsi="宋体" w:cs="宋体"/>
                <w:szCs w:val="21"/>
              </w:rPr>
            </w:pPr>
          </w:p>
        </w:tc>
        <w:tc>
          <w:tcPr>
            <w:tcW w:w="2400" w:type="dxa"/>
            <w:vAlign w:val="center"/>
          </w:tcPr>
          <w:p w14:paraId="52FC3220">
            <w:pPr>
              <w:pStyle w:val="24"/>
              <w:spacing w:line="360" w:lineRule="exact"/>
              <w:jc w:val="left"/>
              <w:rPr>
                <w:rFonts w:ascii="宋体" w:hAnsi="宋体" w:cs="宋体"/>
                <w:szCs w:val="21"/>
              </w:rPr>
            </w:pPr>
            <w:r>
              <w:rPr>
                <w:rFonts w:hint="eastAsia" w:ascii="宋体" w:hAnsi="宋体" w:cs="宋体"/>
                <w:szCs w:val="21"/>
              </w:rPr>
              <w:t>投标人资格条件及其他要求</w:t>
            </w:r>
          </w:p>
        </w:tc>
        <w:tc>
          <w:tcPr>
            <w:tcW w:w="7127" w:type="dxa"/>
            <w:vAlign w:val="center"/>
          </w:tcPr>
          <w:p w14:paraId="393DFE43">
            <w:pPr>
              <w:spacing w:line="360" w:lineRule="exact"/>
              <w:jc w:val="left"/>
              <w:rPr>
                <w:rFonts w:ascii="宋体" w:hAnsi="宋体" w:cs="宋体"/>
                <w:szCs w:val="21"/>
              </w:rPr>
            </w:pPr>
            <w:r>
              <w:rPr>
                <w:rFonts w:hint="eastAsia" w:ascii="宋体" w:hAnsi="宋体" w:cs="宋体"/>
                <w:bCs/>
                <w:szCs w:val="21"/>
                <w:lang w:bidi="ar"/>
              </w:rPr>
              <w:t>详见招标公告</w:t>
            </w:r>
          </w:p>
        </w:tc>
      </w:tr>
      <w:tr w14:paraId="57FD64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14:paraId="145F34A2">
            <w:pPr>
              <w:pStyle w:val="24"/>
              <w:numPr>
                <w:ilvl w:val="0"/>
                <w:numId w:val="1"/>
              </w:numPr>
              <w:spacing w:line="360" w:lineRule="exact"/>
              <w:jc w:val="center"/>
              <w:rPr>
                <w:rFonts w:ascii="宋体" w:hAnsi="宋体" w:cs="宋体"/>
                <w:szCs w:val="21"/>
              </w:rPr>
            </w:pPr>
          </w:p>
        </w:tc>
        <w:tc>
          <w:tcPr>
            <w:tcW w:w="2400" w:type="dxa"/>
            <w:vAlign w:val="center"/>
          </w:tcPr>
          <w:p w14:paraId="2657EEB7">
            <w:pPr>
              <w:pStyle w:val="24"/>
              <w:spacing w:line="360" w:lineRule="exact"/>
              <w:jc w:val="left"/>
              <w:rPr>
                <w:rFonts w:ascii="宋体" w:hAnsi="宋体" w:cs="宋体"/>
                <w:szCs w:val="21"/>
              </w:rPr>
            </w:pPr>
            <w:r>
              <w:rPr>
                <w:rFonts w:hint="eastAsia" w:ascii="宋体" w:hAnsi="宋体" w:cs="宋体"/>
                <w:szCs w:val="21"/>
              </w:rPr>
              <w:t>踏勘现场</w:t>
            </w:r>
          </w:p>
        </w:tc>
        <w:tc>
          <w:tcPr>
            <w:tcW w:w="7127" w:type="dxa"/>
            <w:vAlign w:val="center"/>
          </w:tcPr>
          <w:p w14:paraId="0CB67767">
            <w:pPr>
              <w:pStyle w:val="24"/>
              <w:spacing w:line="360" w:lineRule="exact"/>
              <w:rPr>
                <w:rFonts w:ascii="宋体" w:hAnsi="宋体" w:cs="宋体"/>
                <w:szCs w:val="21"/>
              </w:rPr>
            </w:pPr>
            <w:r>
              <w:rPr>
                <w:rFonts w:hint="eastAsia" w:ascii="宋体" w:hAnsi="宋体" w:cs="宋体"/>
                <w:szCs w:val="21"/>
              </w:rPr>
              <w:t>不组织,投标人自行踏勘现场</w:t>
            </w:r>
          </w:p>
        </w:tc>
      </w:tr>
      <w:tr w14:paraId="1F04AD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14:paraId="6C7DCC66">
            <w:pPr>
              <w:pStyle w:val="24"/>
              <w:numPr>
                <w:ilvl w:val="0"/>
                <w:numId w:val="1"/>
              </w:numPr>
              <w:spacing w:line="360" w:lineRule="exact"/>
              <w:jc w:val="center"/>
              <w:rPr>
                <w:rFonts w:ascii="宋体" w:hAnsi="宋体" w:cs="宋体"/>
                <w:szCs w:val="21"/>
              </w:rPr>
            </w:pPr>
          </w:p>
        </w:tc>
        <w:tc>
          <w:tcPr>
            <w:tcW w:w="2400" w:type="dxa"/>
            <w:vAlign w:val="center"/>
          </w:tcPr>
          <w:p w14:paraId="0A8A867E">
            <w:pPr>
              <w:pStyle w:val="24"/>
              <w:spacing w:line="360" w:lineRule="exact"/>
              <w:jc w:val="left"/>
              <w:rPr>
                <w:rFonts w:ascii="宋体" w:hAnsi="宋体" w:cs="宋体"/>
                <w:szCs w:val="21"/>
              </w:rPr>
            </w:pPr>
            <w:r>
              <w:rPr>
                <w:rFonts w:hint="eastAsia" w:ascii="宋体" w:hAnsi="宋体" w:cs="宋体"/>
                <w:szCs w:val="21"/>
              </w:rPr>
              <w:t>投标预备会</w:t>
            </w:r>
          </w:p>
        </w:tc>
        <w:tc>
          <w:tcPr>
            <w:tcW w:w="7127" w:type="dxa"/>
            <w:vAlign w:val="center"/>
          </w:tcPr>
          <w:p w14:paraId="6C3B0C6E">
            <w:pPr>
              <w:pStyle w:val="24"/>
              <w:spacing w:line="360" w:lineRule="exact"/>
              <w:rPr>
                <w:rFonts w:ascii="宋体" w:hAnsi="宋体" w:cs="宋体"/>
                <w:szCs w:val="21"/>
              </w:rPr>
            </w:pPr>
            <w:r>
              <w:rPr>
                <w:rFonts w:hint="eastAsia" w:ascii="宋体" w:hAnsi="宋体" w:cs="宋体"/>
                <w:szCs w:val="21"/>
              </w:rPr>
              <w:t>不召开</w:t>
            </w:r>
          </w:p>
        </w:tc>
      </w:tr>
      <w:tr w14:paraId="6E579B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14:paraId="0C471183">
            <w:pPr>
              <w:pStyle w:val="24"/>
              <w:numPr>
                <w:ilvl w:val="0"/>
                <w:numId w:val="1"/>
              </w:numPr>
              <w:spacing w:line="360" w:lineRule="exact"/>
              <w:jc w:val="center"/>
              <w:rPr>
                <w:rFonts w:ascii="宋体" w:hAnsi="宋体" w:cs="宋体"/>
                <w:szCs w:val="21"/>
              </w:rPr>
            </w:pPr>
          </w:p>
        </w:tc>
        <w:tc>
          <w:tcPr>
            <w:tcW w:w="2400" w:type="dxa"/>
            <w:vAlign w:val="center"/>
          </w:tcPr>
          <w:p w14:paraId="0EEFBE2D">
            <w:pPr>
              <w:pStyle w:val="24"/>
              <w:spacing w:line="360" w:lineRule="exact"/>
              <w:jc w:val="left"/>
              <w:rPr>
                <w:rFonts w:ascii="宋体" w:hAnsi="宋体" w:cs="宋体"/>
                <w:szCs w:val="21"/>
              </w:rPr>
            </w:pPr>
            <w:r>
              <w:rPr>
                <w:rFonts w:hint="eastAsia" w:ascii="宋体" w:hAnsi="宋体" w:cs="宋体"/>
                <w:szCs w:val="21"/>
              </w:rPr>
              <w:t>投标人提出</w:t>
            </w:r>
            <w:r>
              <w:rPr>
                <w:rFonts w:hint="eastAsia" w:ascii="宋体" w:hAnsi="宋体" w:cs="宋体"/>
                <w:szCs w:val="21"/>
                <w:u w:val="single"/>
              </w:rPr>
              <w:t>质疑</w:t>
            </w:r>
            <w:r>
              <w:rPr>
                <w:rFonts w:hint="eastAsia" w:ascii="宋体" w:hAnsi="宋体" w:cs="宋体"/>
                <w:szCs w:val="21"/>
              </w:rPr>
              <w:t>的截止时间及方式</w:t>
            </w:r>
          </w:p>
        </w:tc>
        <w:tc>
          <w:tcPr>
            <w:tcW w:w="7127" w:type="dxa"/>
            <w:vAlign w:val="center"/>
          </w:tcPr>
          <w:p w14:paraId="0552BEC7">
            <w:pPr>
              <w:spacing w:line="360" w:lineRule="exact"/>
              <w:jc w:val="left"/>
              <w:rPr>
                <w:rFonts w:ascii="宋体" w:hAnsi="宋体" w:cs="宋体"/>
                <w:szCs w:val="21"/>
              </w:rPr>
            </w:pPr>
            <w:r>
              <w:rPr>
                <w:rFonts w:hint="eastAsia" w:ascii="宋体" w:hAnsi="宋体" w:cs="宋体"/>
                <w:szCs w:val="21"/>
              </w:rPr>
              <w:t>如投标人对招标文件有疑问，请于 2024年</w:t>
            </w:r>
            <w:r>
              <w:rPr>
                <w:rFonts w:hint="eastAsia" w:ascii="宋体" w:hAnsi="宋体" w:cs="宋体"/>
                <w:szCs w:val="21"/>
                <w:lang w:val="en-US" w:eastAsia="zh-CN"/>
              </w:rPr>
              <w:t>08</w:t>
            </w:r>
            <w:r>
              <w:rPr>
                <w:rFonts w:hint="eastAsia" w:ascii="宋体" w:hAnsi="宋体" w:cs="宋体"/>
                <w:szCs w:val="21"/>
              </w:rPr>
              <w:t>月</w:t>
            </w:r>
            <w:r>
              <w:rPr>
                <w:rFonts w:hint="eastAsia" w:ascii="宋体" w:hAnsi="宋体" w:cs="宋体"/>
                <w:szCs w:val="21"/>
                <w:lang w:val="en-US" w:eastAsia="zh-CN"/>
              </w:rPr>
              <w:t>05</w:t>
            </w:r>
            <w:r>
              <w:rPr>
                <w:rFonts w:hint="eastAsia" w:ascii="宋体" w:hAnsi="宋体" w:cs="宋体"/>
                <w:szCs w:val="21"/>
              </w:rPr>
              <w:t>日17时前以邮件的形式发送到招标代理公司邮箱：290407638@qq.com</w:t>
            </w:r>
          </w:p>
        </w:tc>
      </w:tr>
      <w:tr w14:paraId="3A3BE9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14:paraId="2E7125CB">
            <w:pPr>
              <w:pStyle w:val="24"/>
              <w:numPr>
                <w:ilvl w:val="0"/>
                <w:numId w:val="1"/>
              </w:numPr>
              <w:spacing w:line="360" w:lineRule="exact"/>
              <w:jc w:val="center"/>
              <w:rPr>
                <w:rFonts w:ascii="宋体" w:hAnsi="宋体" w:cs="宋体"/>
                <w:szCs w:val="21"/>
              </w:rPr>
            </w:pPr>
          </w:p>
        </w:tc>
        <w:tc>
          <w:tcPr>
            <w:tcW w:w="2400" w:type="dxa"/>
            <w:vAlign w:val="center"/>
          </w:tcPr>
          <w:p w14:paraId="15BB12DF">
            <w:pPr>
              <w:pStyle w:val="24"/>
              <w:spacing w:line="360" w:lineRule="exact"/>
              <w:jc w:val="left"/>
              <w:rPr>
                <w:rFonts w:ascii="宋体" w:hAnsi="宋体" w:cs="宋体"/>
                <w:szCs w:val="21"/>
              </w:rPr>
            </w:pPr>
            <w:r>
              <w:rPr>
                <w:rFonts w:hint="eastAsia" w:ascii="宋体" w:hAnsi="宋体" w:cs="宋体"/>
                <w:szCs w:val="21"/>
              </w:rPr>
              <w:t>采购人澄清的时间及方式</w:t>
            </w:r>
          </w:p>
        </w:tc>
        <w:tc>
          <w:tcPr>
            <w:tcW w:w="7127" w:type="dxa"/>
            <w:vAlign w:val="center"/>
          </w:tcPr>
          <w:p w14:paraId="4A90DF4D">
            <w:pPr>
              <w:spacing w:line="360" w:lineRule="exact"/>
              <w:rPr>
                <w:rFonts w:ascii="宋体" w:hAnsi="宋体" w:cs="宋体"/>
                <w:szCs w:val="21"/>
              </w:rPr>
            </w:pPr>
            <w:r>
              <w:rPr>
                <w:rFonts w:hint="eastAsia" w:ascii="宋体" w:hAnsi="宋体" w:cs="宋体"/>
                <w:bCs/>
                <w:szCs w:val="21"/>
              </w:rPr>
              <w:t>2024年</w:t>
            </w:r>
            <w:r>
              <w:rPr>
                <w:rFonts w:hint="eastAsia" w:ascii="宋体" w:hAnsi="宋体" w:cs="宋体"/>
                <w:bCs/>
                <w:szCs w:val="21"/>
                <w:lang w:val="en-US" w:eastAsia="zh-CN"/>
              </w:rPr>
              <w:t>08</w:t>
            </w:r>
            <w:r>
              <w:rPr>
                <w:rFonts w:hint="eastAsia" w:ascii="宋体" w:hAnsi="宋体" w:cs="宋体"/>
                <w:bCs/>
                <w:szCs w:val="21"/>
              </w:rPr>
              <w:t>月</w:t>
            </w:r>
            <w:r>
              <w:rPr>
                <w:rFonts w:hint="eastAsia" w:ascii="宋体" w:hAnsi="宋体" w:cs="宋体"/>
                <w:bCs/>
                <w:szCs w:val="21"/>
                <w:lang w:val="en-US" w:eastAsia="zh-CN"/>
              </w:rPr>
              <w:t>06</w:t>
            </w:r>
            <w:r>
              <w:rPr>
                <w:rFonts w:hint="eastAsia" w:ascii="宋体" w:hAnsi="宋体" w:cs="宋体"/>
                <w:bCs/>
                <w:szCs w:val="21"/>
              </w:rPr>
              <w:t>日17时</w:t>
            </w:r>
            <w:r>
              <w:rPr>
                <w:rFonts w:hint="eastAsia" w:ascii="宋体" w:hAnsi="宋体" w:cs="宋体"/>
                <w:szCs w:val="21"/>
              </w:rPr>
              <w:t>前，以澄清公告形式在滁州市第二人民医院官网予以公告</w:t>
            </w:r>
          </w:p>
        </w:tc>
      </w:tr>
      <w:tr w14:paraId="1668BA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5" w:hRule="atLeast"/>
          <w:jc w:val="center"/>
        </w:trPr>
        <w:tc>
          <w:tcPr>
            <w:tcW w:w="670" w:type="dxa"/>
            <w:vAlign w:val="center"/>
          </w:tcPr>
          <w:p w14:paraId="5855E1BD">
            <w:pPr>
              <w:pStyle w:val="24"/>
              <w:numPr>
                <w:ilvl w:val="0"/>
                <w:numId w:val="1"/>
              </w:numPr>
              <w:spacing w:line="360" w:lineRule="exact"/>
              <w:jc w:val="center"/>
              <w:rPr>
                <w:rFonts w:ascii="宋体" w:hAnsi="宋体" w:cs="宋体"/>
                <w:szCs w:val="21"/>
              </w:rPr>
            </w:pPr>
          </w:p>
        </w:tc>
        <w:tc>
          <w:tcPr>
            <w:tcW w:w="2400" w:type="dxa"/>
            <w:vAlign w:val="center"/>
          </w:tcPr>
          <w:p w14:paraId="7D2745EE">
            <w:pPr>
              <w:pStyle w:val="24"/>
              <w:spacing w:line="360" w:lineRule="exact"/>
              <w:jc w:val="left"/>
              <w:rPr>
                <w:rFonts w:ascii="宋体" w:hAnsi="宋体" w:cs="宋体"/>
                <w:szCs w:val="21"/>
              </w:rPr>
            </w:pPr>
            <w:r>
              <w:rPr>
                <w:rFonts w:hint="eastAsia" w:ascii="宋体" w:hAnsi="宋体" w:cs="宋体"/>
                <w:szCs w:val="21"/>
              </w:rPr>
              <w:t>联合体投标</w:t>
            </w:r>
          </w:p>
        </w:tc>
        <w:tc>
          <w:tcPr>
            <w:tcW w:w="7127" w:type="dxa"/>
            <w:vAlign w:val="center"/>
          </w:tcPr>
          <w:p w14:paraId="27950A9B">
            <w:pPr>
              <w:pStyle w:val="24"/>
              <w:spacing w:line="360" w:lineRule="exact"/>
              <w:rPr>
                <w:rFonts w:ascii="宋体" w:hAnsi="宋体" w:cs="宋体"/>
                <w:szCs w:val="21"/>
              </w:rPr>
            </w:pPr>
            <w:r>
              <w:rPr>
                <w:rFonts w:hint="eastAsia" w:ascii="宋体" w:hAnsi="宋体" w:cs="宋体"/>
                <w:szCs w:val="21"/>
              </w:rPr>
              <w:t>本次招标☑</w:t>
            </w:r>
            <w:r>
              <w:rPr>
                <w:rFonts w:hint="eastAsia" w:ascii="宋体" w:hAnsi="宋体" w:cs="宋体"/>
                <w:szCs w:val="21"/>
                <w:u w:val="single"/>
              </w:rPr>
              <w:t>不接受</w:t>
            </w:r>
            <w:r>
              <w:rPr>
                <w:rFonts w:hint="eastAsia" w:ascii="宋体" w:hAnsi="宋体" w:cs="宋体"/>
                <w:szCs w:val="21"/>
              </w:rPr>
              <w:t>联合体投标</w:t>
            </w:r>
          </w:p>
        </w:tc>
      </w:tr>
      <w:tr w14:paraId="21FE14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670" w:type="dxa"/>
            <w:vAlign w:val="center"/>
          </w:tcPr>
          <w:p w14:paraId="1EDE8CA6">
            <w:pPr>
              <w:numPr>
                <w:ilvl w:val="0"/>
                <w:numId w:val="1"/>
              </w:numPr>
              <w:spacing w:line="360" w:lineRule="exact"/>
              <w:jc w:val="center"/>
              <w:rPr>
                <w:rFonts w:ascii="宋体" w:hAnsi="宋体" w:cs="宋体"/>
                <w:szCs w:val="21"/>
              </w:rPr>
            </w:pPr>
          </w:p>
        </w:tc>
        <w:tc>
          <w:tcPr>
            <w:tcW w:w="2400" w:type="dxa"/>
            <w:vAlign w:val="center"/>
          </w:tcPr>
          <w:p w14:paraId="6750E21F">
            <w:pPr>
              <w:spacing w:line="360" w:lineRule="exact"/>
              <w:jc w:val="left"/>
              <w:rPr>
                <w:rFonts w:ascii="宋体" w:hAnsi="宋体" w:cs="宋体"/>
                <w:szCs w:val="21"/>
              </w:rPr>
            </w:pPr>
            <w:r>
              <w:rPr>
                <w:rFonts w:hint="eastAsia" w:ascii="宋体" w:hAnsi="宋体" w:cs="宋体"/>
                <w:szCs w:val="21"/>
              </w:rPr>
              <w:t>招标代理费</w:t>
            </w:r>
          </w:p>
        </w:tc>
        <w:tc>
          <w:tcPr>
            <w:tcW w:w="7127" w:type="dxa"/>
            <w:vAlign w:val="center"/>
          </w:tcPr>
          <w:p w14:paraId="568C8369">
            <w:pPr>
              <w:spacing w:line="360" w:lineRule="exact"/>
              <w:jc w:val="left"/>
              <w:rPr>
                <w:rFonts w:ascii="宋体" w:hAnsi="宋体" w:cs="宋体"/>
                <w:kern w:val="0"/>
                <w:szCs w:val="21"/>
              </w:rPr>
            </w:pPr>
            <w:r>
              <w:rPr>
                <w:rFonts w:hint="eastAsia" w:ascii="宋体" w:hAnsi="宋体" w:cs="宋体"/>
                <w:szCs w:val="21"/>
              </w:rPr>
              <w:t>代理服务费：3000元（专家评审费另计，以实际支付为准）。</w:t>
            </w:r>
          </w:p>
          <w:p w14:paraId="2144A943">
            <w:pPr>
              <w:spacing w:line="360" w:lineRule="exact"/>
              <w:rPr>
                <w:rFonts w:ascii="宋体" w:hAnsi="宋体" w:cs="宋体"/>
                <w:szCs w:val="21"/>
              </w:rPr>
            </w:pPr>
            <w:r>
              <w:rPr>
                <w:rFonts w:hint="eastAsia" w:ascii="宋体" w:hAnsi="宋体" w:cs="宋体"/>
                <w:szCs w:val="21"/>
              </w:rPr>
              <w:t>代理服务费及专家评审费支付主体：中标人，由中标人在领取中标通知书时，一次性支付给代理公司。</w:t>
            </w:r>
          </w:p>
        </w:tc>
      </w:tr>
      <w:tr w14:paraId="6CD7FC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14:paraId="4429804F">
            <w:pPr>
              <w:numPr>
                <w:ilvl w:val="0"/>
                <w:numId w:val="1"/>
              </w:numPr>
              <w:spacing w:line="360" w:lineRule="exact"/>
              <w:jc w:val="center"/>
              <w:rPr>
                <w:rFonts w:ascii="宋体" w:hAnsi="宋体" w:cs="宋体"/>
                <w:szCs w:val="21"/>
              </w:rPr>
            </w:pPr>
          </w:p>
        </w:tc>
        <w:tc>
          <w:tcPr>
            <w:tcW w:w="2400" w:type="dxa"/>
            <w:vAlign w:val="center"/>
          </w:tcPr>
          <w:p w14:paraId="211493D3">
            <w:pPr>
              <w:spacing w:line="360" w:lineRule="exact"/>
              <w:jc w:val="left"/>
              <w:rPr>
                <w:rFonts w:ascii="宋体" w:hAnsi="宋体" w:cs="宋体"/>
                <w:szCs w:val="21"/>
              </w:rPr>
            </w:pPr>
            <w:r>
              <w:rPr>
                <w:rFonts w:hint="eastAsia" w:ascii="宋体" w:hAnsi="宋体" w:cs="宋体"/>
                <w:szCs w:val="21"/>
              </w:rPr>
              <w:t>投标人要求澄清招标文件的截止时间及方式</w:t>
            </w:r>
          </w:p>
        </w:tc>
        <w:tc>
          <w:tcPr>
            <w:tcW w:w="7127" w:type="dxa"/>
            <w:vAlign w:val="center"/>
          </w:tcPr>
          <w:p w14:paraId="2DD1309A">
            <w:pPr>
              <w:spacing w:line="360" w:lineRule="exact"/>
              <w:rPr>
                <w:rFonts w:ascii="宋体" w:hAnsi="宋体" w:cs="宋体"/>
                <w:szCs w:val="21"/>
              </w:rPr>
            </w:pPr>
            <w:r>
              <w:rPr>
                <w:rFonts w:hint="eastAsia" w:ascii="宋体" w:hAnsi="宋体" w:cs="宋体"/>
                <w:szCs w:val="21"/>
              </w:rPr>
              <w:t>同表15款</w:t>
            </w:r>
          </w:p>
        </w:tc>
      </w:tr>
      <w:tr w14:paraId="133079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14:paraId="4DBF2F42">
            <w:pPr>
              <w:pStyle w:val="24"/>
              <w:numPr>
                <w:ilvl w:val="0"/>
                <w:numId w:val="1"/>
              </w:numPr>
              <w:spacing w:line="360" w:lineRule="exact"/>
              <w:jc w:val="center"/>
              <w:rPr>
                <w:rFonts w:ascii="宋体" w:hAnsi="宋体" w:cs="宋体"/>
                <w:szCs w:val="21"/>
              </w:rPr>
            </w:pPr>
          </w:p>
        </w:tc>
        <w:tc>
          <w:tcPr>
            <w:tcW w:w="2400" w:type="dxa"/>
            <w:vAlign w:val="center"/>
          </w:tcPr>
          <w:p w14:paraId="301BD752">
            <w:pPr>
              <w:pStyle w:val="24"/>
              <w:spacing w:line="360" w:lineRule="exact"/>
              <w:jc w:val="left"/>
              <w:rPr>
                <w:rFonts w:ascii="宋体" w:hAnsi="宋体" w:cs="宋体"/>
                <w:szCs w:val="21"/>
              </w:rPr>
            </w:pPr>
            <w:r>
              <w:rPr>
                <w:rFonts w:hint="eastAsia" w:ascii="宋体" w:hAnsi="宋体" w:cs="宋体"/>
                <w:szCs w:val="21"/>
              </w:rPr>
              <w:t>投标有效期</w:t>
            </w:r>
          </w:p>
        </w:tc>
        <w:tc>
          <w:tcPr>
            <w:tcW w:w="7127" w:type="dxa"/>
            <w:vAlign w:val="center"/>
          </w:tcPr>
          <w:p w14:paraId="5EE28A5F">
            <w:pPr>
              <w:pStyle w:val="24"/>
              <w:spacing w:line="360" w:lineRule="exact"/>
              <w:rPr>
                <w:rFonts w:ascii="宋体" w:hAnsi="宋体" w:cs="宋体"/>
                <w:szCs w:val="21"/>
              </w:rPr>
            </w:pPr>
            <w:r>
              <w:rPr>
                <w:rFonts w:hint="eastAsia" w:ascii="宋体" w:hAnsi="宋体" w:cs="宋体"/>
                <w:szCs w:val="21"/>
              </w:rPr>
              <w:t>投标有效期为</w:t>
            </w:r>
            <w:r>
              <w:rPr>
                <w:rFonts w:hint="eastAsia" w:ascii="宋体" w:hAnsi="宋体" w:cs="宋体"/>
                <w:szCs w:val="21"/>
                <w:u w:val="single"/>
              </w:rPr>
              <w:t xml:space="preserve">30 </w:t>
            </w:r>
            <w:r>
              <w:rPr>
                <w:rFonts w:hint="eastAsia" w:ascii="宋体" w:hAnsi="宋体" w:cs="宋体"/>
                <w:szCs w:val="21"/>
              </w:rPr>
              <w:t>日历天（从投标截止之日算起）。在此期限内，凡符合本招标文件要求的投标文件均保持有效。</w:t>
            </w:r>
          </w:p>
        </w:tc>
      </w:tr>
      <w:tr w14:paraId="7D2279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5" w:hRule="atLeast"/>
          <w:jc w:val="center"/>
        </w:trPr>
        <w:tc>
          <w:tcPr>
            <w:tcW w:w="670" w:type="dxa"/>
            <w:vAlign w:val="center"/>
          </w:tcPr>
          <w:p w14:paraId="23EE0315">
            <w:pPr>
              <w:pStyle w:val="24"/>
              <w:numPr>
                <w:ilvl w:val="0"/>
                <w:numId w:val="1"/>
              </w:numPr>
              <w:spacing w:line="360" w:lineRule="exact"/>
              <w:jc w:val="center"/>
              <w:rPr>
                <w:rFonts w:ascii="宋体" w:hAnsi="宋体" w:cs="宋体"/>
                <w:b/>
                <w:bCs/>
                <w:szCs w:val="21"/>
              </w:rPr>
            </w:pPr>
          </w:p>
        </w:tc>
        <w:tc>
          <w:tcPr>
            <w:tcW w:w="2400" w:type="dxa"/>
            <w:vAlign w:val="center"/>
          </w:tcPr>
          <w:p w14:paraId="053EFCA1">
            <w:pPr>
              <w:pStyle w:val="24"/>
              <w:spacing w:line="360" w:lineRule="exact"/>
              <w:jc w:val="left"/>
              <w:rPr>
                <w:rFonts w:ascii="宋体" w:hAnsi="宋体" w:cs="宋体"/>
                <w:b/>
                <w:bCs/>
                <w:szCs w:val="21"/>
              </w:rPr>
            </w:pPr>
            <w:r>
              <w:rPr>
                <w:rFonts w:hint="eastAsia" w:ascii="宋体" w:hAnsi="宋体" w:cs="宋体"/>
                <w:b/>
                <w:bCs/>
                <w:szCs w:val="21"/>
              </w:rPr>
              <w:t>投标文件数量</w:t>
            </w:r>
          </w:p>
        </w:tc>
        <w:tc>
          <w:tcPr>
            <w:tcW w:w="7127" w:type="dxa"/>
            <w:vAlign w:val="center"/>
          </w:tcPr>
          <w:p w14:paraId="179D0206">
            <w:pPr>
              <w:widowControl/>
              <w:spacing w:line="360" w:lineRule="exact"/>
              <w:ind w:firstLine="89" w:firstLineChars="42"/>
              <w:jc w:val="left"/>
              <w:rPr>
                <w:rFonts w:ascii="宋体" w:hAnsi="宋体" w:cs="宋体"/>
                <w:b/>
                <w:bCs/>
                <w:szCs w:val="21"/>
              </w:rPr>
            </w:pPr>
            <w:r>
              <w:rPr>
                <w:rFonts w:hint="eastAsia" w:ascii="宋体" w:hAnsi="宋体" w:cs="宋体"/>
                <w:b/>
                <w:kern w:val="0"/>
                <w:szCs w:val="21"/>
              </w:rPr>
              <w:t>正本</w:t>
            </w:r>
            <w:r>
              <w:rPr>
                <w:rFonts w:hint="eastAsia" w:ascii="宋体" w:hAnsi="宋体" w:cs="宋体"/>
                <w:b/>
                <w:kern w:val="0"/>
                <w:szCs w:val="21"/>
                <w:u w:val="single"/>
              </w:rPr>
              <w:t xml:space="preserve"> 1 </w:t>
            </w:r>
            <w:r>
              <w:rPr>
                <w:rFonts w:hint="eastAsia" w:ascii="宋体" w:hAnsi="宋体" w:cs="宋体"/>
                <w:b/>
                <w:kern w:val="0"/>
                <w:szCs w:val="21"/>
              </w:rPr>
              <w:t>份，副本</w:t>
            </w:r>
            <w:r>
              <w:rPr>
                <w:rFonts w:hint="eastAsia" w:ascii="宋体" w:hAnsi="宋体" w:cs="宋体"/>
                <w:b/>
                <w:kern w:val="0"/>
                <w:szCs w:val="21"/>
                <w:u w:val="single"/>
              </w:rPr>
              <w:t xml:space="preserve"> 2 </w:t>
            </w:r>
            <w:r>
              <w:rPr>
                <w:rFonts w:hint="eastAsia" w:ascii="宋体" w:hAnsi="宋体" w:cs="宋体"/>
                <w:b/>
                <w:kern w:val="0"/>
                <w:szCs w:val="21"/>
              </w:rPr>
              <w:t>份，正副本不一致时，以正本为准。</w:t>
            </w:r>
          </w:p>
        </w:tc>
      </w:tr>
      <w:tr w14:paraId="7C5AB7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14:paraId="1FC6EF49">
            <w:pPr>
              <w:numPr>
                <w:ilvl w:val="0"/>
                <w:numId w:val="1"/>
              </w:numPr>
              <w:spacing w:line="360" w:lineRule="exact"/>
              <w:jc w:val="center"/>
              <w:rPr>
                <w:rFonts w:ascii="宋体" w:hAnsi="宋体" w:cs="宋体"/>
                <w:szCs w:val="21"/>
              </w:rPr>
            </w:pPr>
          </w:p>
        </w:tc>
        <w:tc>
          <w:tcPr>
            <w:tcW w:w="2400" w:type="dxa"/>
            <w:vAlign w:val="center"/>
          </w:tcPr>
          <w:p w14:paraId="237CF194">
            <w:pPr>
              <w:spacing w:line="360" w:lineRule="exact"/>
              <w:jc w:val="left"/>
              <w:rPr>
                <w:rFonts w:ascii="宋体" w:hAnsi="宋体" w:cs="宋体"/>
                <w:szCs w:val="21"/>
              </w:rPr>
            </w:pPr>
            <w:r>
              <w:rPr>
                <w:rFonts w:hint="eastAsia" w:ascii="宋体" w:hAnsi="宋体" w:cs="宋体"/>
                <w:szCs w:val="21"/>
              </w:rPr>
              <w:t>签字或盖章及密封要求</w:t>
            </w:r>
          </w:p>
        </w:tc>
        <w:tc>
          <w:tcPr>
            <w:tcW w:w="7127" w:type="dxa"/>
            <w:vAlign w:val="center"/>
          </w:tcPr>
          <w:p w14:paraId="68241490">
            <w:pPr>
              <w:spacing w:line="360" w:lineRule="exact"/>
              <w:rPr>
                <w:rFonts w:ascii="宋体" w:hAnsi="宋体" w:cs="宋体"/>
                <w:b/>
                <w:kern w:val="0"/>
                <w:szCs w:val="21"/>
              </w:rPr>
            </w:pPr>
            <w:r>
              <w:rPr>
                <w:rFonts w:hint="eastAsia" w:ascii="宋体" w:hAnsi="宋体" w:cs="宋体"/>
                <w:b/>
                <w:spacing w:val="-4"/>
                <w:kern w:val="0"/>
                <w:szCs w:val="21"/>
              </w:rPr>
              <w:t>一正两副装订成册，密封于档案袋中，各部分档案袋封面注明项目名称、单位、联系人及联系方式</w:t>
            </w:r>
          </w:p>
        </w:tc>
      </w:tr>
      <w:tr w14:paraId="48FAEF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670" w:type="dxa"/>
            <w:vAlign w:val="center"/>
          </w:tcPr>
          <w:p w14:paraId="46FB75BA">
            <w:pPr>
              <w:numPr>
                <w:ilvl w:val="0"/>
                <w:numId w:val="1"/>
              </w:numPr>
              <w:spacing w:line="360" w:lineRule="exact"/>
              <w:jc w:val="center"/>
              <w:rPr>
                <w:rFonts w:ascii="宋体" w:hAnsi="宋体" w:cs="宋体"/>
                <w:szCs w:val="21"/>
              </w:rPr>
            </w:pPr>
          </w:p>
        </w:tc>
        <w:tc>
          <w:tcPr>
            <w:tcW w:w="2400" w:type="dxa"/>
            <w:vAlign w:val="center"/>
          </w:tcPr>
          <w:p w14:paraId="40CB292E">
            <w:pPr>
              <w:spacing w:line="360" w:lineRule="exact"/>
              <w:jc w:val="left"/>
              <w:rPr>
                <w:rFonts w:ascii="宋体" w:hAnsi="宋体" w:cs="宋体"/>
                <w:szCs w:val="21"/>
              </w:rPr>
            </w:pPr>
            <w:r>
              <w:rPr>
                <w:rFonts w:hint="eastAsia" w:ascii="宋体" w:hAnsi="宋体" w:cs="宋体"/>
                <w:szCs w:val="21"/>
              </w:rPr>
              <w:t>投标文件提交截止时间</w:t>
            </w:r>
          </w:p>
        </w:tc>
        <w:tc>
          <w:tcPr>
            <w:tcW w:w="7127" w:type="dxa"/>
            <w:vAlign w:val="center"/>
          </w:tcPr>
          <w:p w14:paraId="01BAD8E7">
            <w:pPr>
              <w:spacing w:line="360" w:lineRule="exact"/>
              <w:rPr>
                <w:rFonts w:ascii="宋体" w:hAnsi="宋体" w:cs="宋体"/>
                <w:szCs w:val="21"/>
              </w:rPr>
            </w:pPr>
            <w:r>
              <w:rPr>
                <w:rFonts w:hint="eastAsia" w:ascii="宋体" w:hAnsi="宋体" w:cs="宋体"/>
                <w:szCs w:val="21"/>
              </w:rPr>
              <w:t>递交投标文件截止时间：</w:t>
            </w:r>
            <w:r>
              <w:rPr>
                <w:rFonts w:hint="eastAsia" w:ascii="宋体" w:hAnsi="宋体" w:cs="宋体"/>
                <w:b/>
                <w:bCs/>
                <w:szCs w:val="21"/>
              </w:rPr>
              <w:t xml:space="preserve">2024年8月 </w:t>
            </w:r>
            <w:r>
              <w:rPr>
                <w:rFonts w:hint="eastAsia" w:ascii="宋体" w:hAnsi="宋体" w:cs="宋体"/>
                <w:b/>
                <w:bCs/>
                <w:szCs w:val="21"/>
                <w:lang w:val="en-US" w:eastAsia="zh-CN"/>
              </w:rPr>
              <w:t>08</w:t>
            </w:r>
            <w:bookmarkStart w:id="738" w:name="_GoBack"/>
            <w:bookmarkEnd w:id="738"/>
            <w:r>
              <w:rPr>
                <w:rFonts w:hint="eastAsia" w:ascii="宋体" w:hAnsi="宋体" w:cs="宋体"/>
                <w:b/>
                <w:bCs/>
                <w:szCs w:val="21"/>
              </w:rPr>
              <w:t>日11时30分（北京时间）</w:t>
            </w:r>
          </w:p>
          <w:p w14:paraId="436C194B">
            <w:pPr>
              <w:spacing w:line="360" w:lineRule="exact"/>
              <w:rPr>
                <w:rFonts w:ascii="宋体" w:hAnsi="宋体" w:cs="宋体"/>
                <w:szCs w:val="21"/>
              </w:rPr>
            </w:pPr>
            <w:r>
              <w:rPr>
                <w:rFonts w:hint="eastAsia" w:ascii="宋体" w:hAnsi="宋体" w:cs="宋体"/>
                <w:b/>
                <w:szCs w:val="21"/>
              </w:rPr>
              <w:t>注：以投标人在投标截止时间前递交的投标文件为准，逾期提交的，投标文件将被拒绝。</w:t>
            </w:r>
          </w:p>
        </w:tc>
      </w:tr>
      <w:tr w14:paraId="1DA034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670" w:type="dxa"/>
            <w:vAlign w:val="center"/>
          </w:tcPr>
          <w:p w14:paraId="05E1936B">
            <w:pPr>
              <w:numPr>
                <w:ilvl w:val="0"/>
                <w:numId w:val="1"/>
              </w:numPr>
              <w:spacing w:line="360" w:lineRule="exact"/>
              <w:jc w:val="center"/>
              <w:rPr>
                <w:rFonts w:ascii="宋体" w:hAnsi="宋体" w:cs="宋体"/>
                <w:szCs w:val="21"/>
              </w:rPr>
            </w:pPr>
          </w:p>
        </w:tc>
        <w:tc>
          <w:tcPr>
            <w:tcW w:w="2400" w:type="dxa"/>
            <w:vAlign w:val="center"/>
          </w:tcPr>
          <w:p w14:paraId="75B2CB8C">
            <w:pPr>
              <w:spacing w:line="360" w:lineRule="exact"/>
              <w:jc w:val="left"/>
              <w:rPr>
                <w:rFonts w:ascii="宋体" w:hAnsi="宋体" w:cs="宋体"/>
                <w:szCs w:val="21"/>
              </w:rPr>
            </w:pPr>
            <w:r>
              <w:rPr>
                <w:rFonts w:hint="eastAsia" w:ascii="宋体" w:hAnsi="宋体" w:cs="宋体"/>
                <w:szCs w:val="21"/>
              </w:rPr>
              <w:t>是否退还投标文件</w:t>
            </w:r>
          </w:p>
        </w:tc>
        <w:tc>
          <w:tcPr>
            <w:tcW w:w="7127" w:type="dxa"/>
            <w:vAlign w:val="center"/>
          </w:tcPr>
          <w:p w14:paraId="194071C4">
            <w:pPr>
              <w:spacing w:line="360" w:lineRule="exact"/>
              <w:rPr>
                <w:rFonts w:ascii="宋体" w:hAnsi="宋体" w:cs="宋体"/>
                <w:szCs w:val="21"/>
              </w:rPr>
            </w:pPr>
            <w:r>
              <w:rPr>
                <w:rFonts w:hint="eastAsia" w:ascii="宋体" w:hAnsi="宋体" w:cs="宋体"/>
                <w:szCs w:val="21"/>
              </w:rPr>
              <w:t>否</w:t>
            </w:r>
          </w:p>
        </w:tc>
      </w:tr>
      <w:tr w14:paraId="4F80A2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14:paraId="26D29C07">
            <w:pPr>
              <w:numPr>
                <w:ilvl w:val="0"/>
                <w:numId w:val="1"/>
              </w:numPr>
              <w:spacing w:line="360" w:lineRule="exact"/>
              <w:jc w:val="center"/>
              <w:rPr>
                <w:rFonts w:ascii="宋体" w:hAnsi="宋体" w:cs="宋体"/>
                <w:szCs w:val="21"/>
              </w:rPr>
            </w:pPr>
          </w:p>
        </w:tc>
        <w:tc>
          <w:tcPr>
            <w:tcW w:w="2400" w:type="dxa"/>
            <w:vAlign w:val="center"/>
          </w:tcPr>
          <w:p w14:paraId="0E978478">
            <w:pPr>
              <w:spacing w:line="360" w:lineRule="exact"/>
              <w:jc w:val="left"/>
              <w:rPr>
                <w:rFonts w:ascii="宋体" w:hAnsi="宋体" w:cs="宋体"/>
                <w:szCs w:val="21"/>
              </w:rPr>
            </w:pPr>
            <w:r>
              <w:rPr>
                <w:rFonts w:hint="eastAsia" w:ascii="宋体" w:hAnsi="宋体" w:cs="宋体"/>
                <w:szCs w:val="21"/>
              </w:rPr>
              <w:t>开标程序</w:t>
            </w:r>
          </w:p>
        </w:tc>
        <w:tc>
          <w:tcPr>
            <w:tcW w:w="7127" w:type="dxa"/>
            <w:vAlign w:val="center"/>
          </w:tcPr>
          <w:p w14:paraId="39A22B4F">
            <w:pPr>
              <w:spacing w:line="360" w:lineRule="exact"/>
              <w:rPr>
                <w:rFonts w:ascii="宋体" w:hAnsi="宋体" w:cs="宋体"/>
                <w:szCs w:val="21"/>
              </w:rPr>
            </w:pPr>
            <w:r>
              <w:rPr>
                <w:rFonts w:hint="eastAsia" w:ascii="宋体" w:hAnsi="宋体" w:cs="宋体"/>
                <w:szCs w:val="21"/>
              </w:rPr>
              <w:t>开标顺序：投标文件启封后，由评审委员会评审。</w:t>
            </w:r>
          </w:p>
        </w:tc>
      </w:tr>
      <w:tr w14:paraId="7D18A4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670" w:type="dxa"/>
            <w:vAlign w:val="center"/>
          </w:tcPr>
          <w:p w14:paraId="0FC0A545">
            <w:pPr>
              <w:pStyle w:val="24"/>
              <w:numPr>
                <w:ilvl w:val="0"/>
                <w:numId w:val="1"/>
              </w:numPr>
              <w:spacing w:line="360" w:lineRule="exact"/>
              <w:jc w:val="center"/>
              <w:rPr>
                <w:rFonts w:ascii="宋体" w:hAnsi="宋体" w:cs="宋体"/>
                <w:szCs w:val="21"/>
              </w:rPr>
            </w:pPr>
          </w:p>
        </w:tc>
        <w:tc>
          <w:tcPr>
            <w:tcW w:w="2400" w:type="dxa"/>
            <w:vAlign w:val="center"/>
          </w:tcPr>
          <w:p w14:paraId="523723DF">
            <w:pPr>
              <w:pStyle w:val="24"/>
              <w:spacing w:line="360" w:lineRule="exact"/>
              <w:jc w:val="left"/>
              <w:rPr>
                <w:rFonts w:ascii="宋体" w:hAnsi="宋体" w:cs="宋体"/>
                <w:szCs w:val="21"/>
              </w:rPr>
            </w:pPr>
            <w:r>
              <w:rPr>
                <w:rFonts w:hint="eastAsia" w:ascii="宋体" w:hAnsi="宋体" w:cs="宋体"/>
                <w:szCs w:val="21"/>
              </w:rPr>
              <w:t>评标委员会的组建</w:t>
            </w:r>
          </w:p>
        </w:tc>
        <w:tc>
          <w:tcPr>
            <w:tcW w:w="7127" w:type="dxa"/>
          </w:tcPr>
          <w:p w14:paraId="03CF0CC6">
            <w:pPr>
              <w:pStyle w:val="24"/>
              <w:spacing w:line="360" w:lineRule="exact"/>
              <w:rPr>
                <w:rFonts w:ascii="宋体" w:hAnsi="宋体" w:cs="宋体"/>
                <w:szCs w:val="21"/>
              </w:rPr>
            </w:pPr>
            <w:r>
              <w:rPr>
                <w:rFonts w:hint="eastAsia" w:ascii="宋体" w:hAnsi="宋体" w:cs="宋体"/>
                <w:szCs w:val="21"/>
              </w:rPr>
              <w:t>依法组建</w:t>
            </w:r>
          </w:p>
        </w:tc>
      </w:tr>
      <w:tr w14:paraId="3CDDC1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14:paraId="71C19D57">
            <w:pPr>
              <w:pStyle w:val="24"/>
              <w:numPr>
                <w:ilvl w:val="0"/>
                <w:numId w:val="1"/>
              </w:numPr>
              <w:spacing w:line="360" w:lineRule="exact"/>
              <w:jc w:val="center"/>
              <w:rPr>
                <w:rFonts w:ascii="宋体" w:hAnsi="宋体" w:cs="宋体"/>
                <w:szCs w:val="21"/>
              </w:rPr>
            </w:pPr>
          </w:p>
        </w:tc>
        <w:tc>
          <w:tcPr>
            <w:tcW w:w="2400" w:type="dxa"/>
            <w:vAlign w:val="center"/>
          </w:tcPr>
          <w:p w14:paraId="01608ABC">
            <w:pPr>
              <w:pStyle w:val="24"/>
              <w:spacing w:line="360" w:lineRule="exact"/>
              <w:jc w:val="left"/>
              <w:rPr>
                <w:rFonts w:ascii="宋体" w:hAnsi="宋体" w:cs="宋体"/>
                <w:szCs w:val="21"/>
              </w:rPr>
            </w:pPr>
            <w:r>
              <w:rPr>
                <w:rFonts w:hint="eastAsia" w:ascii="宋体" w:hAnsi="宋体" w:cs="宋体"/>
                <w:szCs w:val="21"/>
              </w:rPr>
              <w:t>是否授权评标委员会确定中标候选人</w:t>
            </w:r>
          </w:p>
        </w:tc>
        <w:tc>
          <w:tcPr>
            <w:tcW w:w="7127" w:type="dxa"/>
            <w:vAlign w:val="center"/>
          </w:tcPr>
          <w:p w14:paraId="1AE1D3EB">
            <w:pPr>
              <w:pStyle w:val="24"/>
              <w:spacing w:line="360" w:lineRule="exact"/>
              <w:rPr>
                <w:rFonts w:ascii="宋体" w:hAnsi="宋体" w:cs="宋体"/>
                <w:szCs w:val="21"/>
              </w:rPr>
            </w:pPr>
            <w:r>
              <w:rPr>
                <w:rFonts w:hint="eastAsia" w:ascii="宋体" w:hAnsi="宋体" w:cs="宋体"/>
                <w:szCs w:val="21"/>
              </w:rPr>
              <w:t>是，评标委员会推荐</w:t>
            </w:r>
            <w:r>
              <w:rPr>
                <w:rFonts w:hint="eastAsia" w:ascii="宋体" w:hAnsi="宋体" w:cs="宋体"/>
                <w:szCs w:val="21"/>
                <w:u w:val="single"/>
              </w:rPr>
              <w:t>3</w:t>
            </w:r>
            <w:r>
              <w:rPr>
                <w:rFonts w:hint="eastAsia" w:ascii="宋体" w:hAnsi="宋体" w:cs="宋体"/>
                <w:szCs w:val="21"/>
              </w:rPr>
              <w:t>名中标候选人。</w:t>
            </w:r>
          </w:p>
        </w:tc>
      </w:tr>
      <w:tr w14:paraId="68C578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14:paraId="50A6FFD3">
            <w:pPr>
              <w:pStyle w:val="24"/>
              <w:numPr>
                <w:ilvl w:val="0"/>
                <w:numId w:val="1"/>
              </w:numPr>
              <w:spacing w:line="360" w:lineRule="exact"/>
              <w:jc w:val="center"/>
              <w:rPr>
                <w:rFonts w:ascii="宋体" w:hAnsi="宋体" w:cs="宋体"/>
                <w:szCs w:val="21"/>
              </w:rPr>
            </w:pPr>
          </w:p>
        </w:tc>
        <w:tc>
          <w:tcPr>
            <w:tcW w:w="2400" w:type="dxa"/>
            <w:vAlign w:val="center"/>
          </w:tcPr>
          <w:p w14:paraId="7B2A832C">
            <w:pPr>
              <w:pStyle w:val="24"/>
              <w:spacing w:line="360" w:lineRule="exact"/>
              <w:jc w:val="left"/>
              <w:rPr>
                <w:rFonts w:ascii="宋体" w:hAnsi="宋体" w:cs="宋体"/>
                <w:szCs w:val="21"/>
              </w:rPr>
            </w:pPr>
            <w:r>
              <w:rPr>
                <w:rFonts w:hint="eastAsia" w:ascii="宋体" w:hAnsi="宋体" w:cs="宋体"/>
                <w:bCs/>
                <w:szCs w:val="21"/>
                <w:u w:color="000000"/>
              </w:rPr>
              <w:t>中标结果公告媒介</w:t>
            </w:r>
          </w:p>
        </w:tc>
        <w:tc>
          <w:tcPr>
            <w:tcW w:w="7127" w:type="dxa"/>
            <w:vAlign w:val="center"/>
          </w:tcPr>
          <w:p w14:paraId="15B9439A">
            <w:pPr>
              <w:pStyle w:val="24"/>
              <w:spacing w:line="360" w:lineRule="exact"/>
              <w:rPr>
                <w:rFonts w:ascii="宋体" w:hAnsi="宋体" w:cs="宋体"/>
                <w:szCs w:val="21"/>
              </w:rPr>
            </w:pPr>
            <w:r>
              <w:rPr>
                <w:rFonts w:hint="eastAsia" w:ascii="宋体" w:hAnsi="宋体" w:cs="宋体"/>
                <w:bCs/>
                <w:szCs w:val="21"/>
              </w:rPr>
              <w:t>滁州市第二人民医院官网</w:t>
            </w:r>
          </w:p>
        </w:tc>
      </w:tr>
      <w:tr w14:paraId="52EA16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14:paraId="45C63F12">
            <w:pPr>
              <w:pStyle w:val="24"/>
              <w:numPr>
                <w:ilvl w:val="0"/>
                <w:numId w:val="1"/>
              </w:numPr>
              <w:spacing w:line="360" w:lineRule="exact"/>
              <w:jc w:val="center"/>
              <w:rPr>
                <w:rFonts w:ascii="宋体" w:hAnsi="宋体" w:cs="宋体"/>
                <w:szCs w:val="21"/>
              </w:rPr>
            </w:pPr>
          </w:p>
        </w:tc>
        <w:tc>
          <w:tcPr>
            <w:tcW w:w="2400" w:type="dxa"/>
            <w:vAlign w:val="center"/>
          </w:tcPr>
          <w:p w14:paraId="75BDCED5">
            <w:pPr>
              <w:pStyle w:val="24"/>
              <w:spacing w:line="360" w:lineRule="exact"/>
              <w:jc w:val="left"/>
              <w:rPr>
                <w:rFonts w:ascii="宋体" w:hAnsi="宋体" w:cs="宋体"/>
                <w:szCs w:val="21"/>
              </w:rPr>
            </w:pPr>
            <w:r>
              <w:rPr>
                <w:rFonts w:hint="eastAsia" w:ascii="宋体" w:hAnsi="宋体" w:cs="宋体"/>
                <w:bCs/>
                <w:szCs w:val="21"/>
                <w:u w:color="000000"/>
              </w:rPr>
              <w:t>中标结果公告期限</w:t>
            </w:r>
          </w:p>
        </w:tc>
        <w:tc>
          <w:tcPr>
            <w:tcW w:w="7127" w:type="dxa"/>
            <w:vAlign w:val="center"/>
          </w:tcPr>
          <w:p w14:paraId="14CF633A">
            <w:pPr>
              <w:pStyle w:val="24"/>
              <w:spacing w:line="360" w:lineRule="exact"/>
              <w:rPr>
                <w:rFonts w:ascii="宋体" w:hAnsi="宋体" w:cs="宋体"/>
                <w:bCs/>
                <w:szCs w:val="21"/>
              </w:rPr>
            </w:pPr>
            <w:r>
              <w:rPr>
                <w:rFonts w:hint="eastAsia" w:ascii="宋体" w:hAnsi="宋体" w:cs="宋体"/>
                <w:bCs/>
                <w:szCs w:val="21"/>
              </w:rPr>
              <w:t>一个工作日</w:t>
            </w:r>
          </w:p>
        </w:tc>
      </w:tr>
      <w:tr w14:paraId="520B7C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670" w:type="dxa"/>
            <w:vAlign w:val="center"/>
          </w:tcPr>
          <w:p w14:paraId="0E178A78">
            <w:pPr>
              <w:numPr>
                <w:ilvl w:val="0"/>
                <w:numId w:val="1"/>
              </w:numPr>
              <w:spacing w:line="360" w:lineRule="exact"/>
              <w:jc w:val="center"/>
              <w:rPr>
                <w:rFonts w:ascii="宋体" w:hAnsi="宋体" w:cs="宋体"/>
                <w:szCs w:val="21"/>
              </w:rPr>
            </w:pPr>
          </w:p>
        </w:tc>
        <w:tc>
          <w:tcPr>
            <w:tcW w:w="2400" w:type="dxa"/>
            <w:vAlign w:val="center"/>
          </w:tcPr>
          <w:p w14:paraId="6963929C">
            <w:pPr>
              <w:spacing w:line="360" w:lineRule="exact"/>
              <w:jc w:val="left"/>
              <w:rPr>
                <w:rFonts w:ascii="宋体" w:hAnsi="宋体" w:cs="宋体"/>
                <w:szCs w:val="21"/>
              </w:rPr>
            </w:pPr>
            <w:r>
              <w:rPr>
                <w:rFonts w:hint="eastAsia" w:ascii="宋体" w:hAnsi="宋体" w:cs="宋体"/>
                <w:szCs w:val="21"/>
              </w:rPr>
              <w:t>中标通知书</w:t>
            </w:r>
          </w:p>
        </w:tc>
        <w:tc>
          <w:tcPr>
            <w:tcW w:w="7127" w:type="dxa"/>
            <w:vAlign w:val="center"/>
          </w:tcPr>
          <w:p w14:paraId="327A3770">
            <w:pPr>
              <w:spacing w:line="360" w:lineRule="exact"/>
              <w:rPr>
                <w:rFonts w:ascii="宋体" w:hAnsi="宋体" w:cs="宋体"/>
                <w:szCs w:val="21"/>
              </w:rPr>
            </w:pPr>
            <w:r>
              <w:rPr>
                <w:rFonts w:hint="eastAsia" w:ascii="宋体" w:hAnsi="宋体" w:cs="宋体"/>
                <w:szCs w:val="21"/>
              </w:rPr>
              <w:t>中标通知书须加盖采购人及代理机构公章后方可发出。</w:t>
            </w:r>
          </w:p>
        </w:tc>
      </w:tr>
      <w:tr w14:paraId="3E3CF3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670" w:type="dxa"/>
            <w:vAlign w:val="center"/>
          </w:tcPr>
          <w:p w14:paraId="4AD839E1">
            <w:pPr>
              <w:numPr>
                <w:ilvl w:val="0"/>
                <w:numId w:val="1"/>
              </w:numPr>
              <w:spacing w:line="360" w:lineRule="exact"/>
              <w:jc w:val="center"/>
              <w:rPr>
                <w:rFonts w:ascii="宋体" w:hAnsi="宋体" w:cs="宋体"/>
                <w:szCs w:val="21"/>
              </w:rPr>
            </w:pPr>
          </w:p>
        </w:tc>
        <w:tc>
          <w:tcPr>
            <w:tcW w:w="2400" w:type="dxa"/>
            <w:vAlign w:val="center"/>
          </w:tcPr>
          <w:p w14:paraId="56B77AA8">
            <w:pPr>
              <w:spacing w:line="360" w:lineRule="exact"/>
              <w:jc w:val="left"/>
              <w:rPr>
                <w:rFonts w:ascii="宋体" w:hAnsi="宋体" w:cs="宋体"/>
                <w:szCs w:val="21"/>
              </w:rPr>
            </w:pPr>
            <w:r>
              <w:rPr>
                <w:rFonts w:hint="eastAsia" w:ascii="宋体" w:hAnsi="宋体" w:cs="宋体"/>
                <w:szCs w:val="21"/>
              </w:rPr>
              <w:t>中标通知书发放形式</w:t>
            </w:r>
          </w:p>
        </w:tc>
        <w:tc>
          <w:tcPr>
            <w:tcW w:w="7127" w:type="dxa"/>
            <w:vAlign w:val="center"/>
          </w:tcPr>
          <w:p w14:paraId="79F9C06F">
            <w:pPr>
              <w:spacing w:line="360" w:lineRule="exact"/>
              <w:rPr>
                <w:rFonts w:ascii="宋体" w:hAnsi="宋体" w:cs="宋体"/>
                <w:szCs w:val="21"/>
              </w:rPr>
            </w:pPr>
            <w:r>
              <w:rPr>
                <w:rFonts w:hint="eastAsia" w:ascii="宋体" w:hAnsi="宋体" w:cs="宋体"/>
                <w:szCs w:val="21"/>
              </w:rPr>
              <w:t>纸质版通知书</w:t>
            </w:r>
          </w:p>
        </w:tc>
      </w:tr>
      <w:tr w14:paraId="26578F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3070" w:type="dxa"/>
            <w:gridSpan w:val="2"/>
            <w:vAlign w:val="center"/>
          </w:tcPr>
          <w:p w14:paraId="42E84932">
            <w:pPr>
              <w:spacing w:line="360" w:lineRule="exact"/>
              <w:ind w:firstLine="482"/>
              <w:jc w:val="left"/>
              <w:rPr>
                <w:rFonts w:ascii="宋体" w:hAnsi="宋体" w:cs="宋体"/>
                <w:b/>
                <w:bCs/>
                <w:szCs w:val="21"/>
              </w:rPr>
            </w:pPr>
            <w:r>
              <w:rPr>
                <w:rFonts w:hint="eastAsia" w:ascii="宋体" w:hAnsi="宋体" w:cs="宋体"/>
                <w:b/>
                <w:bCs/>
                <w:szCs w:val="21"/>
              </w:rPr>
              <w:t>付款方式、时间、条件</w:t>
            </w:r>
          </w:p>
        </w:tc>
        <w:tc>
          <w:tcPr>
            <w:tcW w:w="7127" w:type="dxa"/>
            <w:vAlign w:val="center"/>
          </w:tcPr>
          <w:p w14:paraId="2274BE7E">
            <w:pPr>
              <w:spacing w:line="360" w:lineRule="exact"/>
              <w:jc w:val="left"/>
              <w:rPr>
                <w:rFonts w:ascii="宋体" w:hAnsi="宋体" w:cs="宋体"/>
                <w:b/>
                <w:bCs/>
                <w:szCs w:val="21"/>
              </w:rPr>
            </w:pPr>
            <w:r>
              <w:rPr>
                <w:rFonts w:hint="eastAsia" w:ascii="宋体" w:hAnsi="宋体" w:cs="宋体"/>
                <w:b/>
                <w:bCs/>
                <w:szCs w:val="21"/>
              </w:rPr>
              <w:t>在每年度合同签订6个月后支付当年度维保款的50%,1年维保期结束后支付当年剩余50%的合同价款（注：</w:t>
            </w:r>
            <w:r>
              <w:rPr>
                <w:rFonts w:hint="eastAsia" w:ascii="宋体" w:hAnsi="宋体" w:cs="宋体"/>
                <w:b/>
                <w:bCs/>
                <w:color w:val="FF0000"/>
                <w:szCs w:val="21"/>
              </w:rPr>
              <w:t>剩余50%合同价款需</w:t>
            </w:r>
            <w:r>
              <w:rPr>
                <w:rFonts w:hint="eastAsia" w:ascii="宋体" w:hAnsi="宋体" w:cs="宋体"/>
                <w:b/>
                <w:bCs/>
                <w:szCs w:val="21"/>
              </w:rPr>
              <w:t>提供特种设备检验机构定期检验合格作为支付依据）。</w:t>
            </w:r>
          </w:p>
        </w:tc>
      </w:tr>
      <w:bookmarkEnd w:id="0"/>
      <w:bookmarkEnd w:id="1"/>
      <w:bookmarkEnd w:id="2"/>
      <w:bookmarkEnd w:id="3"/>
      <w:bookmarkEnd w:id="4"/>
      <w:bookmarkEnd w:id="6"/>
      <w:bookmarkEnd w:id="7"/>
    </w:tbl>
    <w:p w14:paraId="2F11238C">
      <w:pPr>
        <w:pStyle w:val="21"/>
      </w:pPr>
      <w:bookmarkStart w:id="39" w:name="_Toc8242"/>
      <w:bookmarkStart w:id="40" w:name="_Toc35424887"/>
      <w:bookmarkStart w:id="41" w:name="_Toc26342"/>
      <w:bookmarkStart w:id="42" w:name="_Toc35425053"/>
      <w:bookmarkStart w:id="43" w:name="_Toc35947170"/>
      <w:bookmarkStart w:id="44" w:name="_Toc20532"/>
      <w:bookmarkStart w:id="45" w:name="_Toc15058846"/>
      <w:bookmarkStart w:id="46" w:name="_Toc13234"/>
      <w:bookmarkStart w:id="47" w:name="_Toc531771949"/>
      <w:bookmarkStart w:id="48" w:name="_Toc8218_WPSOffice_Level1"/>
    </w:p>
    <w:p w14:paraId="476CBEA0">
      <w:pPr>
        <w:pStyle w:val="3"/>
        <w:ind w:firstLine="482"/>
      </w:pPr>
    </w:p>
    <w:p w14:paraId="4C26D86D">
      <w:pPr>
        <w:pStyle w:val="3"/>
        <w:ind w:firstLine="482"/>
      </w:pPr>
      <w:r>
        <w:rPr>
          <w:rFonts w:hint="eastAsia"/>
        </w:rPr>
        <w:t>1. 总则</w:t>
      </w:r>
      <w:bookmarkEnd w:id="39"/>
      <w:bookmarkEnd w:id="40"/>
      <w:bookmarkEnd w:id="41"/>
      <w:bookmarkEnd w:id="42"/>
      <w:bookmarkEnd w:id="43"/>
      <w:bookmarkEnd w:id="44"/>
      <w:bookmarkEnd w:id="45"/>
      <w:bookmarkEnd w:id="46"/>
    </w:p>
    <w:p w14:paraId="71DA9265">
      <w:pPr>
        <w:snapToGrid w:val="0"/>
        <w:spacing w:line="440" w:lineRule="exact"/>
        <w:ind w:firstLine="422" w:firstLineChars="200"/>
        <w:rPr>
          <w:rFonts w:ascii="宋体"/>
          <w:b/>
          <w:szCs w:val="21"/>
        </w:rPr>
      </w:pPr>
      <w:bookmarkStart w:id="49" w:name="_Toc324404827"/>
      <w:bookmarkStart w:id="50" w:name="_Toc247085701"/>
      <w:bookmarkStart w:id="51" w:name="_Toc35425065"/>
      <w:bookmarkStart w:id="52" w:name="_Toc144974510"/>
      <w:bookmarkStart w:id="53" w:name="_Toc35424899"/>
      <w:bookmarkStart w:id="54" w:name="_Toc15058858"/>
      <w:bookmarkStart w:id="55" w:name="_Toc246996187"/>
      <w:bookmarkStart w:id="56" w:name="_Toc152042318"/>
      <w:bookmarkStart w:id="57" w:name="_Toc35947182"/>
      <w:bookmarkStart w:id="58" w:name="_Toc179632560"/>
      <w:bookmarkStart w:id="59" w:name="_Toc152045542"/>
      <w:bookmarkStart w:id="60" w:name="_Toc506107281"/>
      <w:bookmarkStart w:id="61" w:name="_Toc246996930"/>
      <w:bookmarkStart w:id="62" w:name="_Toc32316"/>
      <w:bookmarkStart w:id="63" w:name="_Toc11696"/>
      <w:bookmarkStart w:id="64" w:name="_Toc26510"/>
      <w:bookmarkStart w:id="65" w:name="_Toc24080"/>
      <w:r>
        <w:rPr>
          <w:rFonts w:hint="eastAsia" w:ascii="宋体"/>
          <w:b/>
          <w:szCs w:val="21"/>
        </w:rPr>
        <w:t>1.项目概况</w:t>
      </w:r>
    </w:p>
    <w:p w14:paraId="13E9292B">
      <w:pPr>
        <w:snapToGrid w:val="0"/>
        <w:spacing w:line="440" w:lineRule="exact"/>
        <w:ind w:firstLine="420" w:firstLineChars="200"/>
        <w:rPr>
          <w:szCs w:val="21"/>
        </w:rPr>
      </w:pPr>
      <w:r>
        <w:rPr>
          <w:rFonts w:hint="eastAsia"/>
          <w:szCs w:val="21"/>
        </w:rPr>
        <w:t>本次招标采购项目名称：滁州市第二人民医院电梯维保服务项目</w:t>
      </w:r>
    </w:p>
    <w:p w14:paraId="58607E32">
      <w:pPr>
        <w:snapToGrid w:val="0"/>
        <w:spacing w:line="440" w:lineRule="exact"/>
        <w:ind w:firstLine="420" w:firstLineChars="200"/>
        <w:rPr>
          <w:szCs w:val="21"/>
        </w:rPr>
      </w:pPr>
      <w:r>
        <w:rPr>
          <w:rFonts w:hint="eastAsia"/>
          <w:szCs w:val="21"/>
        </w:rPr>
        <w:t>采 购 人：滁州市第二人民医院（市传染病医院、市精神病医院）</w:t>
      </w:r>
    </w:p>
    <w:p w14:paraId="308AF3AA">
      <w:pPr>
        <w:snapToGrid w:val="0"/>
        <w:spacing w:line="440" w:lineRule="exact"/>
        <w:ind w:firstLine="420" w:firstLineChars="200"/>
        <w:rPr>
          <w:szCs w:val="21"/>
        </w:rPr>
      </w:pPr>
      <w:r>
        <w:rPr>
          <w:rFonts w:hint="eastAsia"/>
          <w:szCs w:val="21"/>
        </w:rPr>
        <w:t>服务期限： 三年（合同一年一签）。</w:t>
      </w:r>
    </w:p>
    <w:p w14:paraId="50FE4089">
      <w:pPr>
        <w:snapToGrid w:val="0"/>
        <w:spacing w:line="440" w:lineRule="exact"/>
        <w:ind w:firstLine="422" w:firstLineChars="200"/>
        <w:rPr>
          <w:rFonts w:ascii="宋体"/>
          <w:b/>
          <w:szCs w:val="21"/>
        </w:rPr>
      </w:pPr>
      <w:r>
        <w:rPr>
          <w:rFonts w:hint="eastAsia" w:ascii="宋体"/>
          <w:b/>
          <w:szCs w:val="21"/>
        </w:rPr>
        <w:t>2.招标范围：</w:t>
      </w:r>
    </w:p>
    <w:p w14:paraId="2A5A8D5D">
      <w:pPr>
        <w:snapToGrid w:val="0"/>
        <w:spacing w:line="440" w:lineRule="exact"/>
        <w:ind w:firstLine="420" w:firstLineChars="200"/>
        <w:rPr>
          <w:szCs w:val="21"/>
        </w:rPr>
      </w:pPr>
      <w:r>
        <w:rPr>
          <w:rFonts w:hint="eastAsia"/>
          <w:szCs w:val="21"/>
        </w:rPr>
        <w:t>具体详见采购需求。</w:t>
      </w:r>
    </w:p>
    <w:p w14:paraId="43C8295B">
      <w:pPr>
        <w:snapToGrid w:val="0"/>
        <w:spacing w:line="440" w:lineRule="exact"/>
        <w:ind w:firstLine="422" w:firstLineChars="200"/>
        <w:rPr>
          <w:rFonts w:ascii="宋体"/>
          <w:szCs w:val="21"/>
        </w:rPr>
      </w:pPr>
      <w:r>
        <w:rPr>
          <w:rFonts w:hint="eastAsia" w:ascii="宋体"/>
          <w:b/>
          <w:szCs w:val="21"/>
        </w:rPr>
        <w:t>3.标包划分：</w:t>
      </w:r>
      <w:r>
        <w:rPr>
          <w:rFonts w:hint="eastAsia" w:ascii="宋体"/>
          <w:szCs w:val="21"/>
        </w:rPr>
        <w:t>一个标段。</w:t>
      </w:r>
    </w:p>
    <w:p w14:paraId="0A81C838">
      <w:pPr>
        <w:snapToGrid w:val="0"/>
        <w:spacing w:line="440" w:lineRule="exact"/>
        <w:ind w:firstLine="422" w:firstLineChars="200"/>
        <w:rPr>
          <w:rFonts w:ascii="宋体"/>
          <w:szCs w:val="21"/>
        </w:rPr>
      </w:pPr>
      <w:r>
        <w:rPr>
          <w:rFonts w:hint="eastAsia" w:ascii="宋体"/>
          <w:b/>
          <w:szCs w:val="21"/>
        </w:rPr>
        <w:t>4.招标方式：</w:t>
      </w:r>
      <w:r>
        <w:rPr>
          <w:rFonts w:hint="eastAsia" w:ascii="宋体"/>
          <w:szCs w:val="21"/>
        </w:rPr>
        <w:t>公开招标</w:t>
      </w:r>
    </w:p>
    <w:p w14:paraId="1136D10A">
      <w:pPr>
        <w:snapToGrid w:val="0"/>
        <w:spacing w:line="440" w:lineRule="exact"/>
        <w:ind w:firstLine="422" w:firstLineChars="200"/>
        <w:rPr>
          <w:rFonts w:ascii="宋体"/>
          <w:szCs w:val="21"/>
        </w:rPr>
      </w:pPr>
      <w:r>
        <w:rPr>
          <w:rFonts w:hint="eastAsia" w:ascii="宋体"/>
          <w:b/>
          <w:szCs w:val="21"/>
        </w:rPr>
        <w:t>5.计价方式：</w:t>
      </w:r>
      <w:r>
        <w:rPr>
          <w:rFonts w:hint="eastAsia" w:ascii="宋体"/>
          <w:szCs w:val="21"/>
        </w:rPr>
        <w:t>本次招标项目合同采用</w:t>
      </w:r>
      <w:r>
        <w:rPr>
          <w:rFonts w:hint="eastAsia" w:ascii="宋体"/>
          <w:szCs w:val="21"/>
          <w:u w:val="single"/>
        </w:rPr>
        <w:t xml:space="preserve">   固定总价  。</w:t>
      </w:r>
    </w:p>
    <w:p w14:paraId="254BFFAA">
      <w:pPr>
        <w:snapToGrid w:val="0"/>
        <w:spacing w:line="440" w:lineRule="exact"/>
        <w:ind w:firstLine="422" w:firstLineChars="200"/>
        <w:rPr>
          <w:rFonts w:ascii="宋体"/>
          <w:szCs w:val="21"/>
        </w:rPr>
      </w:pPr>
      <w:r>
        <w:rPr>
          <w:rFonts w:hint="eastAsia" w:ascii="宋体"/>
          <w:b/>
          <w:szCs w:val="21"/>
        </w:rPr>
        <w:t>6.评标办法：</w:t>
      </w:r>
      <w:r>
        <w:rPr>
          <w:rFonts w:hint="eastAsia" w:ascii="宋体"/>
          <w:szCs w:val="21"/>
        </w:rPr>
        <w:t>本次招标评标采用</w:t>
      </w:r>
      <w:r>
        <w:rPr>
          <w:rFonts w:hint="eastAsia" w:ascii="宋体"/>
          <w:szCs w:val="21"/>
          <w:u w:val="single"/>
        </w:rPr>
        <w:t xml:space="preserve"> </w:t>
      </w:r>
      <w:r>
        <w:rPr>
          <w:rFonts w:hint="eastAsia" w:ascii="宋体"/>
          <w:b/>
          <w:szCs w:val="21"/>
          <w:u w:val="single"/>
        </w:rPr>
        <w:t>综合评分</w:t>
      </w:r>
      <w:r>
        <w:rPr>
          <w:rFonts w:ascii="宋体"/>
          <w:b/>
          <w:szCs w:val="21"/>
          <w:u w:val="single"/>
        </w:rPr>
        <w:t>法</w:t>
      </w:r>
      <w:r>
        <w:rPr>
          <w:rFonts w:hint="eastAsia" w:ascii="宋体"/>
          <w:szCs w:val="21"/>
        </w:rPr>
        <w:t>（详见第三章评标办法）</w:t>
      </w:r>
    </w:p>
    <w:p w14:paraId="0C81BA74">
      <w:pPr>
        <w:snapToGrid w:val="0"/>
        <w:spacing w:line="440" w:lineRule="exact"/>
        <w:ind w:firstLine="422" w:firstLineChars="200"/>
        <w:rPr>
          <w:rFonts w:ascii="宋体"/>
          <w:b/>
          <w:szCs w:val="21"/>
        </w:rPr>
      </w:pPr>
      <w:r>
        <w:rPr>
          <w:rFonts w:hint="eastAsia" w:ascii="宋体"/>
          <w:b/>
          <w:szCs w:val="21"/>
        </w:rPr>
        <w:t>7.投标人资格：</w:t>
      </w:r>
      <w:r>
        <w:rPr>
          <w:rFonts w:hint="eastAsia" w:ascii="宋体"/>
          <w:szCs w:val="21"/>
        </w:rPr>
        <w:t>详见第一章“招标公告”</w:t>
      </w:r>
    </w:p>
    <w:p w14:paraId="5EFD16C0">
      <w:pPr>
        <w:pStyle w:val="3"/>
        <w:ind w:firstLine="482"/>
      </w:pPr>
      <w:r>
        <w:rPr>
          <w:rFonts w:hint="eastAsia"/>
        </w:rPr>
        <w:t xml:space="preserve">2. </w:t>
      </w:r>
      <w:bookmarkEnd w:id="49"/>
      <w:bookmarkEnd w:id="50"/>
      <w:bookmarkEnd w:id="51"/>
      <w:bookmarkEnd w:id="52"/>
      <w:bookmarkEnd w:id="53"/>
      <w:bookmarkEnd w:id="54"/>
      <w:bookmarkEnd w:id="55"/>
      <w:bookmarkEnd w:id="56"/>
      <w:bookmarkEnd w:id="57"/>
      <w:bookmarkEnd w:id="58"/>
      <w:bookmarkEnd w:id="59"/>
      <w:bookmarkEnd w:id="60"/>
      <w:bookmarkEnd w:id="61"/>
      <w:r>
        <w:rPr>
          <w:rFonts w:hint="eastAsia"/>
        </w:rPr>
        <w:t>交易文件</w:t>
      </w:r>
      <w:bookmarkEnd w:id="62"/>
      <w:bookmarkEnd w:id="63"/>
      <w:bookmarkEnd w:id="64"/>
      <w:bookmarkEnd w:id="65"/>
      <w:bookmarkStart w:id="66" w:name="_Toc15058859"/>
      <w:bookmarkStart w:id="67" w:name="_Toc3202"/>
      <w:bookmarkStart w:id="68" w:name="_Toc29501"/>
      <w:bookmarkStart w:id="69" w:name="_Toc296602433"/>
      <w:bookmarkStart w:id="70" w:name="_Toc35947183"/>
      <w:bookmarkStart w:id="71" w:name="_Toc324404828"/>
      <w:bookmarkStart w:id="72" w:name="_Toc179632561"/>
      <w:bookmarkStart w:id="73" w:name="_Toc506107282"/>
      <w:bookmarkStart w:id="74" w:name="_Toc144974511"/>
      <w:bookmarkStart w:id="75" w:name="_Toc35424900"/>
      <w:bookmarkStart w:id="76" w:name="_Toc23619"/>
      <w:bookmarkStart w:id="77" w:name="_Toc152042319"/>
      <w:bookmarkStart w:id="78" w:name="_Toc246996931"/>
      <w:bookmarkStart w:id="79" w:name="_Toc246996188"/>
      <w:bookmarkStart w:id="80" w:name="_Toc152045543"/>
      <w:bookmarkStart w:id="81" w:name="_Toc247085702"/>
      <w:bookmarkStart w:id="82" w:name="_Toc35425066"/>
    </w:p>
    <w:p w14:paraId="42665859">
      <w:pPr>
        <w:spacing w:line="440" w:lineRule="atLeast"/>
        <w:ind w:firstLine="422" w:firstLineChars="200"/>
        <w:outlineLvl w:val="2"/>
        <w:rPr>
          <w:rFonts w:ascii="宋体" w:hAnsi="宋体" w:cs="宋体"/>
          <w:b/>
          <w:bCs/>
          <w:szCs w:val="21"/>
        </w:rPr>
      </w:pPr>
      <w:r>
        <w:rPr>
          <w:rFonts w:hint="eastAsia" w:ascii="宋体" w:hAnsi="宋体" w:cs="宋体"/>
          <w:b/>
          <w:bCs/>
          <w:szCs w:val="21"/>
        </w:rPr>
        <w:t>2.1 交易文件的组成</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D74F4FC">
      <w:pPr>
        <w:spacing w:line="440" w:lineRule="atLeast"/>
        <w:ind w:firstLine="420" w:firstLineChars="200"/>
        <w:rPr>
          <w:rFonts w:ascii="宋体" w:hAnsi="宋体" w:cs="宋体"/>
          <w:szCs w:val="21"/>
        </w:rPr>
      </w:pPr>
      <w:r>
        <w:rPr>
          <w:rFonts w:hint="eastAsia" w:ascii="宋体" w:hAnsi="宋体" w:cs="宋体"/>
          <w:szCs w:val="21"/>
        </w:rPr>
        <w:t>（1）招标公告；</w:t>
      </w:r>
    </w:p>
    <w:p w14:paraId="51EB099A">
      <w:pPr>
        <w:spacing w:line="440" w:lineRule="atLeast"/>
        <w:ind w:firstLine="420" w:firstLineChars="200"/>
        <w:rPr>
          <w:rFonts w:ascii="宋体" w:hAnsi="宋体" w:cs="宋体"/>
          <w:szCs w:val="21"/>
        </w:rPr>
      </w:pPr>
      <w:r>
        <w:rPr>
          <w:rFonts w:hint="eastAsia" w:ascii="宋体" w:hAnsi="宋体" w:cs="宋体"/>
          <w:szCs w:val="21"/>
        </w:rPr>
        <w:t>（2）投标人须知前附表；</w:t>
      </w:r>
    </w:p>
    <w:p w14:paraId="78D26478">
      <w:pPr>
        <w:spacing w:line="440" w:lineRule="atLeast"/>
        <w:ind w:firstLine="420" w:firstLineChars="200"/>
        <w:rPr>
          <w:rFonts w:ascii="宋体" w:hAnsi="宋体" w:cs="宋体"/>
          <w:szCs w:val="21"/>
        </w:rPr>
      </w:pPr>
      <w:r>
        <w:rPr>
          <w:rFonts w:hint="eastAsia" w:ascii="宋体" w:hAnsi="宋体" w:cs="宋体"/>
          <w:szCs w:val="21"/>
        </w:rPr>
        <w:t>（3）评标办法；</w:t>
      </w:r>
    </w:p>
    <w:p w14:paraId="500E6F5B">
      <w:pPr>
        <w:spacing w:line="440" w:lineRule="atLeast"/>
        <w:ind w:firstLine="420" w:firstLineChars="200"/>
        <w:rPr>
          <w:rFonts w:ascii="宋体" w:hAnsi="宋体" w:cs="宋体"/>
          <w:szCs w:val="21"/>
        </w:rPr>
      </w:pPr>
      <w:r>
        <w:rPr>
          <w:rFonts w:hint="eastAsia" w:ascii="宋体" w:hAnsi="宋体" w:cs="宋体"/>
          <w:szCs w:val="21"/>
        </w:rPr>
        <w:t>（4）服务需求；</w:t>
      </w:r>
    </w:p>
    <w:p w14:paraId="7E790376">
      <w:pPr>
        <w:spacing w:line="440" w:lineRule="atLeast"/>
        <w:ind w:firstLine="420" w:firstLineChars="200"/>
        <w:rPr>
          <w:rFonts w:ascii="宋体" w:hAnsi="宋体" w:cs="宋体"/>
          <w:szCs w:val="21"/>
        </w:rPr>
      </w:pPr>
      <w:r>
        <w:rPr>
          <w:rFonts w:hint="eastAsia" w:ascii="宋体" w:hAnsi="宋体" w:cs="宋体"/>
          <w:szCs w:val="21"/>
        </w:rPr>
        <w:t>（5）合同条款及格式；</w:t>
      </w:r>
    </w:p>
    <w:p w14:paraId="20921AA3">
      <w:pPr>
        <w:spacing w:line="440" w:lineRule="atLeast"/>
        <w:ind w:firstLine="420" w:firstLineChars="200"/>
        <w:rPr>
          <w:rFonts w:ascii="宋体" w:hAnsi="宋体" w:cs="宋体"/>
          <w:szCs w:val="21"/>
        </w:rPr>
      </w:pPr>
      <w:r>
        <w:rPr>
          <w:rFonts w:hint="eastAsia" w:ascii="宋体" w:hAnsi="宋体" w:cs="宋体"/>
          <w:szCs w:val="21"/>
        </w:rPr>
        <w:t>（6）投标文件格式；</w:t>
      </w:r>
    </w:p>
    <w:p w14:paraId="710953E5">
      <w:pPr>
        <w:spacing w:line="440" w:lineRule="atLeast"/>
        <w:ind w:firstLine="420" w:firstLineChars="200"/>
        <w:rPr>
          <w:rFonts w:ascii="宋体" w:hAnsi="宋体" w:cs="宋体"/>
          <w:szCs w:val="21"/>
        </w:rPr>
      </w:pPr>
      <w:r>
        <w:rPr>
          <w:rFonts w:hint="eastAsia" w:ascii="宋体" w:hAnsi="宋体" w:cs="宋体"/>
          <w:szCs w:val="21"/>
        </w:rPr>
        <w:t>（7）采购人、采购代理机构对本招标文件的确认。</w:t>
      </w:r>
    </w:p>
    <w:p w14:paraId="081E944E">
      <w:pPr>
        <w:spacing w:line="440" w:lineRule="atLeast"/>
        <w:ind w:firstLine="422" w:firstLineChars="200"/>
        <w:outlineLvl w:val="2"/>
        <w:rPr>
          <w:rFonts w:ascii="宋体" w:hAnsi="宋体" w:cs="宋体"/>
          <w:b/>
          <w:bCs/>
          <w:szCs w:val="21"/>
        </w:rPr>
      </w:pPr>
      <w:bookmarkStart w:id="83" w:name="_Toc324404829"/>
      <w:bookmarkStart w:id="84" w:name="_Toc179632562"/>
      <w:bookmarkStart w:id="85" w:name="_Toc246996932"/>
      <w:bookmarkStart w:id="86" w:name="_Toc247085703"/>
      <w:bookmarkStart w:id="87" w:name="_Toc35947184"/>
      <w:bookmarkStart w:id="88" w:name="_Toc152045544"/>
      <w:bookmarkStart w:id="89" w:name="_Toc35424901"/>
      <w:bookmarkStart w:id="90" w:name="_Toc25054"/>
      <w:bookmarkStart w:id="91" w:name="_Toc35425067"/>
      <w:bookmarkStart w:id="92" w:name="_Toc506107283"/>
      <w:bookmarkStart w:id="93" w:name="_Toc296602434"/>
      <w:bookmarkStart w:id="94" w:name="_Toc7670"/>
      <w:bookmarkStart w:id="95" w:name="_Toc144974512"/>
      <w:bookmarkStart w:id="96" w:name="_Toc11806"/>
      <w:bookmarkStart w:id="97" w:name="_Toc246996189"/>
      <w:bookmarkStart w:id="98" w:name="_Toc15058860"/>
      <w:bookmarkStart w:id="99" w:name="_Toc152042320"/>
      <w:r>
        <w:rPr>
          <w:rFonts w:hint="eastAsia" w:ascii="宋体" w:hAnsi="宋体" w:cs="宋体"/>
          <w:b/>
          <w:bCs/>
          <w:szCs w:val="21"/>
        </w:rPr>
        <w:t>2.2 交易文件的澄清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宋体" w:hAnsi="宋体" w:cs="宋体"/>
          <w:b/>
          <w:bCs/>
          <w:szCs w:val="21"/>
        </w:rPr>
        <w:t xml:space="preserve"> </w:t>
      </w:r>
    </w:p>
    <w:p w14:paraId="60682012">
      <w:pPr>
        <w:spacing w:line="440" w:lineRule="atLeast"/>
        <w:ind w:firstLine="420" w:firstLineChars="200"/>
        <w:rPr>
          <w:rFonts w:ascii="宋体" w:hAnsi="宋体" w:cs="宋体"/>
          <w:szCs w:val="21"/>
        </w:rPr>
      </w:pPr>
      <w:r>
        <w:rPr>
          <w:rFonts w:hint="eastAsia" w:ascii="宋体" w:hAnsi="宋体" w:cs="宋体"/>
          <w:szCs w:val="21"/>
        </w:rPr>
        <w:t>2.2.1 投标人应仔细阅读和检查交易文件的全部内容。如有疑问，应在投标人须知前附表规定的时间前以网上邮件或书面形式（包括信函、电报、传真等可以有形地表现所载内容的形式，下同），要求采购人对交易文件予以澄清。</w:t>
      </w:r>
    </w:p>
    <w:p w14:paraId="498DA522">
      <w:pPr>
        <w:spacing w:line="440" w:lineRule="atLeast"/>
        <w:ind w:firstLine="422" w:firstLineChars="200"/>
        <w:outlineLvl w:val="2"/>
        <w:rPr>
          <w:rFonts w:ascii="宋体" w:hAnsi="宋体" w:cs="宋体"/>
          <w:b/>
          <w:bCs/>
          <w:szCs w:val="21"/>
        </w:rPr>
      </w:pPr>
      <w:bookmarkStart w:id="100" w:name="_Toc179632563"/>
      <w:bookmarkStart w:id="101" w:name="_Toc12699"/>
      <w:bookmarkStart w:id="102" w:name="_Toc15058861"/>
      <w:bookmarkStart w:id="103" w:name="_Toc324404830"/>
      <w:bookmarkStart w:id="104" w:name="_Toc144974513"/>
      <w:bookmarkStart w:id="105" w:name="_Toc152045545"/>
      <w:bookmarkStart w:id="106" w:name="_Toc246996190"/>
      <w:bookmarkStart w:id="107" w:name="_Toc20350"/>
      <w:bookmarkStart w:id="108" w:name="_Toc247085704"/>
      <w:bookmarkStart w:id="109" w:name="_Toc35425068"/>
      <w:bookmarkStart w:id="110" w:name="_Toc246996933"/>
      <w:bookmarkStart w:id="111" w:name="_Toc152042321"/>
      <w:bookmarkStart w:id="112" w:name="_Toc296602435"/>
      <w:bookmarkStart w:id="113" w:name="_Toc30752"/>
      <w:bookmarkStart w:id="114" w:name="_Toc35424902"/>
      <w:bookmarkStart w:id="115" w:name="_Toc35947185"/>
      <w:bookmarkStart w:id="116" w:name="_Toc506107284"/>
      <w:r>
        <w:rPr>
          <w:rFonts w:hint="eastAsia" w:ascii="宋体" w:hAnsi="宋体" w:cs="宋体"/>
          <w:b/>
          <w:bCs/>
          <w:szCs w:val="21"/>
        </w:rPr>
        <w:t>2.3 交易文件的修改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303BA66">
      <w:pPr>
        <w:spacing w:line="440" w:lineRule="atLeast"/>
        <w:ind w:firstLine="420" w:firstLineChars="200"/>
        <w:rPr>
          <w:rFonts w:ascii="宋体" w:hAnsi="宋体" w:cs="宋体"/>
          <w:szCs w:val="21"/>
        </w:rPr>
      </w:pPr>
      <w:bookmarkStart w:id="117" w:name="_Toc15058862"/>
      <w:bookmarkStart w:id="118" w:name="_Toc35424903"/>
      <w:bookmarkStart w:id="119" w:name="_Toc22085"/>
      <w:bookmarkStart w:id="120" w:name="_Toc2312"/>
      <w:bookmarkStart w:id="121" w:name="_Toc35947186"/>
      <w:bookmarkStart w:id="122" w:name="_Toc324404831"/>
      <w:bookmarkStart w:id="123" w:name="_Toc992"/>
      <w:bookmarkStart w:id="124" w:name="_Toc35425069"/>
      <w:r>
        <w:rPr>
          <w:rFonts w:hint="eastAsia" w:ascii="宋体" w:hAnsi="宋体" w:cs="宋体"/>
          <w:szCs w:val="21"/>
        </w:rPr>
        <w:t>以澄清公告形式在滁州市第二人民医院（市传染病医院、市精神病医院）官网予以公告。如果澄清内容影响投标文件编制的，将相应延长投标截止时间。</w:t>
      </w:r>
    </w:p>
    <w:bookmarkEnd w:id="117"/>
    <w:bookmarkEnd w:id="118"/>
    <w:bookmarkEnd w:id="119"/>
    <w:bookmarkEnd w:id="120"/>
    <w:bookmarkEnd w:id="121"/>
    <w:bookmarkEnd w:id="122"/>
    <w:bookmarkEnd w:id="123"/>
    <w:bookmarkEnd w:id="124"/>
    <w:p w14:paraId="026D5EBC">
      <w:pPr>
        <w:pStyle w:val="3"/>
        <w:ind w:firstLine="482"/>
      </w:pPr>
      <w:bookmarkStart w:id="125" w:name="_Toc23986"/>
      <w:bookmarkStart w:id="126" w:name="_Toc506107285"/>
      <w:bookmarkStart w:id="127" w:name="_Toc7791"/>
      <w:bookmarkStart w:id="128" w:name="_Toc35424904"/>
      <w:bookmarkStart w:id="129" w:name="_Toc35425070"/>
      <w:bookmarkStart w:id="130" w:name="_Toc22327"/>
      <w:bookmarkStart w:id="131" w:name="_Toc15058863"/>
      <w:bookmarkStart w:id="132" w:name="_Toc35947187"/>
      <w:bookmarkStart w:id="133" w:name="_Toc24360"/>
      <w:r>
        <w:rPr>
          <w:rFonts w:hint="eastAsia"/>
        </w:rPr>
        <w:t>3. 投标文件</w:t>
      </w:r>
      <w:bookmarkEnd w:id="125"/>
      <w:bookmarkEnd w:id="126"/>
      <w:bookmarkEnd w:id="127"/>
      <w:bookmarkEnd w:id="128"/>
      <w:bookmarkEnd w:id="129"/>
      <w:bookmarkEnd w:id="130"/>
      <w:bookmarkEnd w:id="131"/>
      <w:bookmarkEnd w:id="132"/>
      <w:bookmarkEnd w:id="133"/>
    </w:p>
    <w:p w14:paraId="21B4E5E1">
      <w:pPr>
        <w:spacing w:line="440" w:lineRule="atLeast"/>
        <w:ind w:firstLine="422" w:firstLineChars="200"/>
        <w:outlineLvl w:val="2"/>
        <w:rPr>
          <w:rFonts w:ascii="宋体" w:hAnsi="宋体" w:cs="宋体"/>
          <w:b/>
          <w:bCs/>
          <w:szCs w:val="21"/>
        </w:rPr>
      </w:pPr>
      <w:bookmarkStart w:id="134" w:name="_Toc6370"/>
      <w:bookmarkStart w:id="135" w:name="_Toc13866"/>
      <w:bookmarkStart w:id="136" w:name="_Toc35947188"/>
      <w:bookmarkStart w:id="137" w:name="_Toc35425071"/>
      <w:bookmarkStart w:id="138" w:name="_Toc10744"/>
      <w:bookmarkStart w:id="139" w:name="_Toc15058864"/>
      <w:bookmarkStart w:id="140" w:name="_Toc506107286"/>
      <w:bookmarkStart w:id="141" w:name="_Toc35424905"/>
      <w:r>
        <w:rPr>
          <w:rFonts w:hint="eastAsia" w:ascii="宋体" w:hAnsi="宋体" w:cs="宋体"/>
          <w:b/>
          <w:bCs/>
          <w:szCs w:val="21"/>
        </w:rPr>
        <w:t>3.1 投标文件的组成</w:t>
      </w:r>
      <w:bookmarkEnd w:id="134"/>
      <w:bookmarkEnd w:id="135"/>
      <w:bookmarkEnd w:id="136"/>
      <w:bookmarkEnd w:id="137"/>
      <w:bookmarkEnd w:id="138"/>
      <w:bookmarkEnd w:id="139"/>
      <w:bookmarkEnd w:id="140"/>
      <w:bookmarkEnd w:id="141"/>
    </w:p>
    <w:p w14:paraId="77A23AE9">
      <w:pPr>
        <w:spacing w:line="440" w:lineRule="exact"/>
        <w:ind w:firstLine="422" w:firstLineChars="200"/>
        <w:rPr>
          <w:rFonts w:ascii="宋体" w:hAnsi="宋体"/>
          <w:b/>
          <w:bCs/>
        </w:rPr>
      </w:pPr>
      <w:bookmarkStart w:id="142" w:name="_Toc144974516"/>
      <w:bookmarkStart w:id="143" w:name="_Toc14180"/>
      <w:bookmarkStart w:id="144" w:name="_Toc324404834"/>
      <w:bookmarkStart w:id="145" w:name="_Toc31424"/>
      <w:bookmarkStart w:id="146" w:name="_Toc296602438"/>
      <w:bookmarkStart w:id="147" w:name="_Toc246996193"/>
      <w:bookmarkStart w:id="148" w:name="_Toc246996936"/>
      <w:bookmarkStart w:id="149" w:name="_Toc247085707"/>
      <w:bookmarkStart w:id="150" w:name="_Toc35424906"/>
      <w:bookmarkStart w:id="151" w:name="_Toc152042324"/>
      <w:bookmarkStart w:id="152" w:name="_Toc15058865"/>
      <w:bookmarkStart w:id="153" w:name="_Toc35425072"/>
      <w:bookmarkStart w:id="154" w:name="_Toc152045548"/>
      <w:bookmarkStart w:id="155" w:name="_Toc35947189"/>
      <w:bookmarkStart w:id="156" w:name="_Toc506107287"/>
      <w:bookmarkStart w:id="157" w:name="_Toc179632566"/>
      <w:bookmarkStart w:id="158" w:name="_Toc6207"/>
      <w:r>
        <w:rPr>
          <w:rFonts w:hint="eastAsia" w:ascii="宋体" w:hAnsi="宋体"/>
          <w:b/>
          <w:bCs/>
        </w:rPr>
        <w:t>投标文件由资信部分、技术部分、商务部分三部分组成，按照招标文件格式要求进行编写。</w:t>
      </w:r>
    </w:p>
    <w:p w14:paraId="4F057D77">
      <w:pPr>
        <w:spacing w:line="440" w:lineRule="atLeast"/>
        <w:ind w:firstLine="422" w:firstLineChars="200"/>
        <w:outlineLvl w:val="2"/>
        <w:rPr>
          <w:rFonts w:ascii="宋体" w:hAnsi="宋体" w:cs="宋体"/>
          <w:b/>
          <w:bCs/>
          <w:szCs w:val="21"/>
        </w:rPr>
      </w:pPr>
      <w:r>
        <w:rPr>
          <w:rFonts w:hint="eastAsia" w:ascii="宋体" w:hAnsi="宋体" w:cs="宋体"/>
          <w:b/>
          <w:bCs/>
          <w:szCs w:val="21"/>
        </w:rPr>
        <w:t>3.2 投标报价</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B677E44">
      <w:pPr>
        <w:spacing w:line="440" w:lineRule="atLeast"/>
        <w:ind w:firstLine="420" w:firstLineChars="200"/>
        <w:rPr>
          <w:rFonts w:ascii="宋体" w:hAnsi="宋体" w:cs="宋体"/>
          <w:szCs w:val="21"/>
        </w:rPr>
      </w:pPr>
      <w:bookmarkStart w:id="159" w:name="_Toc152042325"/>
      <w:bookmarkStart w:id="160" w:name="_Toc24128"/>
      <w:bookmarkStart w:id="161" w:name="_Toc246996937"/>
      <w:bookmarkStart w:id="162" w:name="_Toc35947190"/>
      <w:bookmarkStart w:id="163" w:name="_Toc296602439"/>
      <w:bookmarkStart w:id="164" w:name="_Toc152045549"/>
      <w:bookmarkStart w:id="165" w:name="_Toc35424907"/>
      <w:bookmarkStart w:id="166" w:name="_Toc246996194"/>
      <w:bookmarkStart w:id="167" w:name="_Toc35425073"/>
      <w:bookmarkStart w:id="168" w:name="_Toc324404835"/>
      <w:bookmarkStart w:id="169" w:name="_Toc8930"/>
      <w:bookmarkStart w:id="170" w:name="_Toc24368"/>
      <w:bookmarkStart w:id="171" w:name="_Toc179632567"/>
      <w:bookmarkStart w:id="172" w:name="_Toc144974517"/>
      <w:bookmarkStart w:id="173" w:name="_Toc506107288"/>
      <w:bookmarkStart w:id="174" w:name="_Toc247085708"/>
      <w:bookmarkStart w:id="175" w:name="_Toc15058866"/>
      <w:r>
        <w:rPr>
          <w:rFonts w:hint="eastAsia" w:ascii="宋体" w:hAnsi="宋体" w:cs="宋体"/>
          <w:szCs w:val="21"/>
        </w:rPr>
        <w:t>3.2.1投标报价文件中的单价和总价全部采用人民币表示。投标人的报价应含有服务、利润、税金、政策性文件规定及合同包含的所有风险、责任、义务等，即为完成招标文件要求的服务内容所包含的一切应有费用，采购人后期不再追加费用，投标投标人自行考虑投标风险。</w:t>
      </w:r>
    </w:p>
    <w:p w14:paraId="27AF4D2B">
      <w:pPr>
        <w:spacing w:line="440" w:lineRule="atLeast"/>
        <w:ind w:firstLine="420" w:firstLineChars="200"/>
        <w:rPr>
          <w:rFonts w:ascii="宋体" w:hAnsi="宋体" w:cs="宋体"/>
          <w:szCs w:val="21"/>
        </w:rPr>
      </w:pPr>
      <w:r>
        <w:rPr>
          <w:rFonts w:hint="eastAsia" w:ascii="宋体" w:hAnsi="宋体" w:cs="宋体"/>
          <w:szCs w:val="21"/>
        </w:rPr>
        <w:t>3.2.2投标人只允许有一个方案、一个报价。</w:t>
      </w:r>
    </w:p>
    <w:p w14:paraId="4C9EB052">
      <w:pPr>
        <w:spacing w:line="440" w:lineRule="atLeast"/>
        <w:ind w:firstLine="420" w:firstLineChars="200"/>
        <w:rPr>
          <w:rFonts w:ascii="宋体" w:hAnsi="宋体" w:cs="宋体"/>
          <w:szCs w:val="21"/>
        </w:rPr>
      </w:pPr>
      <w:r>
        <w:rPr>
          <w:rFonts w:hint="eastAsia" w:ascii="宋体" w:hAnsi="宋体" w:cs="宋体"/>
          <w:szCs w:val="21"/>
        </w:rPr>
        <w:t>3.2.3技术要求中规定的安装、调试和培训费用应包括在投标价格中。投标文件报价为含税价，采购人不再为此次招标支付任何费用。</w:t>
      </w:r>
    </w:p>
    <w:p w14:paraId="4CE37B5B">
      <w:pPr>
        <w:spacing w:line="440" w:lineRule="atLeast"/>
        <w:ind w:firstLine="420" w:firstLineChars="200"/>
        <w:rPr>
          <w:rFonts w:ascii="宋体" w:hAnsi="宋体" w:cs="宋体"/>
          <w:szCs w:val="21"/>
        </w:rPr>
      </w:pPr>
      <w:r>
        <w:rPr>
          <w:rFonts w:hint="eastAsia" w:ascii="宋体" w:hAnsi="宋体" w:cs="宋体"/>
          <w:szCs w:val="21"/>
        </w:rPr>
        <w:t>3.2.4投标报价应由法定代表人或被授权人签署。</w:t>
      </w:r>
    </w:p>
    <w:p w14:paraId="3DA0AA58">
      <w:pPr>
        <w:spacing w:line="440" w:lineRule="atLeast"/>
        <w:ind w:firstLine="420" w:firstLineChars="200"/>
        <w:rPr>
          <w:rFonts w:ascii="宋体" w:hAnsi="宋体" w:cs="宋体"/>
          <w:szCs w:val="21"/>
        </w:rPr>
      </w:pPr>
      <w:r>
        <w:rPr>
          <w:rFonts w:hint="eastAsia" w:ascii="宋体" w:hAnsi="宋体" w:cs="宋体"/>
          <w:szCs w:val="21"/>
        </w:rPr>
        <w:t>3.2.5投标人的报价不得高于本次招标最高限价，否则将作为无效投标处理。</w:t>
      </w:r>
    </w:p>
    <w:p w14:paraId="2CABACD6">
      <w:pPr>
        <w:spacing w:line="440" w:lineRule="atLeast"/>
        <w:ind w:firstLine="422" w:firstLineChars="200"/>
        <w:outlineLvl w:val="2"/>
        <w:rPr>
          <w:rFonts w:ascii="宋体" w:hAnsi="宋体" w:cs="宋体"/>
          <w:b/>
          <w:bCs/>
          <w:szCs w:val="21"/>
        </w:rPr>
      </w:pPr>
      <w:r>
        <w:rPr>
          <w:rFonts w:hint="eastAsia" w:ascii="宋体" w:hAnsi="宋体" w:cs="宋体"/>
          <w:b/>
          <w:bCs/>
          <w:szCs w:val="21"/>
        </w:rPr>
        <w:t>3.3 投标有效期</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4978A07">
      <w:pPr>
        <w:spacing w:line="440" w:lineRule="exact"/>
        <w:ind w:firstLine="420" w:firstLineChars="200"/>
        <w:rPr>
          <w:rFonts w:ascii="宋体"/>
          <w:szCs w:val="21"/>
        </w:rPr>
      </w:pPr>
      <w:bookmarkStart w:id="176" w:name="_Toc246996195"/>
      <w:bookmarkStart w:id="177" w:name="_Toc506107289"/>
      <w:bookmarkStart w:id="178" w:name="_Toc35424908"/>
      <w:bookmarkStart w:id="179" w:name="_Toc296602440"/>
      <w:bookmarkStart w:id="180" w:name="_Toc35947191"/>
      <w:bookmarkStart w:id="181" w:name="_Toc247085709"/>
      <w:bookmarkStart w:id="182" w:name="_Toc246996938"/>
      <w:bookmarkStart w:id="183" w:name="_Toc11832"/>
      <w:bookmarkStart w:id="184" w:name="_Toc144974518"/>
      <w:bookmarkStart w:id="185" w:name="_Toc35425074"/>
      <w:bookmarkStart w:id="186" w:name="_Toc152042326"/>
      <w:bookmarkStart w:id="187" w:name="_Toc324404836"/>
      <w:bookmarkStart w:id="188" w:name="_Toc15058867"/>
      <w:bookmarkStart w:id="189" w:name="_Toc152045550"/>
      <w:bookmarkStart w:id="190" w:name="_Toc179632568"/>
      <w:bookmarkStart w:id="191" w:name="_Toc10052"/>
      <w:bookmarkStart w:id="192" w:name="_Toc7863"/>
      <w:r>
        <w:rPr>
          <w:rFonts w:hint="eastAsia" w:ascii="宋体"/>
          <w:szCs w:val="21"/>
        </w:rPr>
        <w:t>13.1 除投标人须知前附表另有规定外，投标有效期为30天。</w:t>
      </w:r>
    </w:p>
    <w:p w14:paraId="7D4389CB">
      <w:pPr>
        <w:spacing w:line="440" w:lineRule="exact"/>
        <w:ind w:firstLine="420" w:firstLineChars="200"/>
        <w:rPr>
          <w:rFonts w:ascii="宋体"/>
          <w:szCs w:val="21"/>
        </w:rPr>
      </w:pPr>
      <w:r>
        <w:rPr>
          <w:rFonts w:hint="eastAsia" w:ascii="宋体"/>
          <w:szCs w:val="21"/>
        </w:rPr>
        <w:t>13.2在投标有效期内，投标人撤销或修改其投标文件的，应承担招标文件和法律规定的责任。</w:t>
      </w:r>
    </w:p>
    <w:p w14:paraId="1609E37F">
      <w:pPr>
        <w:spacing w:line="440" w:lineRule="exact"/>
        <w:ind w:firstLine="420" w:firstLineChars="200"/>
        <w:rPr>
          <w:rFonts w:ascii="宋体"/>
          <w:szCs w:val="21"/>
        </w:rPr>
      </w:pPr>
      <w:r>
        <w:rPr>
          <w:rFonts w:hint="eastAsia" w:ascii="宋体"/>
          <w:szCs w:val="21"/>
        </w:rPr>
        <w:t>13.3出现特殊情况需要延长投标有效期的，采购人以书面形式通知所有投标人延长投标有效期。</w:t>
      </w:r>
    </w:p>
    <w:p w14:paraId="22EFF68D">
      <w:pPr>
        <w:spacing w:line="440" w:lineRule="atLeast"/>
        <w:ind w:firstLine="422" w:firstLineChars="200"/>
        <w:outlineLvl w:val="2"/>
        <w:rPr>
          <w:rFonts w:ascii="宋体" w:hAnsi="宋体" w:cs="宋体"/>
          <w:b/>
          <w:bCs/>
          <w:szCs w:val="21"/>
        </w:rPr>
      </w:pPr>
      <w:r>
        <w:rPr>
          <w:rFonts w:hint="eastAsia" w:ascii="宋体" w:hAnsi="宋体" w:cs="宋体"/>
          <w:b/>
          <w:bCs/>
          <w:szCs w:val="21"/>
        </w:rPr>
        <w:t>3.4 投标保证金</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hint="eastAsia" w:ascii="宋体" w:hAnsi="宋体" w:cs="宋体"/>
          <w:b/>
          <w:bCs/>
          <w:szCs w:val="21"/>
        </w:rPr>
        <w:t>（不要求）</w:t>
      </w:r>
    </w:p>
    <w:bookmarkEnd w:id="191"/>
    <w:bookmarkEnd w:id="192"/>
    <w:p w14:paraId="7722D530">
      <w:pPr>
        <w:spacing w:line="440" w:lineRule="atLeast"/>
        <w:ind w:firstLine="422" w:firstLineChars="200"/>
        <w:outlineLvl w:val="2"/>
        <w:rPr>
          <w:rFonts w:ascii="宋体" w:hAnsi="宋体" w:cs="宋体"/>
          <w:b/>
          <w:bCs/>
          <w:szCs w:val="21"/>
        </w:rPr>
      </w:pPr>
      <w:bookmarkStart w:id="193" w:name="_Toc2570"/>
      <w:bookmarkStart w:id="194" w:name="_Toc35424909"/>
      <w:bookmarkStart w:id="195" w:name="_Toc35947192"/>
      <w:bookmarkStart w:id="196" w:name="_Toc18536"/>
      <w:bookmarkStart w:id="197" w:name="_Toc324404837"/>
      <w:bookmarkStart w:id="198" w:name="_Toc18845"/>
      <w:bookmarkStart w:id="199" w:name="_Toc35425075"/>
      <w:bookmarkStart w:id="200" w:name="_Toc296602442"/>
      <w:bookmarkStart w:id="201" w:name="_Toc15058868"/>
      <w:bookmarkStart w:id="202" w:name="_Toc506107290"/>
      <w:bookmarkStart w:id="203" w:name="_Toc179632571"/>
      <w:bookmarkStart w:id="204" w:name="_Toc144974521"/>
      <w:bookmarkStart w:id="205" w:name="_Toc152045553"/>
      <w:bookmarkStart w:id="206" w:name="_Toc246996197"/>
      <w:bookmarkStart w:id="207" w:name="_Toc247085711"/>
      <w:bookmarkStart w:id="208" w:name="_Toc246996940"/>
      <w:bookmarkStart w:id="209" w:name="_Toc152042329"/>
      <w:r>
        <w:rPr>
          <w:rFonts w:hint="eastAsia" w:ascii="宋体" w:hAnsi="宋体" w:cs="宋体"/>
          <w:b/>
          <w:bCs/>
          <w:szCs w:val="21"/>
        </w:rPr>
        <w:t>3.5投标文件的编制</w:t>
      </w:r>
      <w:bookmarkEnd w:id="193"/>
      <w:bookmarkEnd w:id="194"/>
      <w:bookmarkEnd w:id="195"/>
      <w:bookmarkEnd w:id="196"/>
      <w:bookmarkEnd w:id="197"/>
      <w:bookmarkEnd w:id="198"/>
      <w:bookmarkEnd w:id="199"/>
      <w:bookmarkEnd w:id="200"/>
      <w:bookmarkEnd w:id="201"/>
      <w:bookmarkEnd w:id="202"/>
    </w:p>
    <w:bookmarkEnd w:id="203"/>
    <w:bookmarkEnd w:id="204"/>
    <w:bookmarkEnd w:id="205"/>
    <w:bookmarkEnd w:id="206"/>
    <w:bookmarkEnd w:id="207"/>
    <w:bookmarkEnd w:id="208"/>
    <w:bookmarkEnd w:id="209"/>
    <w:p w14:paraId="5F9FBA99">
      <w:pPr>
        <w:spacing w:line="440" w:lineRule="atLeast"/>
        <w:ind w:firstLine="420" w:firstLineChars="200"/>
        <w:rPr>
          <w:rFonts w:ascii="宋体" w:hAnsi="宋体" w:cs="宋体"/>
          <w:szCs w:val="21"/>
        </w:rPr>
      </w:pPr>
      <w:bookmarkStart w:id="210" w:name="_Toc324404838"/>
      <w:bookmarkStart w:id="211" w:name="_Toc152045555"/>
      <w:bookmarkStart w:id="212" w:name="_Toc246996199"/>
      <w:bookmarkStart w:id="213" w:name="_Toc179632573"/>
      <w:bookmarkStart w:id="214" w:name="_Toc247085713"/>
      <w:bookmarkStart w:id="215" w:name="_Toc152042331"/>
      <w:bookmarkStart w:id="216" w:name="_Toc246996942"/>
      <w:bookmarkStart w:id="217" w:name="_Toc144974523"/>
      <w:r>
        <w:rPr>
          <w:rFonts w:hint="eastAsia" w:ascii="宋体" w:hAnsi="宋体" w:cs="宋体"/>
          <w:szCs w:val="21"/>
        </w:rPr>
        <w:t>3.5.1投标文件应按“投标文件格式”进行编写，如有必要，可以增加附页，作为投标文件的组成部分。</w:t>
      </w:r>
    </w:p>
    <w:p w14:paraId="584C354F">
      <w:pPr>
        <w:spacing w:line="440" w:lineRule="atLeast"/>
        <w:ind w:firstLine="420" w:firstLineChars="200"/>
        <w:rPr>
          <w:rFonts w:ascii="宋体" w:hAnsi="宋体" w:cs="宋体"/>
          <w:szCs w:val="21"/>
        </w:rPr>
      </w:pPr>
      <w:r>
        <w:rPr>
          <w:rFonts w:hint="eastAsia" w:ascii="宋体" w:hAnsi="宋体" w:cs="宋体"/>
          <w:szCs w:val="21"/>
        </w:rPr>
        <w:t>3.5.2 投标文件应当对交易文件有关服务期、投标有效期、质量要求、技术标准和要求、招标范围等实质性内容作出响应。</w:t>
      </w:r>
    </w:p>
    <w:p w14:paraId="540B8B14">
      <w:pPr>
        <w:spacing w:line="440" w:lineRule="atLeast"/>
        <w:ind w:firstLine="420" w:firstLineChars="200"/>
        <w:rPr>
          <w:rFonts w:ascii="宋体" w:hAnsi="宋体" w:cs="宋体"/>
          <w:szCs w:val="21"/>
        </w:rPr>
      </w:pPr>
      <w:r>
        <w:rPr>
          <w:rFonts w:hint="eastAsia" w:ascii="宋体" w:hAnsi="宋体" w:cs="宋体"/>
          <w:szCs w:val="21"/>
        </w:rPr>
        <w:t>3.5.3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77636DEA">
      <w:pPr>
        <w:spacing w:line="440" w:lineRule="atLeast"/>
        <w:ind w:firstLine="420" w:firstLineChars="200"/>
        <w:rPr>
          <w:rFonts w:ascii="宋体" w:hAnsi="宋体" w:cs="宋体"/>
          <w:szCs w:val="21"/>
        </w:rPr>
      </w:pPr>
      <w:r>
        <w:rPr>
          <w:rFonts w:hint="eastAsia" w:ascii="宋体" w:hAnsi="宋体" w:cs="宋体"/>
          <w:szCs w:val="21"/>
        </w:rPr>
        <w:t>3.5.4 投标文件正本、 副本份数见投标人须知前附表。正本和副本的封面上应清楚地标记“正本”或“副本”的字样。当副本和正本不一致时，以正本为准。</w:t>
      </w:r>
    </w:p>
    <w:p w14:paraId="1B530027">
      <w:pPr>
        <w:spacing w:line="440" w:lineRule="atLeast"/>
        <w:ind w:firstLine="420" w:firstLineChars="200"/>
        <w:rPr>
          <w:rFonts w:ascii="宋体" w:hAnsi="宋体" w:cs="宋体"/>
          <w:szCs w:val="21"/>
        </w:rPr>
      </w:pPr>
      <w:r>
        <w:rPr>
          <w:rFonts w:hint="eastAsia" w:ascii="宋体" w:hAnsi="宋体" w:cs="宋体"/>
          <w:szCs w:val="21"/>
        </w:rPr>
        <w:t>3.5.5 投标文件的正本与副本应分别装订成册，具体装订要求见投标人须知前附表规定。</w:t>
      </w:r>
    </w:p>
    <w:p w14:paraId="1FB8CD8D">
      <w:pPr>
        <w:pStyle w:val="3"/>
        <w:ind w:firstLine="482"/>
      </w:pPr>
      <w:bookmarkStart w:id="218" w:name="_Toc506107291"/>
      <w:bookmarkStart w:id="219" w:name="_Toc18579"/>
      <w:bookmarkStart w:id="220" w:name="_Toc8706"/>
      <w:bookmarkStart w:id="221" w:name="_Toc35425076"/>
      <w:bookmarkStart w:id="222" w:name="_Toc35947193"/>
      <w:bookmarkStart w:id="223" w:name="_Toc21503"/>
      <w:bookmarkStart w:id="224" w:name="_Toc35424910"/>
      <w:bookmarkStart w:id="225" w:name="_Toc8633"/>
      <w:bookmarkStart w:id="226" w:name="_Toc15058869"/>
      <w:r>
        <w:rPr>
          <w:rFonts w:hint="eastAsia"/>
        </w:rPr>
        <w:t>4.投标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2D15CC0">
      <w:pPr>
        <w:spacing w:line="440" w:lineRule="atLeast"/>
        <w:ind w:firstLine="361" w:firstLineChars="200"/>
        <w:outlineLvl w:val="2"/>
        <w:rPr>
          <w:rFonts w:ascii="宋体" w:hAnsi="宋体" w:cs="宋体"/>
          <w:b/>
          <w:bCs/>
          <w:sz w:val="18"/>
          <w:szCs w:val="18"/>
        </w:rPr>
      </w:pPr>
      <w:bookmarkStart w:id="227" w:name="_Toc246996943"/>
      <w:bookmarkStart w:id="228" w:name="_Toc4607"/>
      <w:bookmarkStart w:id="229" w:name="_Toc152042332"/>
      <w:bookmarkStart w:id="230" w:name="_Toc296602444"/>
      <w:bookmarkStart w:id="231" w:name="_Toc152045556"/>
      <w:bookmarkStart w:id="232" w:name="_Toc144974524"/>
      <w:bookmarkStart w:id="233" w:name="_Toc324404839"/>
      <w:bookmarkStart w:id="234" w:name="_Toc179632574"/>
      <w:bookmarkStart w:id="235" w:name="_Toc246996200"/>
      <w:bookmarkStart w:id="236" w:name="_Toc1347"/>
      <w:bookmarkStart w:id="237" w:name="_Toc30189"/>
      <w:bookmarkStart w:id="238" w:name="_Toc247085714"/>
      <w:bookmarkStart w:id="239" w:name="_Toc506107295"/>
      <w:bookmarkStart w:id="240" w:name="_Toc21611136"/>
      <w:bookmarkStart w:id="241" w:name="_Toc246996946"/>
      <w:bookmarkStart w:id="242" w:name="_Toc144974527"/>
      <w:bookmarkStart w:id="243" w:name="_Toc152045559"/>
      <w:bookmarkStart w:id="244" w:name="_Toc152042335"/>
      <w:bookmarkStart w:id="245" w:name="_Toc247085717"/>
      <w:bookmarkStart w:id="246" w:name="_Toc179632577"/>
      <w:bookmarkStart w:id="247" w:name="_Toc324404842"/>
      <w:bookmarkStart w:id="248" w:name="_Toc246996203"/>
      <w:bookmarkStart w:id="249" w:name="_Toc35947202"/>
      <w:bookmarkStart w:id="250" w:name="_Toc179632580"/>
      <w:bookmarkStart w:id="251" w:name="_Toc324404846"/>
      <w:bookmarkStart w:id="252" w:name="_Toc506107299"/>
      <w:bookmarkStart w:id="253" w:name="_Toc35424919"/>
      <w:bookmarkStart w:id="254" w:name="_Toc152045562"/>
      <w:bookmarkStart w:id="255" w:name="_Toc247085720"/>
      <w:bookmarkStart w:id="256" w:name="_Toc144974530"/>
      <w:bookmarkStart w:id="257" w:name="_Toc246996206"/>
      <w:bookmarkStart w:id="258" w:name="_Toc15058884"/>
      <w:bookmarkStart w:id="259" w:name="_Toc35425085"/>
      <w:bookmarkStart w:id="260" w:name="_Toc246996949"/>
      <w:bookmarkStart w:id="261" w:name="_Toc152042338"/>
      <w:r>
        <w:rPr>
          <w:rFonts w:hint="eastAsia" w:ascii="宋体" w:hAnsi="宋体" w:cs="宋体"/>
          <w:b/>
          <w:bCs/>
          <w:sz w:val="18"/>
          <w:szCs w:val="18"/>
        </w:rPr>
        <w:t>4.1 投标文件的密封和标记</w:t>
      </w:r>
      <w:bookmarkEnd w:id="227"/>
      <w:bookmarkEnd w:id="228"/>
      <w:bookmarkEnd w:id="229"/>
      <w:bookmarkEnd w:id="230"/>
      <w:bookmarkEnd w:id="231"/>
      <w:bookmarkEnd w:id="232"/>
      <w:bookmarkEnd w:id="233"/>
      <w:bookmarkEnd w:id="234"/>
      <w:bookmarkEnd w:id="235"/>
      <w:bookmarkEnd w:id="236"/>
      <w:bookmarkEnd w:id="237"/>
      <w:bookmarkEnd w:id="238"/>
    </w:p>
    <w:p w14:paraId="0D66E634">
      <w:pPr>
        <w:spacing w:line="440" w:lineRule="atLeast"/>
        <w:ind w:firstLine="420" w:firstLineChars="200"/>
        <w:rPr>
          <w:rFonts w:ascii="宋体" w:hAnsi="宋体" w:cs="宋体"/>
          <w:szCs w:val="21"/>
        </w:rPr>
      </w:pPr>
      <w:bookmarkStart w:id="262" w:name="_Toc246996201"/>
      <w:bookmarkStart w:id="263" w:name="_Toc152042333"/>
      <w:bookmarkStart w:id="264" w:name="_Toc246996944"/>
      <w:bookmarkStart w:id="265" w:name="_Toc179632575"/>
      <w:bookmarkStart w:id="266" w:name="_Toc152045557"/>
      <w:bookmarkStart w:id="267" w:name="_Toc144974525"/>
      <w:bookmarkStart w:id="268" w:name="_Toc247085715"/>
      <w:r>
        <w:rPr>
          <w:rFonts w:hint="eastAsia" w:ascii="宋体" w:hAnsi="宋体" w:cs="宋体"/>
          <w:szCs w:val="21"/>
        </w:rPr>
        <w:t>4.1.1 投标文件应进行密封包装，并在封套上加盖投标人单位章。</w:t>
      </w:r>
    </w:p>
    <w:p w14:paraId="6267912E">
      <w:pPr>
        <w:spacing w:line="440" w:lineRule="atLeast"/>
        <w:ind w:firstLine="420" w:firstLineChars="200"/>
        <w:rPr>
          <w:rFonts w:ascii="宋体" w:hAnsi="宋体" w:cs="宋体"/>
          <w:szCs w:val="21"/>
        </w:rPr>
      </w:pPr>
      <w:r>
        <w:rPr>
          <w:rFonts w:hint="eastAsia" w:ascii="宋体" w:hAnsi="宋体" w:cs="宋体"/>
          <w:szCs w:val="21"/>
        </w:rPr>
        <w:t>4.1.2 投标文件封套上应写明的内容及具体密封要求见投标人须知前附表。</w:t>
      </w:r>
    </w:p>
    <w:p w14:paraId="41CC9AFE">
      <w:pPr>
        <w:spacing w:line="440" w:lineRule="atLeast"/>
        <w:ind w:firstLine="361" w:firstLineChars="200"/>
        <w:outlineLvl w:val="2"/>
        <w:rPr>
          <w:rFonts w:ascii="宋体" w:hAnsi="宋体" w:cs="宋体"/>
          <w:b/>
          <w:bCs/>
          <w:sz w:val="18"/>
          <w:szCs w:val="18"/>
        </w:rPr>
      </w:pPr>
      <w:bookmarkStart w:id="269" w:name="_Toc14812"/>
      <w:bookmarkStart w:id="270" w:name="_Toc28392"/>
      <w:bookmarkStart w:id="271" w:name="_Toc324404840"/>
      <w:bookmarkStart w:id="272" w:name="_Toc296602445"/>
      <w:bookmarkStart w:id="273" w:name="_Toc4531"/>
      <w:r>
        <w:rPr>
          <w:rFonts w:hint="eastAsia" w:ascii="宋体" w:hAnsi="宋体" w:cs="宋体"/>
          <w:b/>
          <w:bCs/>
          <w:sz w:val="18"/>
          <w:szCs w:val="18"/>
        </w:rPr>
        <w:t>4.2 投标文件的递交</w:t>
      </w:r>
      <w:bookmarkEnd w:id="262"/>
      <w:bookmarkEnd w:id="263"/>
      <w:bookmarkEnd w:id="264"/>
      <w:bookmarkEnd w:id="265"/>
      <w:bookmarkEnd w:id="266"/>
      <w:bookmarkEnd w:id="267"/>
      <w:bookmarkEnd w:id="268"/>
      <w:bookmarkEnd w:id="269"/>
      <w:bookmarkEnd w:id="270"/>
      <w:bookmarkEnd w:id="271"/>
      <w:bookmarkEnd w:id="272"/>
      <w:bookmarkEnd w:id="273"/>
    </w:p>
    <w:p w14:paraId="34544CDB">
      <w:pPr>
        <w:spacing w:line="440" w:lineRule="atLeast"/>
        <w:ind w:firstLine="420" w:firstLineChars="200"/>
        <w:rPr>
          <w:rFonts w:ascii="宋体" w:hAnsi="宋体" w:cs="宋体"/>
          <w:szCs w:val="21"/>
        </w:rPr>
      </w:pPr>
      <w:r>
        <w:rPr>
          <w:rFonts w:hint="eastAsia" w:ascii="宋体" w:hAnsi="宋体" w:cs="宋体"/>
          <w:szCs w:val="21"/>
        </w:rPr>
        <w:t>4.2.1投标人应在投标人须知前附表规定的投标截止时间前递交投标文件。</w:t>
      </w:r>
    </w:p>
    <w:p w14:paraId="1821C112">
      <w:pPr>
        <w:spacing w:line="440" w:lineRule="atLeast"/>
        <w:ind w:firstLine="420" w:firstLineChars="200"/>
        <w:rPr>
          <w:rFonts w:ascii="宋体" w:hAnsi="宋体" w:cs="宋体"/>
          <w:szCs w:val="21"/>
        </w:rPr>
      </w:pPr>
      <w:r>
        <w:rPr>
          <w:rFonts w:hint="eastAsia" w:ascii="宋体" w:hAnsi="宋体" w:cs="宋体"/>
          <w:szCs w:val="21"/>
        </w:rPr>
        <w:t>4.2.2 投标人递交投标文件的地点：见投标人须知前附表。</w:t>
      </w:r>
    </w:p>
    <w:p w14:paraId="7A2503B7">
      <w:pPr>
        <w:spacing w:line="440" w:lineRule="atLeast"/>
        <w:ind w:firstLine="420" w:firstLineChars="200"/>
        <w:rPr>
          <w:rFonts w:ascii="宋体" w:hAnsi="宋体" w:cs="宋体"/>
          <w:szCs w:val="21"/>
        </w:rPr>
      </w:pPr>
      <w:r>
        <w:rPr>
          <w:rFonts w:hint="eastAsia" w:ascii="宋体" w:hAnsi="宋体" w:cs="宋体"/>
          <w:szCs w:val="21"/>
        </w:rPr>
        <w:t>4.2.3 除投标人须知前附表另有规定外，投标人所递交的投标文件不予退还。</w:t>
      </w:r>
    </w:p>
    <w:p w14:paraId="02B5D4C6">
      <w:pPr>
        <w:spacing w:line="440" w:lineRule="atLeast"/>
        <w:ind w:firstLine="420" w:firstLineChars="200"/>
        <w:rPr>
          <w:rFonts w:ascii="宋体" w:hAnsi="宋体" w:cs="宋体"/>
          <w:szCs w:val="21"/>
        </w:rPr>
      </w:pPr>
      <w:r>
        <w:rPr>
          <w:rFonts w:hint="eastAsia" w:ascii="宋体" w:hAnsi="宋体" w:cs="宋体"/>
          <w:szCs w:val="21"/>
        </w:rPr>
        <w:t>4.2.4 逾期送达的或者未送达指定地点的投标文件，采购人不予受理。</w:t>
      </w:r>
    </w:p>
    <w:p w14:paraId="2D0AB770">
      <w:pPr>
        <w:spacing w:line="440" w:lineRule="atLeast"/>
        <w:ind w:firstLine="361" w:firstLineChars="200"/>
        <w:outlineLvl w:val="2"/>
        <w:rPr>
          <w:rFonts w:ascii="宋体" w:hAnsi="宋体" w:cs="宋体"/>
          <w:b/>
          <w:bCs/>
          <w:sz w:val="18"/>
          <w:szCs w:val="18"/>
        </w:rPr>
      </w:pPr>
      <w:bookmarkStart w:id="274" w:name="_Toc246996945"/>
      <w:bookmarkStart w:id="275" w:name="_Toc20500"/>
      <w:bookmarkStart w:id="276" w:name="_Toc144974526"/>
      <w:bookmarkStart w:id="277" w:name="_Toc152045558"/>
      <w:bookmarkStart w:id="278" w:name="_Toc324404841"/>
      <w:bookmarkStart w:id="279" w:name="_Toc152042334"/>
      <w:bookmarkStart w:id="280" w:name="_Toc247085716"/>
      <w:bookmarkStart w:id="281" w:name="_Toc16808"/>
      <w:bookmarkStart w:id="282" w:name="_Toc246996202"/>
      <w:bookmarkStart w:id="283" w:name="_Toc25278"/>
      <w:bookmarkStart w:id="284" w:name="_Toc296602446"/>
      <w:bookmarkStart w:id="285" w:name="_Toc179632576"/>
      <w:r>
        <w:rPr>
          <w:rFonts w:hint="eastAsia" w:ascii="宋体" w:hAnsi="宋体" w:cs="宋体"/>
          <w:b/>
          <w:bCs/>
          <w:sz w:val="18"/>
          <w:szCs w:val="18"/>
        </w:rPr>
        <w:t>4.3 投标文件的修改与撤回</w:t>
      </w:r>
      <w:bookmarkEnd w:id="274"/>
      <w:bookmarkEnd w:id="275"/>
      <w:bookmarkEnd w:id="276"/>
      <w:bookmarkEnd w:id="277"/>
      <w:bookmarkEnd w:id="278"/>
      <w:bookmarkEnd w:id="279"/>
      <w:bookmarkEnd w:id="280"/>
      <w:bookmarkEnd w:id="281"/>
      <w:bookmarkEnd w:id="282"/>
      <w:bookmarkEnd w:id="283"/>
      <w:bookmarkEnd w:id="284"/>
      <w:bookmarkEnd w:id="285"/>
    </w:p>
    <w:p w14:paraId="3D3D74BE">
      <w:pPr>
        <w:spacing w:line="440" w:lineRule="atLeast"/>
        <w:ind w:firstLine="420" w:firstLineChars="200"/>
        <w:rPr>
          <w:rFonts w:ascii="宋体" w:hAnsi="宋体" w:cs="宋体"/>
          <w:szCs w:val="21"/>
        </w:rPr>
      </w:pPr>
      <w:r>
        <w:rPr>
          <w:rFonts w:hint="eastAsia" w:ascii="宋体" w:hAnsi="宋体" w:cs="宋体"/>
          <w:szCs w:val="21"/>
        </w:rPr>
        <w:t>4.3.1在投标人须知前附表规定的投标截止时间前，投标人可以修改或撤回已递交的投标文件，但应以书面形式通知采购人。</w:t>
      </w:r>
    </w:p>
    <w:p w14:paraId="58E9CFE4">
      <w:pPr>
        <w:spacing w:line="440" w:lineRule="atLeast"/>
        <w:ind w:firstLine="420" w:firstLineChars="200"/>
        <w:rPr>
          <w:rFonts w:ascii="宋体" w:hAnsi="宋体" w:cs="宋体"/>
          <w:szCs w:val="21"/>
        </w:rPr>
      </w:pPr>
      <w:r>
        <w:rPr>
          <w:rFonts w:hint="eastAsia" w:ascii="宋体" w:hAnsi="宋体" w:cs="宋体"/>
          <w:szCs w:val="21"/>
        </w:rPr>
        <w:t>4.3.2 投标人修改或撤回已递交投标文件的书面通知应按照本章第3.5.3项的要求签字或盖章。采购人收到书面通知后，投标人签到登记。</w:t>
      </w:r>
    </w:p>
    <w:p w14:paraId="4972B6A2">
      <w:pPr>
        <w:spacing w:line="440" w:lineRule="atLeast"/>
        <w:ind w:firstLine="420" w:firstLineChars="200"/>
        <w:rPr>
          <w:rFonts w:ascii="宋体" w:hAnsi="宋体" w:cs="宋体"/>
          <w:szCs w:val="21"/>
        </w:rPr>
      </w:pPr>
      <w:r>
        <w:rPr>
          <w:rFonts w:hint="eastAsia" w:ascii="宋体" w:hAnsi="宋体" w:cs="宋体"/>
          <w:szCs w:val="21"/>
        </w:rPr>
        <w:t>4.3.4 修改的内容为投标文件的组成部分。修改的投标文件应按照本章第3条、第4条规定进行编制、密封、标记和递交，并标明“修改”字样。</w:t>
      </w:r>
    </w:p>
    <w:p w14:paraId="376C1909">
      <w:pPr>
        <w:pStyle w:val="3"/>
        <w:ind w:firstLine="482"/>
      </w:pPr>
      <w:bookmarkStart w:id="286" w:name="_Toc21875"/>
      <w:bookmarkStart w:id="287" w:name="_Toc440"/>
      <w:bookmarkStart w:id="288" w:name="_Toc29955"/>
      <w:bookmarkStart w:id="289" w:name="_Toc32525"/>
      <w:r>
        <w:rPr>
          <w:rFonts w:hint="eastAsia"/>
        </w:rPr>
        <w:t>5. 开标</w:t>
      </w:r>
      <w:bookmarkEnd w:id="239"/>
      <w:bookmarkEnd w:id="240"/>
      <w:bookmarkEnd w:id="241"/>
      <w:bookmarkEnd w:id="242"/>
      <w:bookmarkEnd w:id="243"/>
      <w:bookmarkEnd w:id="244"/>
      <w:bookmarkEnd w:id="245"/>
      <w:bookmarkEnd w:id="246"/>
      <w:bookmarkEnd w:id="247"/>
      <w:bookmarkEnd w:id="248"/>
      <w:bookmarkEnd w:id="286"/>
      <w:bookmarkEnd w:id="287"/>
      <w:bookmarkEnd w:id="288"/>
      <w:bookmarkEnd w:id="289"/>
    </w:p>
    <w:p w14:paraId="216F5D48">
      <w:pPr>
        <w:spacing w:line="440" w:lineRule="atLeast"/>
        <w:ind w:firstLine="420" w:firstLineChars="200"/>
        <w:rPr>
          <w:rFonts w:ascii="宋体" w:hAnsi="宋体" w:cs="宋体"/>
          <w:szCs w:val="21"/>
        </w:rPr>
      </w:pPr>
      <w:bookmarkStart w:id="290" w:name="_Toc25571"/>
      <w:bookmarkStart w:id="291" w:name="_Toc32566"/>
      <w:bookmarkStart w:id="292" w:name="_Toc12593"/>
      <w:bookmarkStart w:id="293" w:name="_Toc13541"/>
      <w:r>
        <w:rPr>
          <w:rFonts w:hint="eastAsia" w:ascii="宋体" w:hAnsi="宋体" w:cs="宋体"/>
          <w:szCs w:val="21"/>
        </w:rPr>
        <w:t>5.1招标人按本须知要求提交投标文件的截止时间和地点公开开标，并邀请相关监管部门参加。</w:t>
      </w:r>
    </w:p>
    <w:p w14:paraId="5B0AB168">
      <w:pPr>
        <w:spacing w:line="440" w:lineRule="atLeast"/>
        <w:ind w:firstLine="420" w:firstLineChars="200"/>
        <w:rPr>
          <w:rFonts w:ascii="宋体" w:hAnsi="宋体" w:cs="宋体"/>
          <w:szCs w:val="21"/>
        </w:rPr>
      </w:pPr>
      <w:r>
        <w:rPr>
          <w:rFonts w:hint="eastAsia" w:ascii="宋体" w:hAnsi="宋体" w:cs="宋体"/>
          <w:szCs w:val="21"/>
        </w:rPr>
        <w:t>5.2开标程序</w:t>
      </w:r>
    </w:p>
    <w:p w14:paraId="55229F1C">
      <w:pPr>
        <w:spacing w:line="440" w:lineRule="atLeast"/>
        <w:ind w:firstLine="420" w:firstLineChars="200"/>
        <w:rPr>
          <w:rFonts w:ascii="宋体" w:hAnsi="宋体" w:cs="宋体"/>
          <w:szCs w:val="21"/>
        </w:rPr>
      </w:pPr>
      <w:r>
        <w:rPr>
          <w:rFonts w:hint="eastAsia" w:ascii="宋体" w:hAnsi="宋体" w:cs="宋体"/>
          <w:szCs w:val="21"/>
        </w:rPr>
        <w:t>开标会议由采购代理机构主持。</w:t>
      </w:r>
    </w:p>
    <w:p w14:paraId="25A025EB">
      <w:pPr>
        <w:spacing w:line="440" w:lineRule="atLeast"/>
        <w:ind w:firstLine="420" w:firstLineChars="200"/>
        <w:rPr>
          <w:rFonts w:ascii="宋体" w:hAnsi="宋体" w:cs="宋体"/>
          <w:szCs w:val="21"/>
        </w:rPr>
      </w:pPr>
      <w:r>
        <w:rPr>
          <w:rFonts w:hint="eastAsia" w:ascii="宋体" w:hAnsi="宋体" w:cs="宋体"/>
          <w:szCs w:val="21"/>
        </w:rPr>
        <w:t xml:space="preserve">（1）公布投标截止时间前，递交投标文件的投标人名称及数量； </w:t>
      </w:r>
    </w:p>
    <w:p w14:paraId="6A671027">
      <w:pPr>
        <w:spacing w:line="440" w:lineRule="atLeast"/>
        <w:ind w:firstLine="420" w:firstLineChars="200"/>
        <w:rPr>
          <w:rFonts w:ascii="宋体" w:hAnsi="宋体" w:cs="宋体"/>
          <w:szCs w:val="21"/>
        </w:rPr>
      </w:pPr>
      <w:r>
        <w:rPr>
          <w:rFonts w:hint="eastAsia" w:ascii="宋体" w:hAnsi="宋体" w:cs="宋体"/>
          <w:szCs w:val="21"/>
        </w:rPr>
        <w:t>（2）投标人在投标截止时间后，拆分标书，报评委处评审；</w:t>
      </w:r>
    </w:p>
    <w:p w14:paraId="11D8F35F">
      <w:pPr>
        <w:spacing w:line="440" w:lineRule="atLeast"/>
        <w:ind w:firstLine="420" w:firstLineChars="200"/>
        <w:rPr>
          <w:rFonts w:ascii="宋体" w:hAnsi="宋体" w:cs="宋体"/>
          <w:szCs w:val="21"/>
        </w:rPr>
      </w:pPr>
      <w:r>
        <w:rPr>
          <w:rFonts w:hint="eastAsia" w:ascii="宋体" w:hAnsi="宋体" w:cs="宋体"/>
          <w:szCs w:val="21"/>
        </w:rPr>
        <w:t>（3）公布投标人投标报价、供货期等内容，并记录在案；</w:t>
      </w:r>
    </w:p>
    <w:p w14:paraId="0B4A300A">
      <w:pPr>
        <w:spacing w:line="440" w:lineRule="atLeast"/>
        <w:ind w:firstLine="420" w:firstLineChars="200"/>
        <w:rPr>
          <w:rFonts w:ascii="宋体" w:hAnsi="宋体" w:cs="宋体"/>
          <w:szCs w:val="21"/>
        </w:rPr>
      </w:pPr>
      <w:r>
        <w:rPr>
          <w:rFonts w:hint="eastAsia" w:ascii="宋体" w:hAnsi="宋体" w:cs="宋体"/>
          <w:szCs w:val="21"/>
        </w:rPr>
        <w:t>（4）开标结束。</w:t>
      </w:r>
    </w:p>
    <w:p w14:paraId="4FDB0424">
      <w:pPr>
        <w:spacing w:line="440" w:lineRule="atLeast"/>
        <w:ind w:firstLine="420" w:firstLineChars="200"/>
        <w:rPr>
          <w:rFonts w:ascii="宋体" w:hAnsi="宋体" w:cs="宋体"/>
          <w:szCs w:val="21"/>
        </w:rPr>
      </w:pPr>
      <w:r>
        <w:rPr>
          <w:rFonts w:hint="eastAsia" w:ascii="宋体" w:hAnsi="宋体" w:cs="宋体"/>
          <w:szCs w:val="21"/>
        </w:rPr>
        <w:t>多标包项目按照标包顺序按以上程序依次开标。</w:t>
      </w:r>
    </w:p>
    <w:p w14:paraId="28BEB88A">
      <w:pPr>
        <w:spacing w:line="440" w:lineRule="atLeast"/>
        <w:ind w:firstLine="420" w:firstLineChars="200"/>
        <w:rPr>
          <w:rFonts w:ascii="宋体" w:hAnsi="宋体" w:cs="宋体"/>
          <w:szCs w:val="21"/>
        </w:rPr>
      </w:pPr>
      <w:r>
        <w:rPr>
          <w:rFonts w:hint="eastAsia" w:ascii="宋体" w:hAnsi="宋体" w:cs="宋体"/>
          <w:szCs w:val="21"/>
        </w:rPr>
        <w:t>5.3. 开评标异常情况处理</w:t>
      </w:r>
    </w:p>
    <w:p w14:paraId="35710BA9">
      <w:pPr>
        <w:spacing w:line="440" w:lineRule="atLeast"/>
        <w:ind w:firstLine="420" w:firstLineChars="200"/>
        <w:rPr>
          <w:rFonts w:ascii="宋体" w:hAnsi="宋体" w:cs="宋体"/>
          <w:szCs w:val="21"/>
        </w:rPr>
      </w:pPr>
      <w:r>
        <w:rPr>
          <w:rFonts w:hint="eastAsia" w:ascii="宋体" w:hAnsi="宋体" w:cs="宋体"/>
          <w:szCs w:val="21"/>
        </w:rPr>
        <w:t xml:space="preserve">5.3.1重新招标 </w:t>
      </w:r>
    </w:p>
    <w:p w14:paraId="783CE2D8">
      <w:pPr>
        <w:spacing w:line="440" w:lineRule="atLeast"/>
        <w:ind w:firstLine="420" w:firstLineChars="200"/>
        <w:rPr>
          <w:rFonts w:ascii="宋体" w:hAnsi="宋体" w:cs="宋体"/>
          <w:szCs w:val="21"/>
        </w:rPr>
      </w:pPr>
      <w:r>
        <w:rPr>
          <w:rFonts w:hint="eastAsia" w:ascii="宋体" w:hAnsi="宋体" w:cs="宋体"/>
          <w:szCs w:val="21"/>
        </w:rPr>
        <w:t>有下列情形之一的，招标人将重新招标：</w:t>
      </w:r>
    </w:p>
    <w:p w14:paraId="02CD923F">
      <w:pPr>
        <w:spacing w:line="440" w:lineRule="atLeast"/>
        <w:ind w:firstLine="420" w:firstLineChars="200"/>
        <w:rPr>
          <w:rFonts w:ascii="宋体" w:hAnsi="宋体" w:cs="宋体"/>
          <w:szCs w:val="21"/>
        </w:rPr>
      </w:pPr>
      <w:r>
        <w:rPr>
          <w:rFonts w:hint="eastAsia" w:ascii="宋体" w:hAnsi="宋体" w:cs="宋体"/>
          <w:szCs w:val="21"/>
        </w:rPr>
        <w:t xml:space="preserve">(1)投标截止时间止，投标人少于三个的； </w:t>
      </w:r>
    </w:p>
    <w:p w14:paraId="1708BEB0">
      <w:pPr>
        <w:spacing w:line="440" w:lineRule="atLeast"/>
        <w:ind w:firstLine="420" w:firstLineChars="200"/>
        <w:rPr>
          <w:rFonts w:ascii="宋体" w:hAnsi="宋体" w:cs="宋体"/>
          <w:szCs w:val="21"/>
        </w:rPr>
      </w:pPr>
      <w:r>
        <w:rPr>
          <w:rFonts w:hint="eastAsia" w:ascii="宋体" w:hAnsi="宋体" w:cs="宋体"/>
          <w:szCs w:val="21"/>
        </w:rPr>
        <w:t>(2)经评审小组评审后否决所有投标的；</w:t>
      </w:r>
    </w:p>
    <w:p w14:paraId="6D0CE40A">
      <w:pPr>
        <w:spacing w:line="440" w:lineRule="atLeast"/>
        <w:ind w:firstLine="420" w:firstLineChars="200"/>
        <w:rPr>
          <w:rFonts w:ascii="宋体" w:hAnsi="宋体" w:cs="宋体"/>
          <w:szCs w:val="21"/>
        </w:rPr>
      </w:pPr>
      <w:r>
        <w:rPr>
          <w:rFonts w:hint="eastAsia" w:ascii="宋体" w:hAnsi="宋体" w:cs="宋体"/>
          <w:szCs w:val="21"/>
        </w:rPr>
        <w:t>(3)出现影响采购公正的违法、违规行为的；</w:t>
      </w:r>
    </w:p>
    <w:p w14:paraId="1227EC49">
      <w:pPr>
        <w:spacing w:line="440" w:lineRule="atLeast"/>
        <w:ind w:firstLine="420" w:firstLineChars="200"/>
        <w:rPr>
          <w:rFonts w:ascii="宋体" w:hAnsi="宋体" w:cs="宋体"/>
          <w:szCs w:val="21"/>
        </w:rPr>
      </w:pPr>
      <w:r>
        <w:rPr>
          <w:rFonts w:hint="eastAsia" w:ascii="宋体" w:hAnsi="宋体" w:cs="宋体"/>
          <w:szCs w:val="21"/>
        </w:rPr>
        <w:t>(4)投标人的报价均脱离实际且无充分证据的；</w:t>
      </w:r>
    </w:p>
    <w:p w14:paraId="4BCD7909">
      <w:pPr>
        <w:spacing w:line="440" w:lineRule="atLeast"/>
        <w:ind w:firstLine="420" w:firstLineChars="200"/>
        <w:rPr>
          <w:rFonts w:ascii="宋体" w:hAnsi="宋体" w:cs="宋体"/>
          <w:szCs w:val="21"/>
        </w:rPr>
      </w:pPr>
      <w:r>
        <w:rPr>
          <w:rFonts w:hint="eastAsia" w:ascii="宋体" w:hAnsi="宋体" w:cs="宋体"/>
          <w:szCs w:val="21"/>
        </w:rPr>
        <w:t>(5)因重大变故，采购任务取消的。</w:t>
      </w:r>
    </w:p>
    <w:p w14:paraId="397CCE3B">
      <w:pPr>
        <w:spacing w:line="440" w:lineRule="atLeast"/>
        <w:ind w:firstLine="420" w:firstLineChars="200"/>
        <w:rPr>
          <w:rFonts w:ascii="宋体" w:hAnsi="宋体" w:cs="宋体"/>
          <w:szCs w:val="21"/>
        </w:rPr>
      </w:pPr>
      <w:r>
        <w:rPr>
          <w:rFonts w:hint="eastAsia" w:ascii="宋体" w:hAnsi="宋体" w:cs="宋体"/>
          <w:szCs w:val="21"/>
        </w:rPr>
        <w:t>5.3.2变更采购方式</w:t>
      </w:r>
    </w:p>
    <w:p w14:paraId="38CF4DB5">
      <w:pPr>
        <w:spacing w:line="440" w:lineRule="atLeast"/>
        <w:ind w:firstLine="420" w:firstLineChars="200"/>
        <w:rPr>
          <w:rFonts w:ascii="宋体" w:hAnsi="宋体" w:cs="宋体"/>
          <w:szCs w:val="21"/>
        </w:rPr>
      </w:pPr>
      <w:bookmarkStart w:id="294" w:name="_Toc449028872"/>
      <w:r>
        <w:rPr>
          <w:rFonts w:hint="eastAsia" w:ascii="宋体" w:hAnsi="宋体" w:cs="宋体"/>
          <w:szCs w:val="21"/>
        </w:rPr>
        <w:t>按照滁州市公管局和财政局相关规定执行。</w:t>
      </w:r>
      <w:bookmarkEnd w:id="294"/>
    </w:p>
    <w:p w14:paraId="70C515A2">
      <w:pPr>
        <w:pStyle w:val="3"/>
        <w:ind w:firstLine="482"/>
      </w:pPr>
      <w:r>
        <w:rPr>
          <w:rFonts w:hint="eastAsia"/>
        </w:rPr>
        <w:t>6. 评标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90"/>
      <w:bookmarkEnd w:id="291"/>
      <w:bookmarkEnd w:id="292"/>
      <w:bookmarkEnd w:id="293"/>
    </w:p>
    <w:p w14:paraId="5AC5A013">
      <w:pPr>
        <w:spacing w:line="440" w:lineRule="atLeast"/>
        <w:ind w:firstLine="422" w:firstLineChars="200"/>
        <w:outlineLvl w:val="2"/>
        <w:rPr>
          <w:rFonts w:ascii="宋体" w:hAnsi="宋体" w:cs="宋体"/>
          <w:b/>
          <w:bCs/>
          <w:szCs w:val="21"/>
        </w:rPr>
      </w:pPr>
      <w:bookmarkStart w:id="295" w:name="_Toc152042339"/>
      <w:bookmarkStart w:id="296" w:name="_Toc296602452"/>
      <w:bookmarkStart w:id="297" w:name="_Toc247085721"/>
      <w:bookmarkStart w:id="298" w:name="_Toc35947203"/>
      <w:bookmarkStart w:id="299" w:name="_Toc35425086"/>
      <w:bookmarkStart w:id="300" w:name="_Toc246996950"/>
      <w:bookmarkStart w:id="301" w:name="_Toc324404847"/>
      <w:bookmarkStart w:id="302" w:name="_Toc152045563"/>
      <w:bookmarkStart w:id="303" w:name="_Toc27158"/>
      <w:bookmarkStart w:id="304" w:name="_Toc35424920"/>
      <w:bookmarkStart w:id="305" w:name="_Toc179632581"/>
      <w:bookmarkStart w:id="306" w:name="_Toc14047"/>
      <w:bookmarkStart w:id="307" w:name="_Toc15058885"/>
      <w:bookmarkStart w:id="308" w:name="_Toc506107300"/>
      <w:bookmarkStart w:id="309" w:name="_Toc23087"/>
      <w:bookmarkStart w:id="310" w:name="_Toc246996207"/>
      <w:bookmarkStart w:id="311" w:name="_Toc144974531"/>
      <w:r>
        <w:rPr>
          <w:rFonts w:hint="eastAsia" w:ascii="宋体" w:hAnsi="宋体" w:cs="宋体"/>
          <w:b/>
          <w:bCs/>
          <w:szCs w:val="21"/>
        </w:rPr>
        <w:t>6.1 评标委员会</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224F19F5">
      <w:pPr>
        <w:spacing w:line="440" w:lineRule="atLeast"/>
        <w:ind w:firstLine="420" w:firstLineChars="200"/>
        <w:rPr>
          <w:rFonts w:ascii="宋体" w:hAnsi="宋体" w:cs="宋体"/>
          <w:szCs w:val="21"/>
        </w:rPr>
      </w:pPr>
      <w:r>
        <w:rPr>
          <w:rFonts w:hint="eastAsia" w:ascii="宋体" w:hAnsi="宋体" w:cs="宋体"/>
          <w:szCs w:val="21"/>
        </w:rPr>
        <w:t>6.1.1 评标由采购人依法组建的评标委员会负责。评标委员会由采购人或其委托的招标代理机构熟悉相关业务的代表，以及有关技术、经济等方面的专家组成。评标委员会成员人数以及技术、经济等方面专家的确定方式见投标人须知前附表。</w:t>
      </w:r>
    </w:p>
    <w:p w14:paraId="04D75202">
      <w:pPr>
        <w:spacing w:line="440" w:lineRule="atLeast"/>
        <w:ind w:firstLine="420" w:firstLineChars="200"/>
        <w:rPr>
          <w:rFonts w:ascii="宋体" w:hAnsi="宋体" w:cs="宋体"/>
          <w:szCs w:val="21"/>
        </w:rPr>
      </w:pPr>
      <w:r>
        <w:rPr>
          <w:rFonts w:hint="eastAsia" w:ascii="宋体" w:hAnsi="宋体" w:cs="宋体"/>
          <w:szCs w:val="21"/>
        </w:rPr>
        <w:t>6.1.2 评标委员会成员有下列情形之一的，应当回避：</w:t>
      </w:r>
    </w:p>
    <w:p w14:paraId="7759A476">
      <w:pPr>
        <w:spacing w:line="440" w:lineRule="atLeast"/>
        <w:ind w:firstLine="420" w:firstLineChars="200"/>
        <w:rPr>
          <w:rFonts w:ascii="宋体" w:hAnsi="宋体" w:cs="宋体"/>
          <w:szCs w:val="21"/>
        </w:rPr>
      </w:pPr>
      <w:r>
        <w:rPr>
          <w:rFonts w:hint="eastAsia" w:ascii="宋体" w:hAnsi="宋体" w:cs="宋体"/>
          <w:szCs w:val="21"/>
        </w:rPr>
        <w:t>（1）投标人或投标人主要负责人的近亲属；</w:t>
      </w:r>
    </w:p>
    <w:p w14:paraId="0A847FA2">
      <w:pPr>
        <w:spacing w:line="440" w:lineRule="atLeast"/>
        <w:ind w:firstLine="420" w:firstLineChars="200"/>
        <w:rPr>
          <w:rFonts w:ascii="宋体" w:hAnsi="宋体" w:cs="宋体"/>
          <w:szCs w:val="21"/>
        </w:rPr>
      </w:pPr>
      <w:r>
        <w:rPr>
          <w:rFonts w:hint="eastAsia" w:ascii="宋体" w:hAnsi="宋体" w:cs="宋体"/>
          <w:szCs w:val="21"/>
        </w:rPr>
        <w:t>（2）项目主管部门或者行政监督部门的人员；</w:t>
      </w:r>
    </w:p>
    <w:p w14:paraId="1CC0FF80">
      <w:pPr>
        <w:spacing w:line="440" w:lineRule="atLeast"/>
        <w:ind w:firstLine="420" w:firstLineChars="200"/>
        <w:rPr>
          <w:rFonts w:ascii="宋体" w:hAnsi="宋体" w:cs="宋体"/>
          <w:szCs w:val="21"/>
        </w:rPr>
      </w:pPr>
      <w:r>
        <w:rPr>
          <w:rFonts w:hint="eastAsia" w:ascii="宋体" w:hAnsi="宋体" w:cs="宋体"/>
          <w:szCs w:val="21"/>
        </w:rPr>
        <w:t>（3）与投标人有经济利益关系；</w:t>
      </w:r>
    </w:p>
    <w:p w14:paraId="419290AD">
      <w:pPr>
        <w:spacing w:line="440" w:lineRule="atLeast"/>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14:paraId="0E639173">
      <w:pPr>
        <w:spacing w:line="440" w:lineRule="atLeast"/>
        <w:ind w:firstLine="420" w:firstLineChars="200"/>
        <w:rPr>
          <w:rFonts w:ascii="宋体" w:hAnsi="宋体" w:cs="宋体"/>
          <w:szCs w:val="21"/>
        </w:rPr>
      </w:pPr>
      <w:r>
        <w:rPr>
          <w:rFonts w:hint="eastAsia" w:ascii="宋体" w:hAnsi="宋体" w:cs="宋体"/>
          <w:szCs w:val="21"/>
        </w:rPr>
        <w:t>（5）与投标人有其他利害关系。</w:t>
      </w:r>
    </w:p>
    <w:p w14:paraId="12B58638">
      <w:pPr>
        <w:spacing w:line="440" w:lineRule="atLeast"/>
        <w:ind w:firstLine="422" w:firstLineChars="200"/>
        <w:outlineLvl w:val="2"/>
        <w:rPr>
          <w:rFonts w:ascii="宋体" w:hAnsi="宋体" w:cs="宋体"/>
          <w:b/>
          <w:bCs/>
          <w:szCs w:val="21"/>
        </w:rPr>
      </w:pPr>
      <w:bookmarkStart w:id="312" w:name="_Toc15058886"/>
      <w:bookmarkStart w:id="313" w:name="_Toc247085722"/>
      <w:bookmarkStart w:id="314" w:name="_Toc21925"/>
      <w:bookmarkStart w:id="315" w:name="_Toc30301"/>
      <w:bookmarkStart w:id="316" w:name="_Toc324404848"/>
      <w:bookmarkStart w:id="317" w:name="_Toc35424921"/>
      <w:bookmarkStart w:id="318" w:name="_Toc506107301"/>
      <w:bookmarkStart w:id="319" w:name="_Toc246996208"/>
      <w:bookmarkStart w:id="320" w:name="_Toc246996951"/>
      <w:bookmarkStart w:id="321" w:name="_Toc152045564"/>
      <w:bookmarkStart w:id="322" w:name="_Toc179632582"/>
      <w:bookmarkStart w:id="323" w:name="_Toc28431"/>
      <w:bookmarkStart w:id="324" w:name="_Toc35947204"/>
      <w:bookmarkStart w:id="325" w:name="_Toc296602453"/>
      <w:bookmarkStart w:id="326" w:name="_Toc35425087"/>
      <w:bookmarkStart w:id="327" w:name="_Toc152042340"/>
      <w:bookmarkStart w:id="328" w:name="_Toc144974532"/>
      <w:r>
        <w:rPr>
          <w:rFonts w:hint="eastAsia" w:ascii="宋体" w:hAnsi="宋体" w:cs="宋体"/>
          <w:b/>
          <w:bCs/>
          <w:szCs w:val="21"/>
        </w:rPr>
        <w:t>6.2 评标原则</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37DE25F6">
      <w:pPr>
        <w:spacing w:line="440" w:lineRule="atLeast"/>
        <w:ind w:firstLine="420" w:firstLineChars="200"/>
        <w:rPr>
          <w:rFonts w:ascii="宋体" w:hAnsi="宋体" w:cs="宋体"/>
          <w:szCs w:val="21"/>
        </w:rPr>
      </w:pPr>
      <w:r>
        <w:rPr>
          <w:rFonts w:hint="eastAsia" w:ascii="宋体" w:hAnsi="宋体" w:cs="宋体"/>
          <w:szCs w:val="21"/>
        </w:rPr>
        <w:t>评标活动遵循公平、公正、科学和择优的原则。</w:t>
      </w:r>
    </w:p>
    <w:p w14:paraId="0EA43285">
      <w:pPr>
        <w:spacing w:line="440" w:lineRule="atLeast"/>
        <w:ind w:firstLine="422" w:firstLineChars="200"/>
        <w:outlineLvl w:val="2"/>
        <w:rPr>
          <w:rFonts w:ascii="宋体" w:hAnsi="宋体" w:cs="宋体"/>
          <w:b/>
          <w:bCs/>
          <w:szCs w:val="21"/>
        </w:rPr>
      </w:pPr>
      <w:bookmarkStart w:id="329" w:name="_Toc246996209"/>
      <w:bookmarkStart w:id="330" w:name="_Toc506107302"/>
      <w:bookmarkStart w:id="331" w:name="_Toc9695"/>
      <w:bookmarkStart w:id="332" w:name="_Toc246996952"/>
      <w:bookmarkStart w:id="333" w:name="_Toc152045565"/>
      <w:bookmarkStart w:id="334" w:name="_Toc35425088"/>
      <w:bookmarkStart w:id="335" w:name="_Toc9158"/>
      <w:bookmarkStart w:id="336" w:name="_Toc296602454"/>
      <w:bookmarkStart w:id="337" w:name="_Toc35424922"/>
      <w:bookmarkStart w:id="338" w:name="_Toc15058887"/>
      <w:bookmarkStart w:id="339" w:name="_Toc324404849"/>
      <w:bookmarkStart w:id="340" w:name="_Toc35947205"/>
      <w:bookmarkStart w:id="341" w:name="_Toc247085723"/>
      <w:bookmarkStart w:id="342" w:name="_Toc144974533"/>
      <w:bookmarkStart w:id="343" w:name="_Toc179632583"/>
      <w:bookmarkStart w:id="344" w:name="_Toc152042341"/>
      <w:bookmarkStart w:id="345" w:name="_Toc20754"/>
      <w:r>
        <w:rPr>
          <w:rFonts w:hint="eastAsia" w:ascii="宋体" w:hAnsi="宋体" w:cs="宋体"/>
          <w:b/>
          <w:bCs/>
          <w:szCs w:val="21"/>
        </w:rPr>
        <w:t>6.3 评标</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57B109E">
      <w:pPr>
        <w:spacing w:line="440" w:lineRule="atLeast"/>
        <w:ind w:firstLine="420" w:firstLineChars="200"/>
        <w:rPr>
          <w:rFonts w:ascii="宋体" w:hAnsi="宋体" w:cs="宋体"/>
          <w:szCs w:val="21"/>
        </w:rPr>
      </w:pPr>
      <w:bookmarkStart w:id="346" w:name="_Toc247085724"/>
      <w:bookmarkStart w:id="347" w:name="_Toc246996953"/>
      <w:bookmarkStart w:id="348" w:name="_Toc179632584"/>
      <w:bookmarkStart w:id="349" w:name="_Toc324404850"/>
      <w:bookmarkStart w:id="350" w:name="_Toc152045566"/>
      <w:bookmarkStart w:id="351" w:name="_Toc144974534"/>
      <w:bookmarkStart w:id="352" w:name="_Toc152042342"/>
      <w:bookmarkStart w:id="353" w:name="_Toc246996210"/>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bookmarkStart w:id="354" w:name="_Toc506107303"/>
      <w:bookmarkStart w:id="355" w:name="_Toc15037"/>
      <w:bookmarkStart w:id="356" w:name="_Toc35425089"/>
      <w:bookmarkStart w:id="357" w:name="_Toc35947206"/>
      <w:bookmarkStart w:id="358" w:name="_Toc21161"/>
      <w:bookmarkStart w:id="359" w:name="_Toc35424923"/>
      <w:bookmarkStart w:id="360" w:name="_Toc15058888"/>
      <w:bookmarkStart w:id="361" w:name="_Toc15727"/>
      <w:bookmarkStart w:id="362" w:name="_Toc10567"/>
    </w:p>
    <w:p w14:paraId="0DE6954C">
      <w:pPr>
        <w:pStyle w:val="3"/>
        <w:ind w:firstLine="482"/>
      </w:pPr>
      <w:r>
        <w:rPr>
          <w:rFonts w:hint="eastAsia"/>
        </w:rPr>
        <w:t>7. 合同授予</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390F0AA2">
      <w:pPr>
        <w:spacing w:line="440" w:lineRule="atLeast"/>
        <w:ind w:firstLine="422" w:firstLineChars="200"/>
        <w:outlineLvl w:val="2"/>
        <w:rPr>
          <w:rFonts w:ascii="宋体" w:hAnsi="宋体" w:cs="宋体"/>
          <w:b/>
          <w:bCs/>
          <w:szCs w:val="21"/>
        </w:rPr>
      </w:pPr>
      <w:bookmarkStart w:id="363" w:name="_Toc252"/>
      <w:bookmarkStart w:id="364" w:name="_Toc246996954"/>
      <w:bookmarkStart w:id="365" w:name="_Toc35425090"/>
      <w:bookmarkStart w:id="366" w:name="_Toc246996211"/>
      <w:bookmarkStart w:id="367" w:name="_Toc247085725"/>
      <w:bookmarkStart w:id="368" w:name="_Toc15058889"/>
      <w:bookmarkStart w:id="369" w:name="_Toc296602456"/>
      <w:bookmarkStart w:id="370" w:name="_Toc1037"/>
      <w:bookmarkStart w:id="371" w:name="_Toc144974535"/>
      <w:bookmarkStart w:id="372" w:name="_Toc506107304"/>
      <w:bookmarkStart w:id="373" w:name="_Toc84"/>
      <w:bookmarkStart w:id="374" w:name="_Toc35947207"/>
      <w:bookmarkStart w:id="375" w:name="_Toc152042343"/>
      <w:bookmarkStart w:id="376" w:name="_Toc152045567"/>
      <w:bookmarkStart w:id="377" w:name="_Toc179632585"/>
      <w:bookmarkStart w:id="378" w:name="_Toc324404851"/>
      <w:bookmarkStart w:id="379" w:name="_Toc35424924"/>
      <w:r>
        <w:rPr>
          <w:rFonts w:hint="eastAsia" w:ascii="宋体" w:hAnsi="宋体" w:cs="宋体"/>
          <w:b/>
          <w:bCs/>
          <w:szCs w:val="21"/>
        </w:rPr>
        <w:t>7.1 定标方式</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1079CE4">
      <w:pPr>
        <w:spacing w:line="440" w:lineRule="atLeast"/>
        <w:ind w:firstLine="420" w:firstLineChars="200"/>
        <w:rPr>
          <w:rFonts w:ascii="宋体" w:hAnsi="宋体" w:cs="宋体"/>
          <w:szCs w:val="21"/>
        </w:rPr>
      </w:pPr>
      <w:bookmarkStart w:id="380" w:name="_Toc296602457"/>
      <w:bookmarkStart w:id="381" w:name="_Toc324404852"/>
      <w:r>
        <w:rPr>
          <w:rFonts w:hint="eastAsia" w:ascii="宋体" w:hAnsi="宋体" w:cs="宋体"/>
          <w:szCs w:val="21"/>
        </w:rPr>
        <w:t>除投标人须知前附表规定评标委员会直接确定中标人外，采购人依据评标委员会推荐的中标候选人确定中标人，评标委员会推荐中标候选人的人数见投标人须知前附表。</w:t>
      </w:r>
    </w:p>
    <w:bookmarkEnd w:id="380"/>
    <w:bookmarkEnd w:id="381"/>
    <w:p w14:paraId="147D84E7">
      <w:pPr>
        <w:spacing w:line="440" w:lineRule="atLeast"/>
        <w:ind w:firstLine="422" w:firstLineChars="200"/>
        <w:outlineLvl w:val="2"/>
        <w:rPr>
          <w:rFonts w:ascii="宋体" w:hAnsi="宋体" w:cs="宋体"/>
          <w:b/>
          <w:bCs/>
          <w:szCs w:val="21"/>
        </w:rPr>
      </w:pPr>
      <w:bookmarkStart w:id="382" w:name="_Toc246996212"/>
      <w:bookmarkStart w:id="383" w:name="_Toc19428"/>
      <w:bookmarkStart w:id="384" w:name="_Toc144974536"/>
      <w:bookmarkStart w:id="385" w:name="_Toc247085726"/>
      <w:bookmarkStart w:id="386" w:name="_Toc152042344"/>
      <w:bookmarkStart w:id="387" w:name="_Toc35424927"/>
      <w:bookmarkStart w:id="388" w:name="_Toc296602458"/>
      <w:bookmarkStart w:id="389" w:name="_Toc35947210"/>
      <w:bookmarkStart w:id="390" w:name="_Toc152045568"/>
      <w:bookmarkStart w:id="391" w:name="_Toc179632586"/>
      <w:bookmarkStart w:id="392" w:name="_Toc246996955"/>
      <w:bookmarkStart w:id="393" w:name="_Toc506107306"/>
      <w:bookmarkStart w:id="394" w:name="_Toc35425093"/>
      <w:bookmarkStart w:id="395" w:name="_Toc324404853"/>
      <w:bookmarkStart w:id="396" w:name="_Toc18325"/>
      <w:bookmarkStart w:id="397" w:name="_Toc15058891"/>
      <w:bookmarkStart w:id="398" w:name="_Toc23930"/>
      <w:r>
        <w:rPr>
          <w:rFonts w:hint="eastAsia" w:ascii="宋体" w:hAnsi="宋体" w:cs="宋体"/>
          <w:b/>
          <w:bCs/>
          <w:szCs w:val="21"/>
        </w:rPr>
        <w:t>7.2 中标通知</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FDA8707">
      <w:pPr>
        <w:spacing w:line="440" w:lineRule="atLeast"/>
        <w:ind w:firstLine="420" w:firstLineChars="200"/>
        <w:rPr>
          <w:rFonts w:ascii="宋体" w:hAnsi="宋体" w:cs="宋体"/>
          <w:szCs w:val="21"/>
        </w:rPr>
      </w:pPr>
      <w:r>
        <w:rPr>
          <w:rFonts w:hint="eastAsia" w:ascii="宋体" w:hAnsi="宋体" w:cs="宋体"/>
          <w:szCs w:val="21"/>
        </w:rPr>
        <w:t>在本章第3.3款规定的投标有效期内，采购人以书面形式向中标人发出中标通知书，同时将中标结果通知未中标的投标人。</w:t>
      </w:r>
    </w:p>
    <w:p w14:paraId="05CFDA5B">
      <w:pPr>
        <w:spacing w:line="440" w:lineRule="atLeast"/>
        <w:ind w:firstLine="422" w:firstLineChars="200"/>
        <w:outlineLvl w:val="2"/>
        <w:rPr>
          <w:rFonts w:ascii="宋体" w:hAnsi="宋体" w:cs="宋体"/>
          <w:b/>
          <w:bCs/>
          <w:szCs w:val="21"/>
        </w:rPr>
      </w:pPr>
      <w:bookmarkStart w:id="399" w:name="_Toc152045570"/>
      <w:bookmarkStart w:id="400" w:name="_Toc35425096"/>
      <w:bookmarkStart w:id="401" w:name="_Toc152042346"/>
      <w:bookmarkStart w:id="402" w:name="_Toc247085728"/>
      <w:bookmarkStart w:id="403" w:name="_Toc634"/>
      <w:bookmarkStart w:id="404" w:name="_Toc35947213"/>
      <w:bookmarkStart w:id="405" w:name="_Toc14106"/>
      <w:bookmarkStart w:id="406" w:name="_Toc246996214"/>
      <w:bookmarkStart w:id="407" w:name="_Toc15058893"/>
      <w:bookmarkStart w:id="408" w:name="_Toc144974538"/>
      <w:bookmarkStart w:id="409" w:name="_Toc15423"/>
      <w:bookmarkStart w:id="410" w:name="_Toc506107308"/>
      <w:bookmarkStart w:id="411" w:name="_Toc296602460"/>
      <w:bookmarkStart w:id="412" w:name="_Toc35424930"/>
      <w:bookmarkStart w:id="413" w:name="_Toc246996957"/>
      <w:bookmarkStart w:id="414" w:name="_Toc324404855"/>
      <w:bookmarkStart w:id="415" w:name="_Toc179632588"/>
      <w:r>
        <w:rPr>
          <w:rFonts w:hint="eastAsia" w:ascii="宋体" w:hAnsi="宋体" w:cs="宋体"/>
          <w:b/>
          <w:bCs/>
          <w:szCs w:val="21"/>
        </w:rPr>
        <w:t>7.3 签订合同</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50966A1E">
      <w:pPr>
        <w:wordWrap w:val="0"/>
        <w:spacing w:line="440" w:lineRule="atLeast"/>
        <w:ind w:firstLine="420" w:firstLineChars="200"/>
        <w:rPr>
          <w:rFonts w:ascii="宋体" w:hAnsi="宋体" w:cs="宋体"/>
          <w:bCs/>
          <w:szCs w:val="21"/>
        </w:rPr>
      </w:pPr>
      <w:bookmarkStart w:id="416" w:name="_Toc506107309"/>
      <w:bookmarkStart w:id="417" w:name="_Toc15058894"/>
      <w:bookmarkStart w:id="418" w:name="_Toc324404856"/>
      <w:r>
        <w:rPr>
          <w:rFonts w:hint="eastAsia" w:ascii="宋体" w:hAnsi="宋体" w:cs="宋体"/>
          <w:bCs/>
          <w:szCs w:val="21"/>
        </w:rPr>
        <w:t>7.3.1</w:t>
      </w:r>
      <w:r>
        <w:rPr>
          <w:rFonts w:hint="eastAsia"/>
        </w:rPr>
        <w:t>中标人应在中标通知书发出之日起</w:t>
      </w:r>
      <w:r>
        <w:rPr>
          <w:rFonts w:hint="eastAsia" w:ascii="宋体" w:hAnsi="宋体" w:cs="宋体"/>
        </w:rPr>
        <w:t>7个</w:t>
      </w:r>
      <w:r>
        <w:rPr>
          <w:rFonts w:hint="eastAsia"/>
        </w:rPr>
        <w:t>工作日内，按照交易文件规定和采购人订立书面合同。采购人和中标人不得再行订立背离合同实质性内容的其他协议</w:t>
      </w:r>
      <w:r>
        <w:rPr>
          <w:rFonts w:hint="eastAsia" w:ascii="宋体" w:hAnsi="宋体" w:cs="宋体"/>
          <w:bCs/>
          <w:szCs w:val="21"/>
        </w:rPr>
        <w:t>。中标人无正当理由拒签合同的，采购人取消其中标资格；给采购人造成的损失，采购人有权追偿。</w:t>
      </w:r>
    </w:p>
    <w:p w14:paraId="2EA82C81">
      <w:pPr>
        <w:wordWrap w:val="0"/>
        <w:spacing w:line="440" w:lineRule="atLeast"/>
        <w:ind w:firstLine="420" w:firstLineChars="200"/>
        <w:rPr>
          <w:rFonts w:ascii="宋体" w:hAnsi="宋体" w:cs="宋体"/>
          <w:bCs/>
          <w:szCs w:val="21"/>
        </w:rPr>
      </w:pPr>
      <w:r>
        <w:rPr>
          <w:rFonts w:hint="eastAsia" w:ascii="宋体" w:hAnsi="宋体" w:cs="宋体"/>
          <w:bCs/>
          <w:szCs w:val="21"/>
        </w:rPr>
        <w:t>7.3.2 发出中标通知书后，采购人无正当理由拒签合同的，且给中标人造成损失的，还应当赔偿损失。</w:t>
      </w:r>
    </w:p>
    <w:p w14:paraId="37CBC9E1">
      <w:pPr>
        <w:pStyle w:val="3"/>
        <w:ind w:firstLine="482"/>
      </w:pPr>
      <w:bookmarkStart w:id="419" w:name="_Toc35424931"/>
      <w:bookmarkStart w:id="420" w:name="_Toc31120"/>
      <w:bookmarkStart w:id="421" w:name="_Toc23600"/>
      <w:bookmarkStart w:id="422" w:name="_Toc35425097"/>
      <w:bookmarkStart w:id="423" w:name="_Toc35947214"/>
      <w:bookmarkStart w:id="424" w:name="_Toc4635"/>
      <w:bookmarkStart w:id="425" w:name="_Toc9177"/>
      <w:r>
        <w:rPr>
          <w:rFonts w:hint="eastAsia"/>
        </w:rPr>
        <w:t>8. 纪律和监督</w:t>
      </w:r>
      <w:bookmarkEnd w:id="416"/>
      <w:bookmarkEnd w:id="417"/>
      <w:bookmarkEnd w:id="418"/>
      <w:bookmarkEnd w:id="419"/>
      <w:bookmarkEnd w:id="420"/>
      <w:bookmarkEnd w:id="421"/>
      <w:bookmarkEnd w:id="422"/>
      <w:bookmarkEnd w:id="423"/>
      <w:bookmarkEnd w:id="424"/>
      <w:bookmarkEnd w:id="425"/>
    </w:p>
    <w:p w14:paraId="66BFFA30">
      <w:pPr>
        <w:spacing w:line="440" w:lineRule="atLeast"/>
        <w:ind w:firstLine="422" w:firstLineChars="200"/>
        <w:outlineLvl w:val="2"/>
        <w:rPr>
          <w:rFonts w:ascii="宋体" w:hAnsi="宋体" w:cs="宋体"/>
          <w:b/>
          <w:bCs/>
          <w:szCs w:val="21"/>
        </w:rPr>
      </w:pPr>
      <w:bookmarkStart w:id="426" w:name="_Toc144974543"/>
      <w:bookmarkStart w:id="427" w:name="_Toc152042351"/>
      <w:bookmarkStart w:id="428" w:name="_Toc11235"/>
      <w:bookmarkStart w:id="429" w:name="_Toc35424932"/>
      <w:bookmarkStart w:id="430" w:name="_Toc246996219"/>
      <w:bookmarkStart w:id="431" w:name="_Toc506107310"/>
      <w:bookmarkStart w:id="432" w:name="_Toc179632593"/>
      <w:bookmarkStart w:id="433" w:name="_Toc15058895"/>
      <w:bookmarkStart w:id="434" w:name="_Toc35425098"/>
      <w:bookmarkStart w:id="435" w:name="_Toc247085733"/>
      <w:bookmarkStart w:id="436" w:name="_Toc1964"/>
      <w:bookmarkStart w:id="437" w:name="_Toc324404857"/>
      <w:bookmarkStart w:id="438" w:name="_Toc296590983"/>
      <w:bookmarkStart w:id="439" w:name="_Toc296602462"/>
      <w:bookmarkStart w:id="440" w:name="_Toc35947215"/>
      <w:bookmarkStart w:id="441" w:name="_Toc13610"/>
      <w:bookmarkStart w:id="442" w:name="_Toc152045575"/>
      <w:bookmarkStart w:id="443" w:name="_Toc246996962"/>
      <w:r>
        <w:rPr>
          <w:rFonts w:hint="eastAsia" w:ascii="宋体" w:hAnsi="宋体" w:cs="宋体"/>
          <w:b/>
          <w:bCs/>
          <w:szCs w:val="21"/>
        </w:rPr>
        <w:t>8.1 对采购人的纪律要求</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4052CB6F">
      <w:pPr>
        <w:spacing w:line="440" w:lineRule="atLeast"/>
        <w:ind w:firstLine="420" w:firstLineChars="200"/>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14:paraId="6F4F97C1">
      <w:pPr>
        <w:spacing w:line="440" w:lineRule="atLeast"/>
        <w:ind w:firstLine="422" w:firstLineChars="200"/>
        <w:outlineLvl w:val="2"/>
        <w:rPr>
          <w:rFonts w:ascii="宋体" w:hAnsi="宋体" w:cs="宋体"/>
          <w:b/>
          <w:bCs/>
          <w:szCs w:val="21"/>
        </w:rPr>
      </w:pPr>
      <w:bookmarkStart w:id="444" w:name="_Toc506107311"/>
      <w:bookmarkStart w:id="445" w:name="_Toc17475"/>
      <w:bookmarkStart w:id="446" w:name="_Toc179632594"/>
      <w:bookmarkStart w:id="447" w:name="_Toc152045576"/>
      <w:bookmarkStart w:id="448" w:name="_Toc35947216"/>
      <w:bookmarkStart w:id="449" w:name="_Toc296602463"/>
      <w:bookmarkStart w:id="450" w:name="_Toc247085734"/>
      <w:bookmarkStart w:id="451" w:name="_Toc152042352"/>
      <w:bookmarkStart w:id="452" w:name="_Toc324404858"/>
      <w:bookmarkStart w:id="453" w:name="_Toc19504"/>
      <w:bookmarkStart w:id="454" w:name="_Toc246996220"/>
      <w:bookmarkStart w:id="455" w:name="_Toc246996963"/>
      <w:bookmarkStart w:id="456" w:name="_Toc35424933"/>
      <w:bookmarkStart w:id="457" w:name="_Toc144974544"/>
      <w:bookmarkStart w:id="458" w:name="_Toc15058896"/>
      <w:bookmarkStart w:id="459" w:name="_Toc35425099"/>
      <w:bookmarkStart w:id="460" w:name="_Toc17314"/>
      <w:r>
        <w:rPr>
          <w:rFonts w:hint="eastAsia" w:ascii="宋体" w:hAnsi="宋体" w:cs="宋体"/>
          <w:b/>
          <w:bCs/>
          <w:szCs w:val="21"/>
        </w:rPr>
        <w:t>8.2 对投标人的纪律要求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72763613">
      <w:pPr>
        <w:spacing w:line="440" w:lineRule="atLeast"/>
        <w:ind w:firstLine="420" w:firstLineChars="200"/>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D7D6A50">
      <w:pPr>
        <w:spacing w:line="440" w:lineRule="atLeast"/>
        <w:ind w:firstLine="422" w:firstLineChars="200"/>
        <w:outlineLvl w:val="2"/>
        <w:rPr>
          <w:rFonts w:ascii="宋体" w:hAnsi="宋体" w:cs="宋体"/>
          <w:b/>
          <w:bCs/>
          <w:szCs w:val="21"/>
        </w:rPr>
      </w:pPr>
      <w:bookmarkStart w:id="461" w:name="_Toc15058897"/>
      <w:bookmarkStart w:id="462" w:name="_Toc247085735"/>
      <w:bookmarkStart w:id="463" w:name="_Toc246996221"/>
      <w:bookmarkStart w:id="464" w:name="_Toc152045577"/>
      <w:bookmarkStart w:id="465" w:name="_Toc152042353"/>
      <w:bookmarkStart w:id="466" w:name="_Toc324404859"/>
      <w:bookmarkStart w:id="467" w:name="_Toc246996964"/>
      <w:bookmarkStart w:id="468" w:name="_Toc35947217"/>
      <w:bookmarkStart w:id="469" w:name="_Toc35424934"/>
      <w:bookmarkStart w:id="470" w:name="_Toc296602464"/>
      <w:bookmarkStart w:id="471" w:name="_Toc23747"/>
      <w:bookmarkStart w:id="472" w:name="_Toc5965"/>
      <w:bookmarkStart w:id="473" w:name="_Toc506107312"/>
      <w:bookmarkStart w:id="474" w:name="_Toc15259"/>
      <w:bookmarkStart w:id="475" w:name="_Toc35425100"/>
      <w:bookmarkStart w:id="476" w:name="_Toc144974545"/>
      <w:bookmarkStart w:id="477" w:name="_Toc179632595"/>
      <w:r>
        <w:rPr>
          <w:rFonts w:hint="eastAsia" w:ascii="宋体" w:hAnsi="宋体" w:cs="宋体"/>
          <w:b/>
          <w:bCs/>
          <w:szCs w:val="21"/>
        </w:rPr>
        <w:t>8.3 对评标委员会成员的纪律要求</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C0AE79D">
      <w:pPr>
        <w:spacing w:line="440" w:lineRule="atLeast"/>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CA711F9">
      <w:pPr>
        <w:spacing w:line="440" w:lineRule="atLeast"/>
        <w:ind w:firstLine="422" w:firstLineChars="200"/>
        <w:outlineLvl w:val="2"/>
        <w:rPr>
          <w:rFonts w:ascii="宋体" w:hAnsi="宋体" w:cs="宋体"/>
          <w:b/>
          <w:bCs/>
          <w:szCs w:val="21"/>
        </w:rPr>
      </w:pPr>
      <w:bookmarkStart w:id="478" w:name="_Toc32603"/>
      <w:bookmarkStart w:id="479" w:name="_Toc35424935"/>
      <w:bookmarkStart w:id="480" w:name="_Toc246996222"/>
      <w:bookmarkStart w:id="481" w:name="_Toc15058898"/>
      <w:bookmarkStart w:id="482" w:name="_Toc35947218"/>
      <w:bookmarkStart w:id="483" w:name="_Toc296602465"/>
      <w:bookmarkStart w:id="484" w:name="_Toc324404860"/>
      <w:bookmarkStart w:id="485" w:name="_Toc152045578"/>
      <w:bookmarkStart w:id="486" w:name="_Toc246996965"/>
      <w:bookmarkStart w:id="487" w:name="_Toc24693"/>
      <w:bookmarkStart w:id="488" w:name="_Toc31849"/>
      <w:bookmarkStart w:id="489" w:name="_Toc179632596"/>
      <w:bookmarkStart w:id="490" w:name="_Toc247085736"/>
      <w:bookmarkStart w:id="491" w:name="_Toc152042354"/>
      <w:bookmarkStart w:id="492" w:name="_Toc35425101"/>
      <w:bookmarkStart w:id="493" w:name="_Toc506107313"/>
      <w:bookmarkStart w:id="494" w:name="_Toc144974546"/>
      <w:r>
        <w:rPr>
          <w:rFonts w:hint="eastAsia" w:ascii="宋体" w:hAnsi="宋体" w:cs="宋体"/>
          <w:b/>
          <w:bCs/>
          <w:szCs w:val="21"/>
        </w:rPr>
        <w:t>8.4 对与评标活动有关的工作人员的纪律要求</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23BD397">
      <w:pPr>
        <w:spacing w:line="440" w:lineRule="atLeast"/>
        <w:ind w:firstLine="420" w:firstLineChars="200"/>
        <w:rPr>
          <w:rFonts w:ascii="宋体" w:hAnsi="宋体" w:cs="宋体"/>
          <w:szCs w:val="21"/>
        </w:rPr>
      </w:pPr>
      <w:bookmarkStart w:id="495"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5"/>
    </w:p>
    <w:p w14:paraId="242AA941">
      <w:pPr>
        <w:spacing w:line="440" w:lineRule="atLeast"/>
        <w:ind w:firstLine="422" w:firstLineChars="200"/>
        <w:outlineLvl w:val="2"/>
        <w:rPr>
          <w:rFonts w:ascii="宋体" w:hAnsi="宋体" w:cs="宋体"/>
          <w:b/>
          <w:bCs/>
          <w:szCs w:val="21"/>
        </w:rPr>
      </w:pPr>
      <w:bookmarkStart w:id="496" w:name="_Toc12207"/>
      <w:bookmarkStart w:id="497" w:name="_Toc15058899"/>
      <w:bookmarkStart w:id="498" w:name="_Toc324404861"/>
      <w:bookmarkStart w:id="499" w:name="_Toc35425102"/>
      <w:bookmarkStart w:id="500" w:name="_Toc179632597"/>
      <w:bookmarkStart w:id="501" w:name="_Toc152042356"/>
      <w:bookmarkStart w:id="502" w:name="_Toc247085737"/>
      <w:bookmarkStart w:id="503" w:name="_Toc296602466"/>
      <w:bookmarkStart w:id="504" w:name="_Toc246996223"/>
      <w:bookmarkStart w:id="505" w:name="_Toc506107314"/>
      <w:bookmarkStart w:id="506" w:name="_Toc35424936"/>
      <w:bookmarkStart w:id="507" w:name="_Toc152045579"/>
      <w:bookmarkStart w:id="508" w:name="_Toc246996966"/>
      <w:bookmarkStart w:id="509" w:name="_Toc2154"/>
      <w:bookmarkStart w:id="510" w:name="_Toc35947219"/>
      <w:bookmarkStart w:id="511" w:name="_Toc22416"/>
      <w:r>
        <w:rPr>
          <w:rFonts w:hint="eastAsia" w:ascii="宋体" w:hAnsi="宋体" w:cs="宋体"/>
          <w:b/>
          <w:bCs/>
          <w:szCs w:val="21"/>
        </w:rPr>
        <w:t>8.5 投诉</w:t>
      </w:r>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7EE3147B">
      <w:pPr>
        <w:spacing w:line="440" w:lineRule="atLeast"/>
        <w:ind w:firstLine="420" w:firstLineChars="200"/>
        <w:rPr>
          <w:rFonts w:ascii="宋体" w:hAnsi="宋体" w:cs="宋体"/>
          <w:szCs w:val="21"/>
        </w:rPr>
      </w:pPr>
      <w:r>
        <w:rPr>
          <w:rFonts w:hint="eastAsia" w:ascii="宋体" w:hAnsi="宋体" w:cs="宋体"/>
          <w:szCs w:val="21"/>
        </w:rPr>
        <w:t>8.5.1投标人和其他利害关系人认为本次招标活动违反法律、法规和规章规定的，有权向有关行政监督部门投诉。投诉应当有明确的请求和必要的证明材料。</w:t>
      </w:r>
    </w:p>
    <w:p w14:paraId="1E618A55">
      <w:pPr>
        <w:spacing w:line="440" w:lineRule="atLeast"/>
        <w:ind w:firstLine="420" w:firstLineChars="200"/>
        <w:rPr>
          <w:rFonts w:ascii="宋体" w:hAnsi="宋体" w:cs="宋体"/>
          <w:szCs w:val="21"/>
        </w:rPr>
      </w:pPr>
      <w:r>
        <w:rPr>
          <w:rFonts w:hint="eastAsia" w:ascii="宋体" w:hAnsi="宋体" w:cs="宋体"/>
          <w:szCs w:val="21"/>
        </w:rPr>
        <w:t>8.5.2投标人和其他利害关系人对评标结果等事项投诉的，应当在开标期间或公示期间，先向采购人提出异议。</w:t>
      </w:r>
      <w:r>
        <w:rPr>
          <w:rFonts w:hint="eastAsia" w:ascii="宋体" w:hAnsi="宋体" w:cs="宋体"/>
          <w:b/>
          <w:bCs/>
          <w:szCs w:val="21"/>
        </w:rPr>
        <w:t>注：一份质疑（异议）函只能针对一个项目提出质疑（异议），且针对同一招标采购程序环节的质疑（异议）应当一次性提出。</w:t>
      </w:r>
    </w:p>
    <w:p w14:paraId="181D4165">
      <w:pPr>
        <w:spacing w:line="440" w:lineRule="atLeast"/>
        <w:ind w:firstLine="422" w:firstLineChars="200"/>
        <w:outlineLvl w:val="2"/>
        <w:rPr>
          <w:rFonts w:ascii="宋体" w:hAnsi="宋体" w:cs="宋体"/>
          <w:b/>
          <w:bCs/>
          <w:szCs w:val="21"/>
        </w:rPr>
      </w:pPr>
      <w:bookmarkStart w:id="512" w:name="_Toc152042357"/>
      <w:bookmarkStart w:id="513" w:name="_Toc24040"/>
      <w:bookmarkStart w:id="514" w:name="_Toc246996967"/>
      <w:bookmarkStart w:id="515" w:name="_Toc247085738"/>
      <w:bookmarkStart w:id="516" w:name="_Toc144974547"/>
      <w:bookmarkStart w:id="517" w:name="_Toc35947220"/>
      <w:bookmarkStart w:id="518" w:name="_Toc324404862"/>
      <w:bookmarkStart w:id="519" w:name="_Toc15058900"/>
      <w:bookmarkStart w:id="520" w:name="_Toc35425103"/>
      <w:bookmarkStart w:id="521" w:name="_Toc246996224"/>
      <w:bookmarkStart w:id="522" w:name="_Toc152045580"/>
      <w:bookmarkStart w:id="523" w:name="_Toc18012"/>
      <w:bookmarkStart w:id="524" w:name="_Toc296"/>
      <w:bookmarkStart w:id="525" w:name="_Toc179632598"/>
      <w:bookmarkStart w:id="526" w:name="_Toc35424937"/>
      <w:bookmarkStart w:id="527" w:name="_Toc506107315"/>
      <w:bookmarkStart w:id="528" w:name="_Toc23899"/>
      <w:r>
        <w:rPr>
          <w:rFonts w:hint="eastAsia" w:ascii="宋体" w:hAnsi="宋体" w:cs="宋体"/>
          <w:b/>
          <w:bCs/>
          <w:szCs w:val="21"/>
        </w:rPr>
        <w:t>9.需要补充的其他内容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7D50BD08">
      <w:pPr>
        <w:spacing w:line="440" w:lineRule="atLeast"/>
        <w:ind w:firstLine="420" w:firstLineChars="200"/>
        <w:rPr>
          <w:rFonts w:ascii="宋体" w:hAnsi="宋体" w:cs="宋体"/>
          <w:szCs w:val="21"/>
        </w:rPr>
      </w:pPr>
      <w:bookmarkStart w:id="529" w:name="_Toc15058901"/>
      <w:r>
        <w:rPr>
          <w:rFonts w:hint="eastAsia" w:ascii="宋体" w:hAnsi="宋体" w:cs="宋体"/>
          <w:szCs w:val="21"/>
        </w:rPr>
        <w:t>需要补充的其他内容：见投标人须知前附表。</w:t>
      </w:r>
      <w:bookmarkEnd w:id="529"/>
    </w:p>
    <w:p w14:paraId="5F38A6C6">
      <w:pPr>
        <w:pStyle w:val="2"/>
        <w:ind w:firstLine="562"/>
        <w:jc w:val="both"/>
        <w:rPr>
          <w:sz w:val="28"/>
          <w:szCs w:val="28"/>
        </w:rPr>
      </w:pPr>
      <w:bookmarkStart w:id="530" w:name="_Toc9676"/>
      <w:bookmarkStart w:id="531" w:name="_Toc1436"/>
      <w:bookmarkStart w:id="532" w:name="_Toc6133"/>
      <w:bookmarkStart w:id="533" w:name="_Toc27356"/>
    </w:p>
    <w:p w14:paraId="79555FCA">
      <w:pPr>
        <w:ind w:firstLine="560"/>
        <w:rPr>
          <w:sz w:val="28"/>
          <w:szCs w:val="28"/>
        </w:rPr>
      </w:pPr>
    </w:p>
    <w:p w14:paraId="6775F084">
      <w:pPr>
        <w:pStyle w:val="49"/>
        <w:ind w:firstLine="560"/>
        <w:rPr>
          <w:sz w:val="28"/>
          <w:szCs w:val="28"/>
        </w:rPr>
      </w:pPr>
    </w:p>
    <w:p w14:paraId="497079F3">
      <w:pPr>
        <w:pStyle w:val="21"/>
        <w:rPr>
          <w:szCs w:val="28"/>
        </w:rPr>
      </w:pPr>
    </w:p>
    <w:p w14:paraId="7DA24796">
      <w:pPr>
        <w:pStyle w:val="17"/>
        <w:ind w:firstLine="562"/>
        <w:rPr>
          <w:sz w:val="28"/>
          <w:szCs w:val="28"/>
        </w:rPr>
      </w:pPr>
    </w:p>
    <w:p w14:paraId="3B72D9F2">
      <w:pPr>
        <w:ind w:firstLine="560"/>
        <w:rPr>
          <w:sz w:val="28"/>
          <w:szCs w:val="28"/>
        </w:rPr>
      </w:pPr>
    </w:p>
    <w:p w14:paraId="2CC9EFCB">
      <w:pPr>
        <w:pStyle w:val="49"/>
        <w:ind w:firstLine="560"/>
        <w:rPr>
          <w:sz w:val="28"/>
          <w:szCs w:val="28"/>
        </w:rPr>
      </w:pPr>
    </w:p>
    <w:p w14:paraId="71E32E06">
      <w:pPr>
        <w:pStyle w:val="21"/>
        <w:rPr>
          <w:szCs w:val="28"/>
        </w:rPr>
      </w:pPr>
    </w:p>
    <w:p w14:paraId="33AFB920">
      <w:pPr>
        <w:pStyle w:val="17"/>
        <w:ind w:firstLine="562"/>
        <w:rPr>
          <w:sz w:val="28"/>
          <w:szCs w:val="28"/>
        </w:rPr>
      </w:pPr>
    </w:p>
    <w:p w14:paraId="45A20A50">
      <w:pPr>
        <w:ind w:firstLine="560"/>
        <w:rPr>
          <w:sz w:val="28"/>
          <w:szCs w:val="28"/>
        </w:rPr>
      </w:pPr>
    </w:p>
    <w:p w14:paraId="0247C4DA">
      <w:pPr>
        <w:pStyle w:val="2"/>
        <w:ind w:firstLine="562"/>
        <w:rPr>
          <w:sz w:val="28"/>
          <w:szCs w:val="28"/>
        </w:rPr>
      </w:pPr>
      <w:r>
        <w:rPr>
          <w:rFonts w:hint="eastAsia"/>
          <w:sz w:val="28"/>
          <w:szCs w:val="28"/>
        </w:rPr>
        <w:t>第三章  评标办法</w:t>
      </w:r>
      <w:bookmarkEnd w:id="530"/>
      <w:bookmarkEnd w:id="531"/>
      <w:bookmarkEnd w:id="532"/>
      <w:bookmarkEnd w:id="533"/>
    </w:p>
    <w:bookmarkEnd w:id="47"/>
    <w:p w14:paraId="037A9139">
      <w:pPr>
        <w:spacing w:line="440" w:lineRule="exact"/>
        <w:ind w:firstLine="562"/>
        <w:jc w:val="center"/>
        <w:outlineLvl w:val="1"/>
        <w:rPr>
          <w:rFonts w:ascii="宋体"/>
          <w:b/>
          <w:sz w:val="28"/>
          <w:szCs w:val="28"/>
        </w:rPr>
      </w:pPr>
      <w:bookmarkStart w:id="534" w:name="_Toc58430317"/>
      <w:bookmarkStart w:id="535" w:name="_Toc449028877"/>
      <w:bookmarkStart w:id="536" w:name="_Toc362983801"/>
      <w:r>
        <w:rPr>
          <w:rFonts w:hint="eastAsia" w:ascii="宋体"/>
          <w:b/>
          <w:sz w:val="28"/>
          <w:szCs w:val="28"/>
        </w:rPr>
        <w:t>一、总则</w:t>
      </w:r>
      <w:bookmarkEnd w:id="534"/>
      <w:bookmarkEnd w:id="535"/>
      <w:bookmarkEnd w:id="536"/>
    </w:p>
    <w:p w14:paraId="7ED86923">
      <w:pPr>
        <w:spacing w:line="440" w:lineRule="exact"/>
        <w:ind w:firstLine="316" w:firstLineChars="150"/>
        <w:jc w:val="left"/>
        <w:rPr>
          <w:rFonts w:ascii="宋体" w:hAnsi="宋体" w:cs="宋体"/>
          <w:b/>
          <w:szCs w:val="21"/>
        </w:rPr>
      </w:pPr>
      <w:r>
        <w:rPr>
          <w:rFonts w:hint="eastAsia" w:ascii="宋体" w:hAnsi="宋体" w:cs="宋体"/>
          <w:b/>
          <w:szCs w:val="21"/>
        </w:rPr>
        <w:t xml:space="preserve"> 1. 本次评标采用综合评分法</w:t>
      </w:r>
    </w:p>
    <w:p w14:paraId="5B5804D7">
      <w:pPr>
        <w:spacing w:line="400" w:lineRule="exact"/>
        <w:ind w:firstLine="420" w:firstLineChars="200"/>
        <w:jc w:val="left"/>
        <w:rPr>
          <w:rFonts w:ascii="宋体" w:hAnsi="宋体" w:cs="宋体"/>
          <w:sz w:val="24"/>
        </w:rPr>
      </w:pPr>
      <w:r>
        <w:rPr>
          <w:rFonts w:hint="eastAsia" w:ascii="宋体" w:hAnsi="宋体" w:cs="宋体"/>
          <w:szCs w:val="21"/>
        </w:rPr>
        <w:t>1.1综合评分法是指投标文件满足招标文件全部实质性要求且按照评审因素的量化指标评审总得分从高到低的投标人为中标候选人的评标方法。</w:t>
      </w:r>
    </w:p>
    <w:p w14:paraId="7E578BB5">
      <w:pPr>
        <w:spacing w:line="440" w:lineRule="exact"/>
        <w:ind w:firstLine="420" w:firstLineChars="200"/>
        <w:jc w:val="left"/>
        <w:rPr>
          <w:rFonts w:ascii="宋体" w:hAnsi="宋体" w:cs="宋体"/>
          <w:szCs w:val="21"/>
        </w:rPr>
      </w:pPr>
      <w:r>
        <w:rPr>
          <w:rFonts w:hint="eastAsia" w:ascii="宋体" w:hAnsi="宋体" w:cs="宋体"/>
          <w:szCs w:val="21"/>
        </w:rPr>
        <w:t>1.2综合评分法一般适用于较为复杂、评价指标难以量化且价格为非主要因素的非标准定制商品和非通用服务项目的项目评审。</w:t>
      </w:r>
    </w:p>
    <w:p w14:paraId="701D0693">
      <w:pPr>
        <w:spacing w:line="440" w:lineRule="exact"/>
        <w:ind w:firstLine="422" w:firstLineChars="200"/>
        <w:rPr>
          <w:rFonts w:ascii="宋体" w:hAnsi="宋体" w:cs="宋体"/>
          <w:b/>
          <w:szCs w:val="21"/>
        </w:rPr>
      </w:pPr>
      <w:r>
        <w:rPr>
          <w:rFonts w:hint="eastAsia" w:ascii="宋体" w:hAnsi="宋体" w:cs="宋体"/>
          <w:b/>
          <w:szCs w:val="21"/>
        </w:rPr>
        <w:t>2．评标程序</w:t>
      </w:r>
    </w:p>
    <w:p w14:paraId="1EDCF544">
      <w:pPr>
        <w:spacing w:line="440" w:lineRule="exact"/>
        <w:ind w:firstLine="420" w:firstLineChars="200"/>
        <w:rPr>
          <w:rFonts w:ascii="宋体" w:hAnsi="宋体" w:cs="宋体"/>
          <w:szCs w:val="21"/>
        </w:rPr>
      </w:pPr>
      <w:r>
        <w:rPr>
          <w:rFonts w:hint="eastAsia" w:ascii="宋体" w:hAnsi="宋体" w:cs="宋体"/>
          <w:szCs w:val="21"/>
        </w:rPr>
        <w:t>2.1投标文件的初审</w:t>
      </w:r>
    </w:p>
    <w:p w14:paraId="608CC647">
      <w:pPr>
        <w:spacing w:line="440" w:lineRule="exact"/>
        <w:ind w:firstLine="420" w:firstLineChars="200"/>
        <w:jc w:val="left"/>
        <w:rPr>
          <w:rFonts w:ascii="宋体" w:hAnsi="宋体" w:cs="宋体"/>
          <w:szCs w:val="21"/>
        </w:rPr>
      </w:pPr>
      <w:r>
        <w:rPr>
          <w:rFonts w:hint="eastAsia" w:ascii="宋体" w:hAnsi="宋体" w:cs="宋体"/>
          <w:szCs w:val="21"/>
        </w:rPr>
        <w:t xml:space="preserve">2.1.1资格性检查。依据法律法规和招标文件的规定，对投标文件中的资格证明进行审查，以确定投标人是否具备投标资格。 </w:t>
      </w:r>
    </w:p>
    <w:p w14:paraId="2F1048C1">
      <w:pPr>
        <w:spacing w:line="440" w:lineRule="exact"/>
        <w:ind w:firstLine="420" w:firstLineChars="200"/>
        <w:jc w:val="left"/>
        <w:rPr>
          <w:rFonts w:ascii="宋体" w:hAnsi="宋体" w:cs="宋体"/>
          <w:szCs w:val="21"/>
        </w:rPr>
      </w:pPr>
      <w:r>
        <w:rPr>
          <w:rFonts w:hint="eastAsia" w:ascii="宋体" w:hAnsi="宋体" w:cs="宋体"/>
          <w:szCs w:val="21"/>
        </w:rPr>
        <w:t>2.1.2符合性检查。依据招标文件的规定，从投标文件的有效性、完整性和对招标文件的响应程度进行审查，以确定投标人是否对招标文件的实质性要求作出响应。</w:t>
      </w:r>
    </w:p>
    <w:p w14:paraId="0487E313">
      <w:pPr>
        <w:spacing w:line="440" w:lineRule="exact"/>
        <w:ind w:firstLine="420" w:firstLineChars="200"/>
        <w:rPr>
          <w:rFonts w:ascii="宋体" w:hAnsi="宋体" w:cs="宋体"/>
          <w:szCs w:val="21"/>
        </w:rPr>
      </w:pPr>
      <w:r>
        <w:rPr>
          <w:rFonts w:hint="eastAsia" w:ascii="宋体" w:hAnsi="宋体" w:cs="宋体"/>
          <w:szCs w:val="21"/>
        </w:rPr>
        <w:t>2.2投标文件的澄清</w:t>
      </w:r>
    </w:p>
    <w:p w14:paraId="0EADF757">
      <w:pPr>
        <w:spacing w:line="440" w:lineRule="exact"/>
        <w:ind w:firstLine="420" w:firstLineChars="200"/>
        <w:rPr>
          <w:rFonts w:ascii="宋体" w:hAnsi="宋体" w:cs="宋体"/>
          <w:szCs w:val="21"/>
        </w:rPr>
      </w:pPr>
      <w:r>
        <w:rPr>
          <w:rFonts w:hint="eastAsia" w:ascii="宋体" w:hAnsi="宋体" w:cs="宋体"/>
          <w:szCs w:val="21"/>
        </w:rPr>
        <w:t>2.2.1在评标过程中，评标委员会认为需要，在见证人员在场的情况下，可要求投标单位对投标文件中的有关问题进行澄清或提供补充说明及有关资料，投标单位应做出书面答复。书面答复中不得变更价格、供货期、自报质量等实质性内容。</w:t>
      </w:r>
    </w:p>
    <w:p w14:paraId="55024DD6">
      <w:pPr>
        <w:spacing w:line="440" w:lineRule="exact"/>
        <w:ind w:firstLine="420" w:firstLineChars="200"/>
        <w:rPr>
          <w:rFonts w:ascii="宋体" w:hAnsi="宋体" w:cs="宋体"/>
          <w:szCs w:val="21"/>
        </w:rPr>
      </w:pPr>
      <w:r>
        <w:rPr>
          <w:rFonts w:hint="eastAsia" w:ascii="宋体" w:hAnsi="宋体" w:cs="宋体"/>
          <w:szCs w:val="21"/>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2E0D6EB2">
      <w:pPr>
        <w:spacing w:line="440" w:lineRule="exact"/>
        <w:ind w:firstLine="420" w:firstLineChars="200"/>
        <w:jc w:val="left"/>
        <w:rPr>
          <w:rFonts w:ascii="宋体" w:hAnsi="宋体" w:cs="宋体"/>
          <w:szCs w:val="21"/>
        </w:rPr>
      </w:pPr>
      <w:r>
        <w:rPr>
          <w:rFonts w:hint="eastAsia" w:ascii="宋体" w:hAnsi="宋体" w:cs="宋体"/>
          <w:szCs w:val="21"/>
        </w:rPr>
        <w:t>2.2.3  采购人不接受投标单位主动提出的澄清。</w:t>
      </w:r>
    </w:p>
    <w:p w14:paraId="59C95299">
      <w:pPr>
        <w:spacing w:line="440" w:lineRule="exact"/>
        <w:ind w:firstLine="420" w:firstLineChars="200"/>
        <w:rPr>
          <w:rFonts w:ascii="宋体" w:hAnsi="宋体" w:cs="宋体"/>
          <w:szCs w:val="21"/>
        </w:rPr>
      </w:pPr>
      <w:r>
        <w:rPr>
          <w:rFonts w:hint="eastAsia" w:ascii="宋体" w:hAnsi="宋体" w:cs="宋体"/>
          <w:szCs w:val="21"/>
        </w:rPr>
        <w:t>2.3比较与评价</w:t>
      </w:r>
    </w:p>
    <w:p w14:paraId="41C713CC">
      <w:pPr>
        <w:spacing w:line="440" w:lineRule="exact"/>
        <w:ind w:firstLine="420" w:firstLineChars="200"/>
        <w:jc w:val="left"/>
        <w:rPr>
          <w:rFonts w:ascii="宋体" w:hAnsi="宋体" w:cs="宋体"/>
          <w:szCs w:val="21"/>
        </w:rPr>
      </w:pPr>
      <w:r>
        <w:rPr>
          <w:rFonts w:hint="eastAsia" w:ascii="宋体" w:hAnsi="宋体" w:cs="宋体"/>
          <w:szCs w:val="21"/>
        </w:rPr>
        <w:t xml:space="preserve">2．3.1按招标文件中规定的评标方法和标准，对资格性检查和符合性检查合格的投标文件进行资信、商务和技术评估，综合比较与评价。 </w:t>
      </w:r>
    </w:p>
    <w:p w14:paraId="7C6DA5A6">
      <w:pPr>
        <w:spacing w:line="440" w:lineRule="exact"/>
        <w:ind w:firstLine="420" w:firstLineChars="200"/>
        <w:jc w:val="left"/>
        <w:rPr>
          <w:rFonts w:ascii="宋体" w:hAnsi="宋体" w:cs="宋体"/>
          <w:szCs w:val="21"/>
        </w:rPr>
      </w:pPr>
      <w:r>
        <w:rPr>
          <w:rFonts w:hint="eastAsia" w:ascii="宋体" w:hAnsi="宋体" w:cs="宋体"/>
          <w:szCs w:val="21"/>
        </w:rPr>
        <w:t>2.4推荐中标候选人名单</w:t>
      </w:r>
    </w:p>
    <w:p w14:paraId="0423892E">
      <w:pPr>
        <w:spacing w:line="440" w:lineRule="exact"/>
        <w:ind w:firstLine="420" w:firstLineChars="200"/>
        <w:jc w:val="left"/>
        <w:rPr>
          <w:rFonts w:ascii="宋体" w:hAnsi="宋体" w:cs="宋体"/>
          <w:szCs w:val="21"/>
        </w:rPr>
      </w:pPr>
      <w:r>
        <w:rPr>
          <w:rFonts w:hint="eastAsia" w:ascii="宋体" w:hAnsi="宋体" w:cs="宋体"/>
          <w:szCs w:val="21"/>
        </w:rPr>
        <w:t>2.4.1中标候选人数量应当根据采购需要确定，但必须按顺序排列中标候选人。</w:t>
      </w:r>
    </w:p>
    <w:p w14:paraId="77D26AF8">
      <w:pPr>
        <w:spacing w:line="440" w:lineRule="exact"/>
        <w:ind w:firstLine="420" w:firstLineChars="200"/>
        <w:jc w:val="left"/>
        <w:rPr>
          <w:rFonts w:ascii="宋体" w:hAnsi="宋体" w:cs="宋体"/>
          <w:szCs w:val="21"/>
        </w:rPr>
      </w:pPr>
      <w:r>
        <w:rPr>
          <w:rFonts w:hint="eastAsia" w:ascii="宋体" w:hAnsi="宋体" w:cs="宋体"/>
          <w:szCs w:val="21"/>
        </w:rPr>
        <w:t>2.5在投标文件的审查、澄清、评价和比较以及授予合同过程中，投标单位对招标单位和评标委员会成员施加影响的任何行为，都将导致取消其中标资格。</w:t>
      </w:r>
    </w:p>
    <w:p w14:paraId="24D08665">
      <w:pPr>
        <w:spacing w:line="440" w:lineRule="exact"/>
        <w:ind w:firstLine="562" w:firstLineChars="200"/>
        <w:jc w:val="left"/>
        <w:rPr>
          <w:rFonts w:ascii="宋体"/>
          <w:b/>
          <w:sz w:val="28"/>
          <w:szCs w:val="28"/>
        </w:rPr>
      </w:pPr>
    </w:p>
    <w:p w14:paraId="42D3413A">
      <w:pPr>
        <w:ind w:firstLine="562"/>
        <w:jc w:val="center"/>
        <w:outlineLvl w:val="1"/>
        <w:rPr>
          <w:rFonts w:ascii="宋体"/>
          <w:b/>
          <w:sz w:val="28"/>
          <w:szCs w:val="28"/>
        </w:rPr>
      </w:pPr>
      <w:bookmarkStart w:id="537" w:name="_Toc17428"/>
      <w:bookmarkStart w:id="538" w:name="_Toc31035"/>
      <w:bookmarkStart w:id="539" w:name="_Toc29031"/>
    </w:p>
    <w:p w14:paraId="0DC8B2C7">
      <w:pPr>
        <w:ind w:firstLine="562"/>
        <w:jc w:val="center"/>
        <w:outlineLvl w:val="1"/>
        <w:rPr>
          <w:rFonts w:ascii="宋体"/>
          <w:b/>
          <w:sz w:val="28"/>
          <w:szCs w:val="28"/>
        </w:rPr>
      </w:pPr>
      <w:r>
        <w:rPr>
          <w:rFonts w:hint="eastAsia" w:ascii="宋体"/>
          <w:b/>
          <w:sz w:val="28"/>
          <w:szCs w:val="28"/>
        </w:rPr>
        <w:t>二  投标文件初审</w:t>
      </w:r>
      <w:bookmarkEnd w:id="537"/>
      <w:bookmarkEnd w:id="538"/>
      <w:bookmarkEnd w:id="539"/>
    </w:p>
    <w:p w14:paraId="266458B8">
      <w:pPr>
        <w:spacing w:line="400" w:lineRule="exact"/>
        <w:ind w:firstLine="310" w:firstLineChars="147"/>
        <w:rPr>
          <w:rFonts w:ascii="宋体"/>
          <w:b/>
          <w:szCs w:val="21"/>
        </w:rPr>
      </w:pPr>
      <w:r>
        <w:rPr>
          <w:rFonts w:hint="eastAsia" w:ascii="宋体"/>
          <w:b/>
          <w:szCs w:val="21"/>
        </w:rPr>
        <w:t>3.资格性审查:</w:t>
      </w:r>
    </w:p>
    <w:p w14:paraId="70406448">
      <w:pPr>
        <w:spacing w:line="400" w:lineRule="exact"/>
        <w:ind w:firstLine="308" w:firstLineChars="147"/>
        <w:rPr>
          <w:szCs w:val="21"/>
        </w:rPr>
      </w:pPr>
      <w:r>
        <w:rPr>
          <w:rFonts w:hint="eastAsia" w:ascii="宋体"/>
          <w:szCs w:val="21"/>
        </w:rPr>
        <w:t>3.1</w:t>
      </w:r>
      <w:r>
        <w:rPr>
          <w:rFonts w:hint="eastAsia"/>
          <w:szCs w:val="21"/>
        </w:rPr>
        <w:t>评审细则</w:t>
      </w:r>
    </w:p>
    <w:tbl>
      <w:tblPr>
        <w:tblStyle w:val="50"/>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27"/>
        <w:gridCol w:w="3008"/>
        <w:gridCol w:w="3929"/>
      </w:tblGrid>
      <w:tr w14:paraId="0142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5" w:type="dxa"/>
            <w:vAlign w:val="center"/>
          </w:tcPr>
          <w:p w14:paraId="3D871D2B">
            <w:pPr>
              <w:spacing w:line="320" w:lineRule="exact"/>
              <w:jc w:val="center"/>
              <w:rPr>
                <w:rFonts w:ascii="宋体" w:hAnsi="宋体" w:cs="宋体"/>
                <w:szCs w:val="21"/>
              </w:rPr>
            </w:pPr>
            <w:r>
              <w:rPr>
                <w:rFonts w:hint="eastAsia" w:ascii="宋体" w:hAnsi="宋体" w:cs="宋体"/>
                <w:szCs w:val="21"/>
              </w:rPr>
              <w:t>序号</w:t>
            </w:r>
          </w:p>
        </w:tc>
        <w:tc>
          <w:tcPr>
            <w:tcW w:w="4535" w:type="dxa"/>
            <w:gridSpan w:val="2"/>
            <w:vAlign w:val="center"/>
          </w:tcPr>
          <w:p w14:paraId="01136C90">
            <w:pPr>
              <w:spacing w:line="320" w:lineRule="exact"/>
              <w:ind w:firstLine="480"/>
              <w:jc w:val="center"/>
              <w:rPr>
                <w:rFonts w:ascii="宋体" w:hAnsi="宋体" w:cs="宋体"/>
                <w:szCs w:val="21"/>
              </w:rPr>
            </w:pPr>
            <w:r>
              <w:rPr>
                <w:rFonts w:hint="eastAsia" w:ascii="宋体" w:hAnsi="宋体" w:cs="宋体"/>
                <w:szCs w:val="21"/>
              </w:rPr>
              <w:t>评审因素</w:t>
            </w:r>
          </w:p>
        </w:tc>
        <w:tc>
          <w:tcPr>
            <w:tcW w:w="3929" w:type="dxa"/>
            <w:vAlign w:val="center"/>
          </w:tcPr>
          <w:p w14:paraId="5F637542">
            <w:pPr>
              <w:spacing w:line="320" w:lineRule="exact"/>
              <w:ind w:firstLine="480"/>
              <w:jc w:val="left"/>
              <w:rPr>
                <w:rFonts w:ascii="宋体" w:hAnsi="宋体" w:cs="宋体"/>
                <w:szCs w:val="21"/>
              </w:rPr>
            </w:pPr>
            <w:r>
              <w:rPr>
                <w:rFonts w:hint="eastAsia" w:ascii="宋体" w:hAnsi="宋体" w:cs="宋体"/>
                <w:szCs w:val="21"/>
              </w:rPr>
              <w:t>评审标准</w:t>
            </w:r>
          </w:p>
        </w:tc>
      </w:tr>
      <w:tr w14:paraId="20EA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85" w:type="dxa"/>
            <w:vMerge w:val="restart"/>
            <w:vAlign w:val="center"/>
          </w:tcPr>
          <w:p w14:paraId="5A1970B5">
            <w:pPr>
              <w:spacing w:line="320" w:lineRule="exact"/>
              <w:jc w:val="center"/>
              <w:rPr>
                <w:rFonts w:ascii="宋体" w:hAnsi="宋体" w:cs="宋体"/>
                <w:szCs w:val="21"/>
              </w:rPr>
            </w:pPr>
            <w:r>
              <w:rPr>
                <w:rFonts w:hint="eastAsia" w:ascii="宋体" w:hAnsi="宋体" w:cs="宋体"/>
                <w:szCs w:val="21"/>
              </w:rPr>
              <w:t>1</w:t>
            </w:r>
          </w:p>
        </w:tc>
        <w:tc>
          <w:tcPr>
            <w:tcW w:w="1527" w:type="dxa"/>
            <w:vMerge w:val="restart"/>
            <w:vAlign w:val="center"/>
          </w:tcPr>
          <w:p w14:paraId="03E838B0">
            <w:pPr>
              <w:spacing w:line="320" w:lineRule="exact"/>
              <w:rPr>
                <w:rFonts w:ascii="宋体" w:hAnsi="宋体" w:cs="宋体"/>
                <w:szCs w:val="21"/>
              </w:rPr>
            </w:pPr>
            <w:r>
              <w:rPr>
                <w:rFonts w:hint="eastAsia" w:ascii="宋体" w:hAnsi="宋体" w:cs="宋体"/>
                <w:szCs w:val="21"/>
              </w:rPr>
              <w:t>重要要求</w:t>
            </w:r>
          </w:p>
        </w:tc>
        <w:tc>
          <w:tcPr>
            <w:tcW w:w="3008" w:type="dxa"/>
            <w:vAlign w:val="center"/>
          </w:tcPr>
          <w:p w14:paraId="76A22C5F">
            <w:pPr>
              <w:spacing w:line="320" w:lineRule="exact"/>
              <w:rPr>
                <w:rFonts w:ascii="宋体" w:hAnsi="宋体" w:cs="宋体"/>
                <w:szCs w:val="21"/>
              </w:rPr>
            </w:pPr>
            <w:r>
              <w:rPr>
                <w:rFonts w:hint="eastAsia" w:ascii="宋体" w:hAnsi="宋体" w:cs="宋体"/>
                <w:szCs w:val="21"/>
              </w:rPr>
              <w:t>（1）法定代表人身份证明和本人有效身份证(或法定代表人授权委托书和委托代理人有效身份证)</w:t>
            </w:r>
          </w:p>
        </w:tc>
        <w:tc>
          <w:tcPr>
            <w:tcW w:w="3929" w:type="dxa"/>
            <w:vAlign w:val="center"/>
          </w:tcPr>
          <w:p w14:paraId="47CFF43B">
            <w:pPr>
              <w:spacing w:line="320" w:lineRule="exact"/>
              <w:jc w:val="left"/>
              <w:rPr>
                <w:rFonts w:ascii="宋体" w:hAnsi="宋体" w:cs="宋体"/>
                <w:b/>
                <w:szCs w:val="21"/>
              </w:rPr>
            </w:pPr>
            <w:r>
              <w:rPr>
                <w:rFonts w:hint="eastAsia" w:ascii="宋体" w:hAnsi="宋体" w:cs="宋体"/>
                <w:b/>
                <w:szCs w:val="21"/>
              </w:rPr>
              <w:t>法定代表人或其委托代理人携带身份证原件至开标现场（手持或密封均视为携带）。</w:t>
            </w:r>
          </w:p>
        </w:tc>
      </w:tr>
      <w:tr w14:paraId="5EC3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85" w:type="dxa"/>
            <w:vMerge w:val="continue"/>
            <w:vAlign w:val="center"/>
          </w:tcPr>
          <w:p w14:paraId="132C6958">
            <w:pPr>
              <w:spacing w:line="320" w:lineRule="exact"/>
              <w:ind w:firstLine="480"/>
              <w:jc w:val="center"/>
              <w:rPr>
                <w:rFonts w:ascii="宋体" w:hAnsi="宋体" w:cs="宋体"/>
                <w:szCs w:val="21"/>
              </w:rPr>
            </w:pPr>
          </w:p>
        </w:tc>
        <w:tc>
          <w:tcPr>
            <w:tcW w:w="1527" w:type="dxa"/>
            <w:vMerge w:val="continue"/>
            <w:vAlign w:val="center"/>
          </w:tcPr>
          <w:p w14:paraId="70ACB65E">
            <w:pPr>
              <w:spacing w:line="320" w:lineRule="exact"/>
              <w:ind w:firstLine="480"/>
              <w:jc w:val="center"/>
              <w:rPr>
                <w:rFonts w:ascii="宋体" w:hAnsi="宋体" w:cs="宋体"/>
                <w:szCs w:val="21"/>
              </w:rPr>
            </w:pPr>
          </w:p>
        </w:tc>
        <w:tc>
          <w:tcPr>
            <w:tcW w:w="3008" w:type="dxa"/>
            <w:vAlign w:val="center"/>
          </w:tcPr>
          <w:p w14:paraId="2CB0BBF1">
            <w:pPr>
              <w:spacing w:line="320" w:lineRule="exact"/>
              <w:rPr>
                <w:rFonts w:ascii="宋体" w:hAnsi="宋体" w:cs="宋体"/>
                <w:szCs w:val="21"/>
              </w:rPr>
            </w:pPr>
            <w:r>
              <w:rPr>
                <w:rFonts w:hint="eastAsia" w:ascii="宋体" w:hAnsi="宋体" w:cs="宋体"/>
                <w:szCs w:val="21"/>
              </w:rPr>
              <w:t>（2）保证金缴纳情况</w:t>
            </w:r>
          </w:p>
        </w:tc>
        <w:tc>
          <w:tcPr>
            <w:tcW w:w="3929" w:type="dxa"/>
            <w:vAlign w:val="center"/>
          </w:tcPr>
          <w:p w14:paraId="5C08F01B">
            <w:pPr>
              <w:spacing w:line="320" w:lineRule="exact"/>
              <w:jc w:val="left"/>
              <w:rPr>
                <w:rFonts w:ascii="宋体" w:hAnsi="宋体" w:cs="宋体"/>
                <w:szCs w:val="21"/>
              </w:rPr>
            </w:pPr>
            <w:r>
              <w:rPr>
                <w:rFonts w:hint="eastAsia" w:ascii="宋体" w:hAnsi="宋体" w:cs="宋体"/>
                <w:szCs w:val="21"/>
              </w:rPr>
              <w:t>不要求</w:t>
            </w:r>
          </w:p>
        </w:tc>
      </w:tr>
      <w:tr w14:paraId="7D05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885" w:type="dxa"/>
            <w:vMerge w:val="restart"/>
            <w:vAlign w:val="center"/>
          </w:tcPr>
          <w:p w14:paraId="38AE0FC8">
            <w:pPr>
              <w:spacing w:line="320" w:lineRule="exact"/>
              <w:jc w:val="center"/>
              <w:rPr>
                <w:rFonts w:ascii="宋体" w:hAnsi="宋体" w:cs="宋体"/>
                <w:szCs w:val="21"/>
              </w:rPr>
            </w:pPr>
            <w:r>
              <w:rPr>
                <w:rFonts w:hint="eastAsia" w:ascii="宋体" w:hAnsi="宋体" w:cs="宋体"/>
                <w:szCs w:val="21"/>
              </w:rPr>
              <w:t>2</w:t>
            </w:r>
          </w:p>
        </w:tc>
        <w:tc>
          <w:tcPr>
            <w:tcW w:w="1527" w:type="dxa"/>
            <w:vMerge w:val="restart"/>
            <w:vAlign w:val="center"/>
          </w:tcPr>
          <w:p w14:paraId="4A0C3A94">
            <w:pPr>
              <w:spacing w:line="320" w:lineRule="exact"/>
              <w:rPr>
                <w:rFonts w:ascii="宋体" w:hAnsi="宋体" w:cs="宋体"/>
                <w:szCs w:val="21"/>
              </w:rPr>
            </w:pPr>
            <w:r>
              <w:rPr>
                <w:rFonts w:hint="eastAsia" w:ascii="宋体" w:hAnsi="宋体" w:cs="宋体"/>
                <w:szCs w:val="21"/>
              </w:rPr>
              <w:t>投标人应符合的基本资格条件</w:t>
            </w:r>
          </w:p>
        </w:tc>
        <w:tc>
          <w:tcPr>
            <w:tcW w:w="3008" w:type="dxa"/>
            <w:vAlign w:val="center"/>
          </w:tcPr>
          <w:p w14:paraId="6D5C1734">
            <w:pPr>
              <w:spacing w:line="320" w:lineRule="exact"/>
              <w:rPr>
                <w:rFonts w:ascii="宋体" w:hAnsi="宋体" w:cs="宋体"/>
                <w:szCs w:val="21"/>
              </w:rPr>
            </w:pPr>
            <w:r>
              <w:rPr>
                <w:rFonts w:hint="eastAsia" w:ascii="宋体" w:hAnsi="宋体" w:cs="宋体"/>
                <w:szCs w:val="21"/>
              </w:rPr>
              <w:t>（3）具有独立承担民事责任的能力</w:t>
            </w:r>
          </w:p>
        </w:tc>
        <w:tc>
          <w:tcPr>
            <w:tcW w:w="3929" w:type="dxa"/>
            <w:vAlign w:val="center"/>
          </w:tcPr>
          <w:p w14:paraId="5FBE6728">
            <w:pPr>
              <w:spacing w:line="320" w:lineRule="exact"/>
              <w:jc w:val="left"/>
              <w:rPr>
                <w:rFonts w:ascii="宋体" w:hAnsi="宋体" w:cs="宋体"/>
                <w:szCs w:val="21"/>
              </w:rPr>
            </w:pPr>
            <w:r>
              <w:rPr>
                <w:rFonts w:hint="eastAsia" w:ascii="宋体" w:hAnsi="宋体" w:cs="宋体"/>
                <w:b/>
                <w:szCs w:val="21"/>
              </w:rPr>
              <w:t>评审核验下列证书、证明材料：</w:t>
            </w:r>
          </w:p>
          <w:p w14:paraId="2CA3002F">
            <w:pPr>
              <w:spacing w:line="320" w:lineRule="exact"/>
              <w:jc w:val="left"/>
              <w:rPr>
                <w:rFonts w:ascii="宋体" w:hAnsi="宋体" w:cs="宋体"/>
                <w:szCs w:val="21"/>
              </w:rPr>
            </w:pPr>
            <w:r>
              <w:rPr>
                <w:rFonts w:hint="eastAsia" w:ascii="宋体" w:hAnsi="宋体" w:cs="宋体"/>
                <w:szCs w:val="21"/>
              </w:rPr>
              <w:t>投标人有效的营业执照、税务登记证、组织机构码证（或“三证合一证书”）</w:t>
            </w:r>
          </w:p>
        </w:tc>
      </w:tr>
      <w:tr w14:paraId="7F98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85" w:type="dxa"/>
            <w:vMerge w:val="continue"/>
            <w:vAlign w:val="center"/>
          </w:tcPr>
          <w:p w14:paraId="0736CB85">
            <w:pPr>
              <w:spacing w:line="320" w:lineRule="exact"/>
              <w:ind w:firstLine="480"/>
              <w:jc w:val="center"/>
              <w:rPr>
                <w:rFonts w:ascii="宋体" w:hAnsi="宋体" w:cs="宋体"/>
                <w:szCs w:val="21"/>
              </w:rPr>
            </w:pPr>
          </w:p>
        </w:tc>
        <w:tc>
          <w:tcPr>
            <w:tcW w:w="1527" w:type="dxa"/>
            <w:vMerge w:val="continue"/>
            <w:vAlign w:val="center"/>
          </w:tcPr>
          <w:p w14:paraId="24AA2E32">
            <w:pPr>
              <w:spacing w:line="320" w:lineRule="exact"/>
              <w:ind w:firstLine="480"/>
              <w:rPr>
                <w:rFonts w:ascii="宋体" w:hAnsi="宋体" w:cs="宋体"/>
                <w:szCs w:val="21"/>
              </w:rPr>
            </w:pPr>
          </w:p>
        </w:tc>
        <w:tc>
          <w:tcPr>
            <w:tcW w:w="3008" w:type="dxa"/>
          </w:tcPr>
          <w:p w14:paraId="13365CC5">
            <w:pPr>
              <w:spacing w:line="320" w:lineRule="exact"/>
              <w:rPr>
                <w:rFonts w:ascii="宋体" w:hAnsi="宋体" w:cs="宋体"/>
                <w:szCs w:val="21"/>
              </w:rPr>
            </w:pPr>
            <w:r>
              <w:rPr>
                <w:rFonts w:hint="eastAsia" w:ascii="宋体" w:hAnsi="宋体" w:cs="宋体"/>
                <w:szCs w:val="21"/>
              </w:rPr>
              <w:t>（4）诚信投标承诺书</w:t>
            </w:r>
          </w:p>
        </w:tc>
        <w:tc>
          <w:tcPr>
            <w:tcW w:w="3929" w:type="dxa"/>
          </w:tcPr>
          <w:p w14:paraId="2CA69878">
            <w:pPr>
              <w:spacing w:line="360" w:lineRule="exact"/>
              <w:jc w:val="left"/>
              <w:rPr>
                <w:rFonts w:ascii="宋体" w:hAnsi="宋体" w:cs="宋体"/>
                <w:b/>
                <w:szCs w:val="21"/>
              </w:rPr>
            </w:pPr>
            <w:r>
              <w:rPr>
                <w:rFonts w:hint="eastAsia" w:ascii="宋体" w:hAnsi="宋体" w:cs="宋体"/>
                <w:szCs w:val="21"/>
              </w:rPr>
              <w:t>格式见附件</w:t>
            </w:r>
          </w:p>
        </w:tc>
      </w:tr>
      <w:tr w14:paraId="4E67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85" w:type="dxa"/>
            <w:vMerge w:val="continue"/>
            <w:vAlign w:val="center"/>
          </w:tcPr>
          <w:p w14:paraId="2B17B331">
            <w:pPr>
              <w:spacing w:line="320" w:lineRule="exact"/>
              <w:ind w:firstLine="480"/>
              <w:jc w:val="center"/>
              <w:rPr>
                <w:rFonts w:ascii="宋体" w:hAnsi="宋体" w:cs="宋体"/>
                <w:szCs w:val="21"/>
              </w:rPr>
            </w:pPr>
          </w:p>
        </w:tc>
        <w:tc>
          <w:tcPr>
            <w:tcW w:w="1527" w:type="dxa"/>
            <w:vMerge w:val="continue"/>
            <w:vAlign w:val="center"/>
          </w:tcPr>
          <w:p w14:paraId="3A0DF99F">
            <w:pPr>
              <w:spacing w:line="320" w:lineRule="exact"/>
              <w:ind w:firstLine="480"/>
              <w:rPr>
                <w:rFonts w:ascii="宋体" w:hAnsi="宋体" w:cs="宋体"/>
                <w:szCs w:val="21"/>
              </w:rPr>
            </w:pPr>
          </w:p>
        </w:tc>
        <w:tc>
          <w:tcPr>
            <w:tcW w:w="3008" w:type="dxa"/>
          </w:tcPr>
          <w:p w14:paraId="1D80C986">
            <w:pPr>
              <w:spacing w:line="320" w:lineRule="exact"/>
              <w:rPr>
                <w:rFonts w:ascii="宋体" w:hAnsi="宋体" w:cs="宋体"/>
                <w:szCs w:val="21"/>
              </w:rPr>
            </w:pPr>
            <w:r>
              <w:rPr>
                <w:rFonts w:hint="eastAsia" w:ascii="宋体" w:hAnsi="宋体" w:cs="宋体"/>
                <w:szCs w:val="21"/>
              </w:rPr>
              <w:t>（5）具有《特种设备安装改造维修许可证》（电梯）或《特种设备生产许可证》（电梯）含修理</w:t>
            </w:r>
          </w:p>
        </w:tc>
        <w:tc>
          <w:tcPr>
            <w:tcW w:w="3929" w:type="dxa"/>
          </w:tcPr>
          <w:p w14:paraId="420481EC">
            <w:pPr>
              <w:spacing w:line="360" w:lineRule="exact"/>
              <w:jc w:val="left"/>
              <w:rPr>
                <w:rFonts w:ascii="宋体" w:hAnsi="宋体" w:cs="宋体"/>
                <w:b/>
                <w:szCs w:val="21"/>
              </w:rPr>
            </w:pPr>
            <w:r>
              <w:rPr>
                <w:rFonts w:hint="eastAsia" w:ascii="宋体" w:hAnsi="宋体" w:cs="宋体"/>
                <w:b/>
                <w:szCs w:val="21"/>
              </w:rPr>
              <w:t>评审核验下列证书、证明材料：</w:t>
            </w:r>
          </w:p>
          <w:p w14:paraId="28A7FFCE">
            <w:pPr>
              <w:spacing w:line="360" w:lineRule="exact"/>
              <w:jc w:val="left"/>
              <w:rPr>
                <w:rFonts w:ascii="宋体" w:hAnsi="宋体" w:cs="宋体"/>
                <w:szCs w:val="21"/>
              </w:rPr>
            </w:pPr>
            <w:r>
              <w:rPr>
                <w:rFonts w:hint="eastAsia" w:ascii="宋体" w:hAnsi="宋体" w:cs="宋体"/>
                <w:bCs/>
                <w:szCs w:val="21"/>
              </w:rPr>
              <w:t>有效资质证书复印件加盖公章</w:t>
            </w:r>
          </w:p>
        </w:tc>
      </w:tr>
    </w:tbl>
    <w:p w14:paraId="73463759">
      <w:pPr>
        <w:spacing w:before="312" w:beforeLines="100" w:line="440" w:lineRule="exact"/>
        <w:ind w:firstLine="310" w:firstLineChars="147"/>
        <w:rPr>
          <w:rFonts w:ascii="宋体"/>
          <w:b/>
          <w:szCs w:val="21"/>
        </w:rPr>
      </w:pPr>
      <w:r>
        <w:rPr>
          <w:rFonts w:hint="eastAsia" w:ascii="宋体"/>
          <w:b/>
          <w:szCs w:val="21"/>
        </w:rPr>
        <w:t>4.符合性审查</w:t>
      </w:r>
    </w:p>
    <w:p w14:paraId="1574D1B9">
      <w:pPr>
        <w:spacing w:line="440" w:lineRule="exact"/>
        <w:ind w:firstLine="315" w:firstLineChars="150"/>
        <w:rPr>
          <w:rFonts w:ascii="宋体"/>
          <w:szCs w:val="21"/>
        </w:rPr>
      </w:pPr>
      <w:r>
        <w:rPr>
          <w:rFonts w:hint="eastAsia" w:ascii="宋体"/>
          <w:szCs w:val="21"/>
        </w:rPr>
        <w:t>4．1评审细则</w:t>
      </w:r>
    </w:p>
    <w:tbl>
      <w:tblPr>
        <w:tblStyle w:val="5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14:paraId="6093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53ED897A">
            <w:pPr>
              <w:spacing w:line="320" w:lineRule="atLeast"/>
              <w:jc w:val="center"/>
              <w:rPr>
                <w:rFonts w:ascii="黑体" w:eastAsia="黑体" w:cs="黑体"/>
                <w:b/>
                <w:bCs/>
                <w:szCs w:val="21"/>
              </w:rPr>
            </w:pPr>
            <w:r>
              <w:rPr>
                <w:rFonts w:hint="eastAsia" w:ascii="黑体" w:eastAsia="黑体" w:cs="黑体"/>
                <w:b/>
                <w:bCs/>
                <w:szCs w:val="21"/>
              </w:rPr>
              <w:t>序号</w:t>
            </w:r>
          </w:p>
        </w:tc>
        <w:tc>
          <w:tcPr>
            <w:tcW w:w="4135" w:type="dxa"/>
            <w:gridSpan w:val="2"/>
            <w:vAlign w:val="center"/>
          </w:tcPr>
          <w:p w14:paraId="11D24EAC">
            <w:pPr>
              <w:spacing w:line="320" w:lineRule="atLeast"/>
              <w:ind w:firstLine="482"/>
              <w:jc w:val="center"/>
              <w:rPr>
                <w:rFonts w:ascii="黑体" w:eastAsia="黑体" w:cs="黑体"/>
                <w:b/>
                <w:bCs/>
                <w:szCs w:val="21"/>
              </w:rPr>
            </w:pPr>
            <w:r>
              <w:rPr>
                <w:rFonts w:hint="eastAsia" w:ascii="黑体" w:eastAsia="黑体" w:cs="黑体"/>
                <w:b/>
                <w:bCs/>
                <w:szCs w:val="21"/>
              </w:rPr>
              <w:t>审查因素</w:t>
            </w:r>
          </w:p>
        </w:tc>
        <w:tc>
          <w:tcPr>
            <w:tcW w:w="4602" w:type="dxa"/>
            <w:vAlign w:val="center"/>
          </w:tcPr>
          <w:p w14:paraId="24E0F6B3">
            <w:pPr>
              <w:spacing w:line="320" w:lineRule="atLeast"/>
              <w:ind w:firstLine="482"/>
              <w:jc w:val="center"/>
              <w:rPr>
                <w:rFonts w:ascii="黑体" w:eastAsia="黑体" w:cs="黑体"/>
                <w:b/>
                <w:bCs/>
                <w:szCs w:val="21"/>
              </w:rPr>
            </w:pPr>
            <w:r>
              <w:rPr>
                <w:rFonts w:hint="eastAsia" w:ascii="黑体" w:eastAsia="黑体" w:cs="黑体"/>
                <w:b/>
                <w:bCs/>
                <w:szCs w:val="21"/>
              </w:rPr>
              <w:t>审查内容</w:t>
            </w:r>
          </w:p>
        </w:tc>
      </w:tr>
      <w:tr w14:paraId="640F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14:paraId="5DD8D26E">
            <w:pPr>
              <w:spacing w:line="320" w:lineRule="atLeast"/>
              <w:jc w:val="center"/>
              <w:rPr>
                <w:rFonts w:ascii="宋体"/>
                <w:szCs w:val="21"/>
              </w:rPr>
            </w:pPr>
            <w:r>
              <w:rPr>
                <w:rFonts w:hint="eastAsia" w:ascii="宋体"/>
                <w:szCs w:val="21"/>
              </w:rPr>
              <w:t>1</w:t>
            </w:r>
          </w:p>
        </w:tc>
        <w:tc>
          <w:tcPr>
            <w:tcW w:w="1204" w:type="dxa"/>
            <w:vMerge w:val="restart"/>
            <w:vAlign w:val="center"/>
          </w:tcPr>
          <w:p w14:paraId="252D54AA">
            <w:pPr>
              <w:spacing w:line="320" w:lineRule="atLeast"/>
              <w:rPr>
                <w:rFonts w:ascii="宋体" w:cs="仿宋_GB2312"/>
                <w:szCs w:val="21"/>
                <w:lang w:val="zh-CN"/>
              </w:rPr>
            </w:pPr>
            <w:r>
              <w:rPr>
                <w:rFonts w:hint="eastAsia" w:ascii="宋体" w:cs="仿宋_GB2312"/>
                <w:szCs w:val="21"/>
                <w:lang w:val="zh-CN"/>
              </w:rPr>
              <w:t>标书的有效 性</w:t>
            </w:r>
          </w:p>
        </w:tc>
        <w:tc>
          <w:tcPr>
            <w:tcW w:w="2931" w:type="dxa"/>
            <w:vAlign w:val="center"/>
          </w:tcPr>
          <w:p w14:paraId="5179C574">
            <w:pPr>
              <w:spacing w:line="320" w:lineRule="atLeast"/>
              <w:rPr>
                <w:rFonts w:ascii="宋体" w:cs="仿宋_GB2312"/>
                <w:szCs w:val="21"/>
                <w:lang w:val="zh-CN"/>
              </w:rPr>
            </w:pPr>
            <w:r>
              <w:rPr>
                <w:rFonts w:hint="eastAsia" w:ascii="宋体" w:cs="仿宋_GB2312"/>
                <w:szCs w:val="21"/>
                <w:lang w:val="zh-CN"/>
              </w:rPr>
              <w:t>（1）投标文件签署</w:t>
            </w:r>
          </w:p>
        </w:tc>
        <w:tc>
          <w:tcPr>
            <w:tcW w:w="4602" w:type="dxa"/>
            <w:vAlign w:val="center"/>
          </w:tcPr>
          <w:p w14:paraId="3FB752A9">
            <w:pPr>
              <w:spacing w:line="320" w:lineRule="atLeast"/>
              <w:rPr>
                <w:rFonts w:ascii="宋体" w:cs="仿宋_GB2312"/>
                <w:szCs w:val="21"/>
                <w:lang w:val="zh-CN"/>
              </w:rPr>
            </w:pPr>
            <w:r>
              <w:rPr>
                <w:rFonts w:hint="eastAsia" w:ascii="宋体" w:cs="仿宋_GB2312"/>
                <w:szCs w:val="21"/>
                <w:lang w:val="zh-CN"/>
              </w:rPr>
              <w:t>签字、盖章符合要求。</w:t>
            </w:r>
          </w:p>
        </w:tc>
      </w:tr>
      <w:tr w14:paraId="3CC1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7DF74251">
            <w:pPr>
              <w:spacing w:line="320" w:lineRule="atLeast"/>
              <w:ind w:firstLine="480"/>
              <w:jc w:val="center"/>
            </w:pPr>
          </w:p>
        </w:tc>
        <w:tc>
          <w:tcPr>
            <w:tcW w:w="1204" w:type="dxa"/>
            <w:vMerge w:val="continue"/>
            <w:vAlign w:val="center"/>
          </w:tcPr>
          <w:p w14:paraId="20A18D86">
            <w:pPr>
              <w:spacing w:line="320" w:lineRule="atLeast"/>
              <w:ind w:firstLine="480"/>
            </w:pPr>
          </w:p>
        </w:tc>
        <w:tc>
          <w:tcPr>
            <w:tcW w:w="2931" w:type="dxa"/>
            <w:vAlign w:val="center"/>
          </w:tcPr>
          <w:p w14:paraId="6C83A9EF">
            <w:pPr>
              <w:spacing w:line="320" w:lineRule="atLeast"/>
              <w:rPr>
                <w:rFonts w:ascii="宋体" w:cs="仿宋_GB2312"/>
                <w:szCs w:val="21"/>
                <w:lang w:val="zh-CN"/>
              </w:rPr>
            </w:pPr>
            <w:r>
              <w:rPr>
                <w:rFonts w:hint="eastAsia" w:ascii="宋体"/>
                <w:szCs w:val="21"/>
              </w:rPr>
              <w:t>（2）报价唯一</w:t>
            </w:r>
          </w:p>
        </w:tc>
        <w:tc>
          <w:tcPr>
            <w:tcW w:w="4602" w:type="dxa"/>
            <w:vAlign w:val="center"/>
          </w:tcPr>
          <w:p w14:paraId="73EEE779">
            <w:pPr>
              <w:spacing w:line="320" w:lineRule="atLeast"/>
              <w:rPr>
                <w:rFonts w:ascii="宋体" w:cs="宋体"/>
                <w:szCs w:val="21"/>
              </w:rPr>
            </w:pPr>
            <w:r>
              <w:rPr>
                <w:rFonts w:hint="eastAsia" w:ascii="宋体" w:cs="仿宋_GB2312"/>
                <w:szCs w:val="21"/>
                <w:lang w:val="zh-CN"/>
              </w:rPr>
              <w:t>只能在限价范围内报价，</w:t>
            </w:r>
            <w:r>
              <w:rPr>
                <w:rFonts w:hint="eastAsia" w:ascii="宋体"/>
                <w:szCs w:val="21"/>
              </w:rPr>
              <w:t>只能有一个有效报价，不得提交选择性报价。</w:t>
            </w:r>
          </w:p>
        </w:tc>
      </w:tr>
      <w:tr w14:paraId="3F8E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31" w:type="dxa"/>
            <w:vMerge w:val="continue"/>
            <w:vAlign w:val="center"/>
          </w:tcPr>
          <w:p w14:paraId="3F2171CA">
            <w:pPr>
              <w:spacing w:line="320" w:lineRule="atLeast"/>
              <w:ind w:firstLine="480"/>
              <w:jc w:val="center"/>
            </w:pPr>
          </w:p>
        </w:tc>
        <w:tc>
          <w:tcPr>
            <w:tcW w:w="1204" w:type="dxa"/>
            <w:vMerge w:val="continue"/>
            <w:vAlign w:val="center"/>
          </w:tcPr>
          <w:p w14:paraId="29500665">
            <w:pPr>
              <w:spacing w:line="320" w:lineRule="atLeast"/>
              <w:ind w:firstLine="480"/>
            </w:pPr>
          </w:p>
        </w:tc>
        <w:tc>
          <w:tcPr>
            <w:tcW w:w="2931" w:type="dxa"/>
            <w:vAlign w:val="center"/>
          </w:tcPr>
          <w:p w14:paraId="1EB3DF74">
            <w:pPr>
              <w:spacing w:line="320" w:lineRule="atLeast"/>
              <w:rPr>
                <w:rFonts w:ascii="宋体"/>
                <w:szCs w:val="21"/>
              </w:rPr>
            </w:pPr>
            <w:r>
              <w:rPr>
                <w:rFonts w:hint="eastAsia" w:ascii="宋体"/>
                <w:szCs w:val="21"/>
              </w:rPr>
              <w:t xml:space="preserve"> (3) 投标文件的有效期</w:t>
            </w:r>
          </w:p>
        </w:tc>
        <w:tc>
          <w:tcPr>
            <w:tcW w:w="4602" w:type="dxa"/>
            <w:vAlign w:val="center"/>
          </w:tcPr>
          <w:p w14:paraId="14C52FB8">
            <w:pPr>
              <w:spacing w:line="320" w:lineRule="atLeast"/>
              <w:rPr>
                <w:rFonts w:ascii="宋体" w:cs="仿宋_GB2312"/>
                <w:szCs w:val="21"/>
                <w:lang w:val="zh-CN"/>
              </w:rPr>
            </w:pPr>
            <w:r>
              <w:rPr>
                <w:rFonts w:hint="eastAsia" w:ascii="宋体" w:cs="仿宋_GB2312"/>
                <w:szCs w:val="21"/>
                <w:lang w:val="zh-CN"/>
              </w:rPr>
              <w:t>完全响应。</w:t>
            </w:r>
          </w:p>
        </w:tc>
      </w:tr>
      <w:tr w14:paraId="41F5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6DFAB2CD">
            <w:pPr>
              <w:spacing w:line="320" w:lineRule="atLeast"/>
              <w:jc w:val="center"/>
              <w:rPr>
                <w:rFonts w:ascii="宋体"/>
                <w:szCs w:val="21"/>
              </w:rPr>
            </w:pPr>
            <w:r>
              <w:rPr>
                <w:rFonts w:hint="eastAsia" w:ascii="宋体"/>
                <w:szCs w:val="21"/>
              </w:rPr>
              <w:t>2</w:t>
            </w:r>
          </w:p>
        </w:tc>
        <w:tc>
          <w:tcPr>
            <w:tcW w:w="1204" w:type="dxa"/>
            <w:vMerge w:val="restart"/>
            <w:vAlign w:val="center"/>
          </w:tcPr>
          <w:p w14:paraId="220490FC">
            <w:pPr>
              <w:spacing w:line="320" w:lineRule="atLeast"/>
              <w:rPr>
                <w:rFonts w:ascii="宋体" w:cs="仿宋_GB2312"/>
                <w:szCs w:val="21"/>
                <w:lang w:val="zh-CN"/>
              </w:rPr>
            </w:pPr>
            <w:r>
              <w:rPr>
                <w:rFonts w:hint="eastAsia" w:ascii="宋体" w:cs="仿宋_GB2312"/>
                <w:szCs w:val="21"/>
                <w:lang w:val="zh-CN"/>
              </w:rPr>
              <w:t>标书的完整 性</w:t>
            </w:r>
          </w:p>
        </w:tc>
        <w:tc>
          <w:tcPr>
            <w:tcW w:w="2931" w:type="dxa"/>
            <w:vAlign w:val="center"/>
          </w:tcPr>
          <w:p w14:paraId="3BEB3275">
            <w:pPr>
              <w:spacing w:line="320" w:lineRule="atLeast"/>
              <w:rPr>
                <w:rFonts w:ascii="宋体" w:cs="宋体"/>
                <w:szCs w:val="21"/>
              </w:rPr>
            </w:pPr>
            <w:r>
              <w:rPr>
                <w:rFonts w:hint="eastAsia" w:ascii="宋体" w:cs="仿宋_GB2312"/>
                <w:szCs w:val="21"/>
                <w:lang w:val="zh-CN"/>
              </w:rPr>
              <w:t>（</w:t>
            </w:r>
            <w:r>
              <w:rPr>
                <w:rFonts w:hint="eastAsia" w:ascii="宋体" w:cs="仿宋_GB2312"/>
                <w:szCs w:val="21"/>
              </w:rPr>
              <w:t>4</w:t>
            </w:r>
            <w:r>
              <w:rPr>
                <w:rFonts w:hint="eastAsia" w:ascii="宋体" w:cs="仿宋_GB2312"/>
                <w:szCs w:val="21"/>
                <w:lang w:val="zh-CN"/>
              </w:rPr>
              <w:t>）投标文件份数</w:t>
            </w:r>
          </w:p>
        </w:tc>
        <w:tc>
          <w:tcPr>
            <w:tcW w:w="4602" w:type="dxa"/>
            <w:vAlign w:val="center"/>
          </w:tcPr>
          <w:p w14:paraId="6DC65C5C">
            <w:pPr>
              <w:spacing w:line="320" w:lineRule="atLeast"/>
              <w:rPr>
                <w:rFonts w:ascii="宋体" w:cs="宋体"/>
                <w:szCs w:val="21"/>
              </w:rPr>
            </w:pPr>
            <w:r>
              <w:rPr>
                <w:rFonts w:hint="eastAsia" w:ascii="宋体" w:hAnsi="宋体" w:cs="宋体"/>
                <w:szCs w:val="21"/>
              </w:rPr>
              <w:t>正本1份，副本2份。</w:t>
            </w:r>
          </w:p>
        </w:tc>
      </w:tr>
      <w:tr w14:paraId="55AD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vAlign w:val="center"/>
          </w:tcPr>
          <w:p w14:paraId="56916644">
            <w:pPr>
              <w:spacing w:line="320" w:lineRule="atLeast"/>
              <w:ind w:firstLine="480"/>
              <w:jc w:val="center"/>
            </w:pPr>
          </w:p>
        </w:tc>
        <w:tc>
          <w:tcPr>
            <w:tcW w:w="1204" w:type="dxa"/>
            <w:vMerge w:val="continue"/>
            <w:vAlign w:val="center"/>
          </w:tcPr>
          <w:p w14:paraId="4C79D160">
            <w:pPr>
              <w:spacing w:line="320" w:lineRule="atLeast"/>
              <w:ind w:firstLine="480"/>
            </w:pPr>
          </w:p>
        </w:tc>
        <w:tc>
          <w:tcPr>
            <w:tcW w:w="2931" w:type="dxa"/>
            <w:vAlign w:val="center"/>
          </w:tcPr>
          <w:p w14:paraId="5F7ED5C7">
            <w:pPr>
              <w:spacing w:line="320" w:lineRule="atLeast"/>
              <w:rPr>
                <w:rFonts w:ascii="宋体" w:cs="仿宋_GB2312"/>
                <w:szCs w:val="21"/>
                <w:lang w:val="zh-CN"/>
              </w:rPr>
            </w:pPr>
            <w:r>
              <w:rPr>
                <w:rFonts w:hint="eastAsia" w:ascii="宋体" w:cs="仿宋_GB2312"/>
                <w:szCs w:val="21"/>
                <w:lang w:val="zh-CN"/>
              </w:rPr>
              <w:t>（</w:t>
            </w:r>
            <w:r>
              <w:rPr>
                <w:rFonts w:hint="eastAsia" w:ascii="宋体" w:cs="仿宋_GB2312"/>
                <w:szCs w:val="21"/>
              </w:rPr>
              <w:t>5</w:t>
            </w:r>
            <w:r>
              <w:rPr>
                <w:rFonts w:hint="eastAsia" w:ascii="宋体" w:cs="仿宋_GB2312"/>
                <w:szCs w:val="21"/>
                <w:lang w:val="zh-CN"/>
              </w:rPr>
              <w:t>）投标文件形式内容</w:t>
            </w:r>
          </w:p>
        </w:tc>
        <w:tc>
          <w:tcPr>
            <w:tcW w:w="4602" w:type="dxa"/>
            <w:vAlign w:val="center"/>
          </w:tcPr>
          <w:p w14:paraId="0662F5A3">
            <w:pPr>
              <w:spacing w:line="320" w:lineRule="atLeast"/>
              <w:rPr>
                <w:rFonts w:ascii="宋体" w:cs="仿宋_GB2312"/>
                <w:szCs w:val="21"/>
                <w:lang w:val="zh-CN"/>
              </w:rPr>
            </w:pPr>
            <w:r>
              <w:rPr>
                <w:rFonts w:hint="eastAsia" w:ascii="宋体" w:cs="仿宋_GB2312"/>
                <w:szCs w:val="21"/>
                <w:lang w:val="zh-CN"/>
              </w:rPr>
              <w:t>投标文件内容清晰、齐全无遗漏。</w:t>
            </w:r>
          </w:p>
        </w:tc>
      </w:tr>
      <w:tr w14:paraId="2BAC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14:paraId="0E9B77E9">
            <w:pPr>
              <w:spacing w:line="320" w:lineRule="atLeast"/>
              <w:jc w:val="center"/>
              <w:rPr>
                <w:rFonts w:ascii="宋体"/>
                <w:szCs w:val="21"/>
              </w:rPr>
            </w:pPr>
            <w:r>
              <w:rPr>
                <w:rFonts w:hint="eastAsia" w:ascii="宋体"/>
                <w:szCs w:val="21"/>
              </w:rPr>
              <w:t>3</w:t>
            </w:r>
          </w:p>
        </w:tc>
        <w:tc>
          <w:tcPr>
            <w:tcW w:w="1204" w:type="dxa"/>
            <w:vMerge w:val="restart"/>
            <w:vAlign w:val="center"/>
          </w:tcPr>
          <w:p w14:paraId="78C4A37A">
            <w:pPr>
              <w:spacing w:line="320" w:lineRule="atLeast"/>
              <w:rPr>
                <w:rFonts w:ascii="宋体" w:cs="仿宋_GB2312"/>
                <w:szCs w:val="21"/>
                <w:lang w:val="zh-CN"/>
              </w:rPr>
            </w:pPr>
            <w:r>
              <w:rPr>
                <w:rFonts w:hint="eastAsia" w:ascii="宋体" w:cs="仿宋_GB2312"/>
                <w:szCs w:val="21"/>
                <w:lang w:val="zh-CN"/>
              </w:rPr>
              <w:t>标书的响应程度</w:t>
            </w:r>
          </w:p>
        </w:tc>
        <w:tc>
          <w:tcPr>
            <w:tcW w:w="2931" w:type="dxa"/>
            <w:vAlign w:val="center"/>
          </w:tcPr>
          <w:p w14:paraId="00910926">
            <w:pPr>
              <w:spacing w:line="320" w:lineRule="atLeast"/>
              <w:rPr>
                <w:rFonts w:ascii="宋体" w:cs="仿宋_GB2312"/>
                <w:szCs w:val="21"/>
                <w:lang w:val="zh-CN"/>
              </w:rPr>
            </w:pPr>
            <w:r>
              <w:rPr>
                <w:rFonts w:hint="eastAsia" w:ascii="宋体" w:cs="仿宋_GB2312"/>
                <w:szCs w:val="21"/>
                <w:lang w:val="zh-CN"/>
              </w:rPr>
              <w:t>（</w:t>
            </w:r>
            <w:r>
              <w:rPr>
                <w:rFonts w:hint="eastAsia" w:ascii="宋体" w:cs="仿宋_GB2312"/>
                <w:szCs w:val="21"/>
              </w:rPr>
              <w:t>6</w:t>
            </w:r>
            <w:r>
              <w:rPr>
                <w:rFonts w:hint="eastAsia" w:ascii="宋体" w:cs="仿宋_GB2312"/>
                <w:szCs w:val="21"/>
                <w:lang w:val="zh-CN"/>
              </w:rPr>
              <w:t>）技术参数响应程度</w:t>
            </w:r>
          </w:p>
        </w:tc>
        <w:tc>
          <w:tcPr>
            <w:tcW w:w="4602" w:type="dxa"/>
            <w:vAlign w:val="center"/>
          </w:tcPr>
          <w:p w14:paraId="33FF87ED">
            <w:pPr>
              <w:spacing w:line="320" w:lineRule="atLeast"/>
              <w:rPr>
                <w:rFonts w:ascii="宋体" w:cs="仿宋_GB2312"/>
                <w:szCs w:val="21"/>
                <w:lang w:val="zh-CN"/>
              </w:rPr>
            </w:pPr>
            <w:r>
              <w:rPr>
                <w:rFonts w:hint="eastAsia" w:ascii="宋体" w:cs="仿宋_GB2312"/>
                <w:szCs w:val="21"/>
                <w:lang w:val="zh-CN"/>
              </w:rPr>
              <w:t>响应或优于交易文件要求。</w:t>
            </w:r>
          </w:p>
        </w:tc>
      </w:tr>
      <w:tr w14:paraId="2A9B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30FE5533">
            <w:pPr>
              <w:spacing w:line="320" w:lineRule="atLeast"/>
              <w:ind w:firstLine="480"/>
              <w:jc w:val="center"/>
            </w:pPr>
          </w:p>
        </w:tc>
        <w:tc>
          <w:tcPr>
            <w:tcW w:w="1204" w:type="dxa"/>
            <w:vMerge w:val="continue"/>
            <w:vAlign w:val="center"/>
          </w:tcPr>
          <w:p w14:paraId="6DE492BE">
            <w:pPr>
              <w:spacing w:line="320" w:lineRule="atLeast"/>
              <w:ind w:firstLine="480"/>
            </w:pPr>
          </w:p>
        </w:tc>
        <w:tc>
          <w:tcPr>
            <w:tcW w:w="2931" w:type="dxa"/>
            <w:vAlign w:val="center"/>
          </w:tcPr>
          <w:p w14:paraId="512B2BEA">
            <w:pPr>
              <w:spacing w:line="320" w:lineRule="atLeast"/>
              <w:rPr>
                <w:rFonts w:ascii="宋体" w:cs="仿宋_GB2312"/>
                <w:szCs w:val="21"/>
                <w:lang w:val="zh-CN"/>
              </w:rPr>
            </w:pPr>
            <w:r>
              <w:rPr>
                <w:rFonts w:hint="eastAsia" w:ascii="宋体" w:cs="仿宋_GB2312"/>
                <w:szCs w:val="21"/>
                <w:lang w:val="zh-CN"/>
              </w:rPr>
              <w:t>（</w:t>
            </w:r>
            <w:r>
              <w:rPr>
                <w:rFonts w:hint="eastAsia" w:ascii="宋体" w:cs="仿宋_GB2312"/>
                <w:szCs w:val="21"/>
              </w:rPr>
              <w:t>7</w:t>
            </w:r>
            <w:r>
              <w:rPr>
                <w:rFonts w:hint="eastAsia" w:ascii="宋体" w:cs="仿宋_GB2312"/>
                <w:szCs w:val="21"/>
                <w:lang w:val="zh-CN"/>
              </w:rPr>
              <w:t>）商务条款响应程度（包括供货期、售后服务、技术培训等）</w:t>
            </w:r>
          </w:p>
        </w:tc>
        <w:tc>
          <w:tcPr>
            <w:tcW w:w="4602" w:type="dxa"/>
            <w:vAlign w:val="center"/>
          </w:tcPr>
          <w:p w14:paraId="570BA9C6">
            <w:pPr>
              <w:spacing w:line="320" w:lineRule="atLeast"/>
              <w:rPr>
                <w:rFonts w:ascii="宋体" w:cs="仿宋_GB2312"/>
                <w:szCs w:val="21"/>
                <w:lang w:val="zh-CN"/>
              </w:rPr>
            </w:pPr>
            <w:r>
              <w:rPr>
                <w:rFonts w:hint="eastAsia" w:ascii="宋体" w:cs="仿宋_GB2312"/>
                <w:szCs w:val="21"/>
                <w:lang w:val="zh-CN"/>
              </w:rPr>
              <w:t>响应或优于</w:t>
            </w:r>
            <w:r>
              <w:rPr>
                <w:rFonts w:hint="eastAsia" w:ascii="宋体" w:hAnsi="宋体" w:cs="宋体"/>
                <w:szCs w:val="21"/>
                <w:lang w:val="zh-CN"/>
              </w:rPr>
              <w:t>交易文件要求。</w:t>
            </w:r>
          </w:p>
        </w:tc>
      </w:tr>
    </w:tbl>
    <w:p w14:paraId="6C9105BD">
      <w:pPr>
        <w:spacing w:line="400" w:lineRule="exact"/>
        <w:ind w:firstLine="506" w:firstLineChars="241"/>
        <w:rPr>
          <w:rFonts w:ascii="宋体"/>
          <w:szCs w:val="21"/>
        </w:rPr>
      </w:pPr>
      <w:r>
        <w:rPr>
          <w:rFonts w:hint="eastAsia" w:ascii="宋体"/>
          <w:szCs w:val="21"/>
        </w:rPr>
        <w:t>4.2评委会判定投标文件的响应性只根据投标文件本身的内容，而不寻求外部的证据，但投标有不真实不正确的内容时除外。</w:t>
      </w:r>
    </w:p>
    <w:p w14:paraId="5263F3A1">
      <w:pPr>
        <w:spacing w:line="400" w:lineRule="exact"/>
        <w:ind w:firstLine="506" w:firstLineChars="241"/>
        <w:rPr>
          <w:rFonts w:ascii="宋体"/>
          <w:szCs w:val="21"/>
        </w:rPr>
      </w:pPr>
      <w:r>
        <w:rPr>
          <w:rFonts w:hint="eastAsia" w:ascii="宋体"/>
          <w:szCs w:val="21"/>
        </w:rPr>
        <w:t>4.3如果投标文件实质上没有响应交易文件的要求，评委会将予以拒绝，投标人不得通过修正或撤销不符合要求的偏离或保留，而使其投标成为实质上响应的投标。</w:t>
      </w:r>
    </w:p>
    <w:p w14:paraId="04087052">
      <w:pPr>
        <w:spacing w:line="400" w:lineRule="exact"/>
        <w:ind w:firstLine="420" w:firstLineChars="200"/>
        <w:rPr>
          <w:rFonts w:ascii="宋体"/>
          <w:szCs w:val="21"/>
        </w:rPr>
      </w:pPr>
      <w:r>
        <w:rPr>
          <w:rFonts w:hint="eastAsia" w:ascii="宋体"/>
          <w:szCs w:val="21"/>
        </w:rPr>
        <w:t xml:space="preserve"> 4.4投标人可以对评标委员会的评审结论提出异议，评标委员会根据交易文件及有关规定对投标人的异议进行复议</w:t>
      </w:r>
    </w:p>
    <w:p w14:paraId="60734DB3">
      <w:pPr>
        <w:spacing w:line="400" w:lineRule="exact"/>
        <w:ind w:firstLine="525" w:firstLineChars="250"/>
        <w:rPr>
          <w:rFonts w:ascii="宋体" w:hAnsi="宋体"/>
          <w:b/>
          <w:szCs w:val="21"/>
        </w:rPr>
      </w:pPr>
      <w:r>
        <w:rPr>
          <w:rFonts w:hint="eastAsia" w:ascii="宋体"/>
          <w:szCs w:val="21"/>
        </w:rPr>
        <w:t>4.5只有通过初审的投标人才能进入下一步评标程序。</w:t>
      </w:r>
    </w:p>
    <w:p w14:paraId="57160FDE">
      <w:pPr>
        <w:spacing w:before="312" w:beforeLines="100" w:line="400" w:lineRule="exact"/>
        <w:ind w:firstLine="482"/>
        <w:jc w:val="center"/>
        <w:outlineLvl w:val="1"/>
        <w:rPr>
          <w:rFonts w:ascii="宋体"/>
          <w:b/>
          <w:sz w:val="24"/>
        </w:rPr>
      </w:pPr>
      <w:bookmarkStart w:id="540" w:name="_Toc307"/>
      <w:bookmarkStart w:id="541" w:name="_Toc6216"/>
      <w:bookmarkStart w:id="542" w:name="_Toc12765"/>
      <w:bookmarkStart w:id="543" w:name="_Toc362983803"/>
      <w:bookmarkStart w:id="544" w:name="_Toc469495734"/>
      <w:r>
        <w:rPr>
          <w:rFonts w:hint="eastAsia" w:ascii="宋体"/>
          <w:b/>
          <w:sz w:val="24"/>
        </w:rPr>
        <w:t>三  投标文件的澄清和补正</w:t>
      </w:r>
      <w:bookmarkEnd w:id="540"/>
      <w:bookmarkEnd w:id="541"/>
      <w:bookmarkEnd w:id="542"/>
      <w:bookmarkEnd w:id="543"/>
      <w:bookmarkEnd w:id="544"/>
    </w:p>
    <w:p w14:paraId="7B002641">
      <w:pPr>
        <w:spacing w:line="380" w:lineRule="exact"/>
        <w:ind w:firstLine="527" w:firstLineChars="250"/>
        <w:rPr>
          <w:rFonts w:ascii="宋体"/>
          <w:szCs w:val="21"/>
        </w:rPr>
      </w:pPr>
      <w:r>
        <w:rPr>
          <w:rFonts w:hint="eastAsia" w:ascii="宋体" w:hAnsi="宋体" w:cs="宋体"/>
          <w:b/>
          <w:bCs/>
          <w:szCs w:val="21"/>
        </w:rPr>
        <w:t>5.1</w:t>
      </w:r>
      <w:r>
        <w:rPr>
          <w:rFonts w:hint="eastAsia" w:ascii="宋体"/>
          <w:szCs w:val="21"/>
        </w:rPr>
        <w:t>评委会修正错误的原则：</w:t>
      </w:r>
    </w:p>
    <w:p w14:paraId="6D879948">
      <w:pPr>
        <w:spacing w:line="380" w:lineRule="exact"/>
        <w:ind w:firstLine="525" w:firstLineChars="250"/>
        <w:rPr>
          <w:rFonts w:ascii="宋体"/>
          <w:szCs w:val="21"/>
        </w:rPr>
      </w:pPr>
      <w:r>
        <w:rPr>
          <w:rFonts w:hint="eastAsia" w:ascii="宋体"/>
          <w:szCs w:val="21"/>
        </w:rPr>
        <w:t>5.1.1如果数字表示的金额和用文字表示的金额不一致时，以文字表示的金额为准；当货物服务报价表、投标函的总报价与开标一览表不一致时，以开标一览表为准。</w:t>
      </w:r>
    </w:p>
    <w:p w14:paraId="1EB92E46">
      <w:pPr>
        <w:spacing w:line="380" w:lineRule="exact"/>
        <w:ind w:firstLine="525" w:firstLineChars="250"/>
        <w:rPr>
          <w:rFonts w:ascii="宋体"/>
          <w:szCs w:val="21"/>
        </w:rPr>
      </w:pPr>
      <w:r>
        <w:rPr>
          <w:rFonts w:hint="eastAsia" w:ascii="宋体"/>
          <w:szCs w:val="21"/>
        </w:rPr>
        <w:t>5.1.2如果单价与数量的乘积和总价不一致，以单价为准，修正总价及开标一览表；当单价小数点有明显的错位时，评委会将以总价为准，并修正其单价。</w:t>
      </w:r>
    </w:p>
    <w:p w14:paraId="28346D40">
      <w:pPr>
        <w:spacing w:line="380" w:lineRule="exact"/>
        <w:ind w:firstLine="403" w:firstLineChars="192"/>
        <w:rPr>
          <w:rFonts w:ascii="宋体"/>
          <w:b/>
          <w:sz w:val="24"/>
        </w:rPr>
      </w:pPr>
      <w:r>
        <w:rPr>
          <w:rFonts w:hint="eastAsia" w:ascii="宋体"/>
          <w:szCs w:val="21"/>
        </w:rPr>
        <w:t xml:space="preserve"> 5.2评委会将按上述修正错误的方法调整投标文件中的投标报价，调整后的价格应对投标人具有约束力。无论投标人是接受或是拒绝调整后的价格，都应当由</w:t>
      </w:r>
      <w:r>
        <w:rPr>
          <w:rFonts w:hint="eastAsia" w:ascii="宋体" w:hAnsi="宋体" w:cs="宋体"/>
          <w:b/>
          <w:bCs/>
          <w:szCs w:val="21"/>
        </w:rPr>
        <w:t>投标人进行有效确认</w:t>
      </w:r>
      <w:r>
        <w:rPr>
          <w:rFonts w:hint="eastAsia" w:ascii="宋体"/>
          <w:szCs w:val="21"/>
        </w:rPr>
        <w:t>。投标人拒绝对投标文件出现的错漏按上述原则进行修正、澄清、说明，评标委员会应当否决其投标。</w:t>
      </w:r>
      <w:bookmarkStart w:id="545" w:name="_Toc469495735"/>
    </w:p>
    <w:p w14:paraId="635C4041">
      <w:pPr>
        <w:spacing w:line="380" w:lineRule="exact"/>
        <w:ind w:firstLine="482"/>
        <w:jc w:val="center"/>
        <w:outlineLvl w:val="1"/>
        <w:rPr>
          <w:rFonts w:ascii="宋体"/>
          <w:b/>
          <w:sz w:val="24"/>
        </w:rPr>
      </w:pPr>
      <w:bookmarkStart w:id="546" w:name="_Toc18854"/>
      <w:bookmarkStart w:id="547" w:name="_Toc18354"/>
      <w:bookmarkStart w:id="548" w:name="_Toc25675"/>
      <w:r>
        <w:rPr>
          <w:rFonts w:hint="eastAsia" w:ascii="宋体"/>
          <w:b/>
          <w:sz w:val="24"/>
        </w:rPr>
        <w:t>四 比较与评价</w:t>
      </w:r>
      <w:bookmarkEnd w:id="545"/>
      <w:bookmarkEnd w:id="546"/>
      <w:bookmarkEnd w:id="547"/>
      <w:bookmarkEnd w:id="548"/>
    </w:p>
    <w:p w14:paraId="449325CA">
      <w:pPr>
        <w:spacing w:line="400" w:lineRule="exact"/>
        <w:ind w:firstLine="417" w:firstLineChars="198"/>
        <w:rPr>
          <w:rFonts w:ascii="宋体"/>
          <w:b/>
          <w:szCs w:val="21"/>
        </w:rPr>
      </w:pPr>
      <w:r>
        <w:rPr>
          <w:rFonts w:hint="eastAsia" w:ascii="宋体" w:hAnsi="宋体"/>
          <w:b/>
          <w:szCs w:val="21"/>
        </w:rPr>
        <w:t xml:space="preserve"> 6. </w:t>
      </w:r>
      <w:r>
        <w:rPr>
          <w:rFonts w:hint="eastAsia" w:ascii="宋体"/>
          <w:b/>
          <w:szCs w:val="21"/>
        </w:rPr>
        <w:t>详细评审即按招标文件中规定的评标方法和标准，评标委员会将对通过初审的投标文件，进行资信、技术和商务部分评估、综合比较与评价。</w:t>
      </w:r>
    </w:p>
    <w:p w14:paraId="3F5BE8B0">
      <w:pPr>
        <w:spacing w:line="400" w:lineRule="exact"/>
        <w:ind w:firstLine="482"/>
        <w:rPr>
          <w:rFonts w:ascii="宋体" w:hAnsi="宋体"/>
          <w:b/>
          <w:sz w:val="24"/>
        </w:rPr>
      </w:pPr>
      <w:r>
        <w:rPr>
          <w:rFonts w:hint="eastAsia" w:ascii="宋体" w:hAnsi="宋体"/>
          <w:b/>
          <w:sz w:val="24"/>
        </w:rPr>
        <w:t>6.1资信标评审细则（55分）</w:t>
      </w:r>
    </w:p>
    <w:tbl>
      <w:tblPr>
        <w:tblStyle w:val="50"/>
        <w:tblW w:w="10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900"/>
        <w:gridCol w:w="7440"/>
        <w:gridCol w:w="802"/>
        <w:gridCol w:w="713"/>
      </w:tblGrid>
      <w:tr w14:paraId="398F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F0325B4">
            <w:pPr>
              <w:spacing w:line="360" w:lineRule="exact"/>
              <w:jc w:val="center"/>
              <w:rPr>
                <w:rFonts w:ascii="宋体" w:hAnsi="宋体" w:cs="宋体"/>
                <w:szCs w:val="21"/>
              </w:rPr>
            </w:pPr>
            <w:r>
              <w:rPr>
                <w:rFonts w:hint="eastAsia" w:ascii="宋体" w:hAnsi="宋体" w:cs="宋体"/>
                <w:szCs w:val="21"/>
              </w:rPr>
              <w:t>序号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4EC8613">
            <w:pPr>
              <w:spacing w:line="360" w:lineRule="exact"/>
              <w:jc w:val="center"/>
              <w:rPr>
                <w:rFonts w:ascii="宋体" w:hAnsi="宋体" w:cs="宋体"/>
                <w:szCs w:val="21"/>
              </w:rPr>
            </w:pPr>
            <w:r>
              <w:rPr>
                <w:rFonts w:hint="eastAsia" w:ascii="宋体" w:hAnsi="宋体" w:cs="宋体"/>
                <w:szCs w:val="21"/>
              </w:rPr>
              <w:t>评分</w:t>
            </w:r>
          </w:p>
          <w:p w14:paraId="39B751EC">
            <w:pPr>
              <w:spacing w:line="360" w:lineRule="exact"/>
              <w:jc w:val="center"/>
              <w:rPr>
                <w:rFonts w:ascii="宋体" w:hAnsi="宋体" w:cs="宋体"/>
                <w:szCs w:val="21"/>
              </w:rPr>
            </w:pPr>
            <w:r>
              <w:rPr>
                <w:rFonts w:hint="eastAsia" w:ascii="宋体" w:hAnsi="宋体" w:cs="宋体"/>
                <w:szCs w:val="21"/>
              </w:rPr>
              <w:t>因素</w:t>
            </w:r>
          </w:p>
        </w:tc>
        <w:tc>
          <w:tcPr>
            <w:tcW w:w="7440" w:type="dxa"/>
            <w:tcBorders>
              <w:top w:val="single" w:color="auto" w:sz="4" w:space="0"/>
              <w:left w:val="single" w:color="auto" w:sz="4" w:space="0"/>
              <w:bottom w:val="single" w:color="auto" w:sz="4" w:space="0"/>
              <w:right w:val="single" w:color="auto" w:sz="4" w:space="0"/>
            </w:tcBorders>
            <w:shd w:val="clear" w:color="auto" w:fill="auto"/>
            <w:vAlign w:val="center"/>
          </w:tcPr>
          <w:p w14:paraId="116EE3D3">
            <w:pPr>
              <w:spacing w:line="360" w:lineRule="exact"/>
              <w:ind w:firstLine="420"/>
              <w:jc w:val="center"/>
              <w:rPr>
                <w:rFonts w:ascii="宋体" w:hAnsi="宋体" w:cs="宋体"/>
                <w:szCs w:val="21"/>
              </w:rPr>
            </w:pPr>
            <w:r>
              <w:rPr>
                <w:rFonts w:hint="eastAsia" w:ascii="宋体" w:hAnsi="宋体" w:cs="宋体"/>
                <w:szCs w:val="21"/>
              </w:rPr>
              <w:t>评审标准</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14:paraId="17D1C9EA">
            <w:pPr>
              <w:spacing w:line="360" w:lineRule="exact"/>
              <w:jc w:val="center"/>
              <w:rPr>
                <w:rFonts w:ascii="宋体" w:hAnsi="宋体" w:cs="宋体"/>
                <w:szCs w:val="21"/>
              </w:rPr>
            </w:pPr>
            <w:r>
              <w:rPr>
                <w:rFonts w:hint="eastAsia" w:ascii="宋体" w:hAnsi="宋体" w:cs="宋体"/>
                <w:szCs w:val="21"/>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A526372">
            <w:pPr>
              <w:spacing w:line="360" w:lineRule="exact"/>
              <w:rPr>
                <w:rFonts w:ascii="宋体" w:hAnsi="宋体" w:cs="宋体"/>
                <w:szCs w:val="21"/>
              </w:rPr>
            </w:pPr>
            <w:r>
              <w:rPr>
                <w:rFonts w:hint="eastAsia" w:ascii="宋体" w:hAnsi="宋体" w:cs="宋体"/>
                <w:szCs w:val="21"/>
              </w:rPr>
              <w:t>须提供的证明材料</w:t>
            </w:r>
          </w:p>
        </w:tc>
      </w:tr>
      <w:tr w14:paraId="639F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3249E3E">
            <w:pPr>
              <w:spacing w:line="360" w:lineRule="exact"/>
              <w:jc w:val="center"/>
              <w:rPr>
                <w:rFonts w:ascii="宋体" w:hAnsi="宋体" w:cs="宋体"/>
                <w:szCs w:val="21"/>
              </w:rPr>
            </w:pPr>
            <w:r>
              <w:rPr>
                <w:rFonts w:hint="eastAsia" w:ascii="宋体" w:hAnsi="宋体" w:cs="宋体"/>
                <w:szCs w:val="21"/>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D190133">
            <w:pPr>
              <w:spacing w:line="360" w:lineRule="exact"/>
              <w:jc w:val="center"/>
              <w:rPr>
                <w:rFonts w:ascii="宋体" w:hAnsi="宋体" w:cs="宋体"/>
                <w:szCs w:val="21"/>
              </w:rPr>
            </w:pPr>
            <w:r>
              <w:rPr>
                <w:rFonts w:hint="eastAsia" w:ascii="宋体" w:hAnsi="宋体" w:cs="宋体"/>
                <w:szCs w:val="21"/>
              </w:rPr>
              <w:t>业绩</w:t>
            </w:r>
          </w:p>
        </w:tc>
        <w:tc>
          <w:tcPr>
            <w:tcW w:w="7440" w:type="dxa"/>
            <w:tcBorders>
              <w:top w:val="single" w:color="auto" w:sz="4" w:space="0"/>
              <w:left w:val="single" w:color="auto" w:sz="4" w:space="0"/>
              <w:bottom w:val="single" w:color="auto" w:sz="4" w:space="0"/>
              <w:right w:val="single" w:color="auto" w:sz="4" w:space="0"/>
            </w:tcBorders>
            <w:shd w:val="clear" w:color="auto" w:fill="auto"/>
            <w:vAlign w:val="center"/>
          </w:tcPr>
          <w:p w14:paraId="6ADD2C64">
            <w:pPr>
              <w:pStyle w:val="13"/>
              <w:spacing w:line="360" w:lineRule="exact"/>
              <w:ind w:firstLine="0" w:firstLineChars="0"/>
              <w:rPr>
                <w:rFonts w:ascii="宋体" w:hAnsi="宋体"/>
                <w:szCs w:val="21"/>
                <w:lang w:val="zh-CN"/>
              </w:rPr>
            </w:pPr>
            <w:r>
              <w:rPr>
                <w:rFonts w:hint="eastAsia" w:ascii="宋体" w:hAnsi="宋体"/>
                <w:szCs w:val="21"/>
                <w:lang w:val="zh-CN"/>
              </w:rPr>
              <w:t>自202</w:t>
            </w:r>
            <w:r>
              <w:rPr>
                <w:rFonts w:hint="eastAsia" w:ascii="宋体" w:hAnsi="宋体"/>
                <w:szCs w:val="21"/>
              </w:rPr>
              <w:t>1</w:t>
            </w:r>
            <w:r>
              <w:rPr>
                <w:rFonts w:hint="eastAsia" w:ascii="宋体" w:hAnsi="宋体"/>
                <w:szCs w:val="21"/>
                <w:lang w:val="zh-CN"/>
              </w:rPr>
              <w:t>年1月</w:t>
            </w:r>
            <w:r>
              <w:rPr>
                <w:rFonts w:hint="eastAsia" w:ascii="宋体" w:hAnsi="宋体"/>
                <w:szCs w:val="21"/>
              </w:rPr>
              <w:t>1日</w:t>
            </w:r>
            <w:r>
              <w:rPr>
                <w:rFonts w:hint="eastAsia" w:ascii="宋体" w:hAnsi="宋体"/>
                <w:szCs w:val="21"/>
                <w:lang w:val="zh-CN"/>
              </w:rPr>
              <w:t>至投标截止时间（时间以合同签订时间为准），供应商</w:t>
            </w:r>
            <w:r>
              <w:rPr>
                <w:rFonts w:hint="eastAsia" w:ascii="宋体" w:hAnsi="宋体"/>
                <w:szCs w:val="21"/>
              </w:rPr>
              <w:t>每</w:t>
            </w:r>
            <w:r>
              <w:rPr>
                <w:rFonts w:hint="eastAsia" w:ascii="宋体" w:hAnsi="宋体"/>
                <w:szCs w:val="21"/>
                <w:lang w:val="zh-CN"/>
              </w:rPr>
              <w:t>提供</w:t>
            </w:r>
            <w:r>
              <w:rPr>
                <w:rFonts w:hint="eastAsia" w:ascii="宋体" w:hAnsi="宋体"/>
                <w:szCs w:val="21"/>
              </w:rPr>
              <w:t>一</w:t>
            </w:r>
            <w:r>
              <w:rPr>
                <w:rFonts w:hint="eastAsia" w:ascii="宋体" w:hAnsi="宋体"/>
                <w:szCs w:val="21"/>
                <w:lang w:val="zh-CN"/>
              </w:rPr>
              <w:t>个</w:t>
            </w:r>
            <w:r>
              <w:rPr>
                <w:rFonts w:hint="eastAsia" w:ascii="宋体" w:hAnsi="宋体"/>
                <w:szCs w:val="21"/>
              </w:rPr>
              <w:t>医院或</w:t>
            </w:r>
            <w:r>
              <w:rPr>
                <w:rFonts w:hint="eastAsia" w:ascii="宋体" w:hAnsi="宋体"/>
                <w:szCs w:val="21"/>
                <w:lang w:val="zh-CN"/>
              </w:rPr>
              <w:t>医疗</w:t>
            </w:r>
            <w:r>
              <w:rPr>
                <w:rFonts w:hint="eastAsia" w:ascii="宋体" w:hAnsi="宋体"/>
                <w:szCs w:val="21"/>
              </w:rPr>
              <w:t>机构</w:t>
            </w:r>
            <w:r>
              <w:rPr>
                <w:rFonts w:hint="eastAsia" w:ascii="宋体" w:hAnsi="宋体"/>
                <w:szCs w:val="21"/>
                <w:lang w:val="zh-CN"/>
              </w:rPr>
              <w:t>电梯维保业绩的得</w:t>
            </w:r>
            <w:r>
              <w:rPr>
                <w:rFonts w:hint="eastAsia" w:ascii="宋体" w:hAnsi="宋体"/>
                <w:szCs w:val="21"/>
              </w:rPr>
              <w:t>5</w:t>
            </w:r>
            <w:r>
              <w:rPr>
                <w:rFonts w:hint="eastAsia" w:ascii="宋体" w:hAnsi="宋体"/>
                <w:szCs w:val="21"/>
                <w:lang w:val="zh-CN"/>
              </w:rPr>
              <w:t>分，</w:t>
            </w:r>
            <w:r>
              <w:rPr>
                <w:rFonts w:hint="eastAsia" w:ascii="宋体" w:hAnsi="宋体"/>
                <w:szCs w:val="21"/>
              </w:rPr>
              <w:t>本项满分10分。</w:t>
            </w:r>
          </w:p>
          <w:p w14:paraId="23B59906">
            <w:pPr>
              <w:pStyle w:val="13"/>
              <w:spacing w:line="360" w:lineRule="exact"/>
              <w:ind w:firstLine="0" w:firstLineChars="0"/>
              <w:rPr>
                <w:rFonts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投标文件中须提供业绩合同，合同至少包含项目名称，项目内容、双方盖章页及能体现以上评审因素的内容，否则不得分；</w:t>
            </w:r>
            <w:r>
              <w:rPr>
                <w:rFonts w:hint="eastAsia" w:ascii="宋体" w:hAnsi="宋体"/>
                <w:szCs w:val="21"/>
              </w:rPr>
              <w:t>2.业绩类型须是年度供维保业绩，一次性维保业绩的业绩不予认可。</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14:paraId="7F82517B">
            <w:pPr>
              <w:spacing w:line="360" w:lineRule="exact"/>
              <w:jc w:val="center"/>
              <w:rPr>
                <w:rFonts w:ascii="宋体" w:hAnsi="宋体" w:cs="宋体"/>
                <w:szCs w:val="21"/>
              </w:rPr>
            </w:pPr>
            <w:r>
              <w:rPr>
                <w:rFonts w:hint="eastAsia" w:ascii="宋体" w:hAnsi="宋体" w:cs="宋体"/>
                <w:szCs w:val="21"/>
              </w:rPr>
              <w:t>10分</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9E9096E">
            <w:pPr>
              <w:spacing w:line="360" w:lineRule="exact"/>
              <w:rPr>
                <w:rFonts w:ascii="宋体" w:hAnsi="宋体" w:cs="宋体"/>
                <w:szCs w:val="21"/>
              </w:rPr>
            </w:pPr>
          </w:p>
        </w:tc>
      </w:tr>
      <w:tr w14:paraId="5360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7F31BC8F">
            <w:pPr>
              <w:spacing w:line="360" w:lineRule="exact"/>
              <w:jc w:val="center"/>
              <w:rPr>
                <w:rFonts w:ascii="宋体" w:hAnsi="宋体"/>
                <w:szCs w:val="21"/>
              </w:rPr>
            </w:pPr>
            <w:r>
              <w:rPr>
                <w:rFonts w:hint="eastAsia" w:ascii="宋体" w:hAnsi="宋体"/>
                <w:szCs w:val="21"/>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A12F998">
            <w:pPr>
              <w:spacing w:line="360" w:lineRule="exact"/>
              <w:jc w:val="center"/>
              <w:rPr>
                <w:rFonts w:ascii="宋体" w:hAnsi="宋体"/>
                <w:szCs w:val="21"/>
              </w:rPr>
            </w:pPr>
            <w:r>
              <w:rPr>
                <w:rFonts w:hint="eastAsia" w:ascii="宋体" w:hAnsi="宋体"/>
                <w:szCs w:val="21"/>
              </w:rPr>
              <w:t>认证证书</w:t>
            </w:r>
          </w:p>
        </w:tc>
        <w:tc>
          <w:tcPr>
            <w:tcW w:w="7440" w:type="dxa"/>
            <w:tcBorders>
              <w:top w:val="single" w:color="auto" w:sz="4" w:space="0"/>
              <w:left w:val="single" w:color="auto" w:sz="4" w:space="0"/>
              <w:bottom w:val="single" w:color="auto" w:sz="4" w:space="0"/>
              <w:right w:val="single" w:color="auto" w:sz="4" w:space="0"/>
            </w:tcBorders>
            <w:shd w:val="clear" w:color="auto" w:fill="auto"/>
          </w:tcPr>
          <w:p w14:paraId="42090EF2">
            <w:pPr>
              <w:pStyle w:val="13"/>
              <w:spacing w:line="360" w:lineRule="exact"/>
              <w:ind w:firstLine="0" w:firstLineChars="0"/>
              <w:rPr>
                <w:rFonts w:ascii="宋体" w:hAnsi="宋体"/>
                <w:szCs w:val="21"/>
              </w:rPr>
            </w:pPr>
            <w:r>
              <w:rPr>
                <w:rFonts w:hint="eastAsia" w:ascii="宋体" w:hAnsi="宋体"/>
                <w:szCs w:val="21"/>
              </w:rPr>
              <w:t>投标人具有：</w:t>
            </w:r>
          </w:p>
          <w:p w14:paraId="043FC6E0">
            <w:pPr>
              <w:pStyle w:val="13"/>
              <w:spacing w:line="360" w:lineRule="exact"/>
              <w:ind w:firstLine="0" w:firstLineChars="0"/>
              <w:rPr>
                <w:rFonts w:ascii="宋体" w:hAnsi="宋体"/>
                <w:szCs w:val="21"/>
                <w:lang w:val="zh-CN"/>
              </w:rPr>
            </w:pPr>
            <w:r>
              <w:rPr>
                <w:rFonts w:hint="eastAsia" w:ascii="宋体" w:hAnsi="宋体"/>
                <w:szCs w:val="21"/>
                <w:lang w:val="zh-CN"/>
              </w:rPr>
              <w:t>（1）具有有效期内质量管理体系认证证书</w:t>
            </w:r>
            <w:r>
              <w:rPr>
                <w:rFonts w:hint="eastAsia" w:ascii="宋体" w:hAnsi="宋体"/>
                <w:szCs w:val="21"/>
              </w:rPr>
              <w:t>的</w:t>
            </w:r>
            <w:r>
              <w:rPr>
                <w:rFonts w:hint="eastAsia" w:ascii="宋体" w:hAnsi="宋体"/>
                <w:szCs w:val="21"/>
                <w:lang w:val="zh-CN"/>
              </w:rPr>
              <w:t>得</w:t>
            </w:r>
            <w:r>
              <w:rPr>
                <w:rFonts w:hint="eastAsia" w:ascii="宋体" w:hAnsi="宋体"/>
                <w:szCs w:val="21"/>
              </w:rPr>
              <w:t>5</w:t>
            </w:r>
            <w:r>
              <w:rPr>
                <w:rFonts w:hint="eastAsia" w:ascii="宋体" w:hAnsi="宋体"/>
                <w:szCs w:val="21"/>
                <w:lang w:val="zh-CN"/>
              </w:rPr>
              <w:t>分；</w:t>
            </w:r>
          </w:p>
          <w:p w14:paraId="4EC52FB0">
            <w:pPr>
              <w:pStyle w:val="13"/>
              <w:spacing w:line="360" w:lineRule="exact"/>
              <w:ind w:firstLine="0" w:firstLineChars="0"/>
              <w:rPr>
                <w:rFonts w:ascii="宋体" w:hAnsi="宋体"/>
                <w:szCs w:val="21"/>
                <w:lang w:val="zh-CN"/>
              </w:rPr>
            </w:pPr>
            <w:r>
              <w:rPr>
                <w:rFonts w:hint="eastAsia" w:ascii="宋体" w:hAnsi="宋体"/>
                <w:szCs w:val="21"/>
                <w:lang w:val="zh-CN"/>
              </w:rPr>
              <w:t>（2）具有有效期内职业健康安全管理体系认证证书</w:t>
            </w:r>
            <w:r>
              <w:rPr>
                <w:rFonts w:hint="eastAsia" w:ascii="宋体" w:hAnsi="宋体"/>
                <w:szCs w:val="21"/>
              </w:rPr>
              <w:t>的</w:t>
            </w:r>
            <w:r>
              <w:rPr>
                <w:rFonts w:hint="eastAsia" w:ascii="宋体" w:hAnsi="宋体"/>
                <w:szCs w:val="21"/>
                <w:lang w:val="zh-CN"/>
              </w:rPr>
              <w:t>得</w:t>
            </w:r>
            <w:r>
              <w:rPr>
                <w:rFonts w:hint="eastAsia" w:ascii="宋体" w:hAnsi="宋体"/>
                <w:szCs w:val="21"/>
              </w:rPr>
              <w:t>5</w:t>
            </w:r>
            <w:r>
              <w:rPr>
                <w:rFonts w:hint="eastAsia" w:ascii="宋体" w:hAnsi="宋体"/>
                <w:szCs w:val="21"/>
                <w:lang w:val="zh-CN"/>
              </w:rPr>
              <w:t>分；</w:t>
            </w:r>
          </w:p>
          <w:p w14:paraId="34906A05">
            <w:pPr>
              <w:pStyle w:val="13"/>
              <w:spacing w:line="360" w:lineRule="exact"/>
              <w:ind w:firstLine="0" w:firstLineChars="0"/>
              <w:rPr>
                <w:rFonts w:ascii="宋体" w:hAnsi="宋体"/>
                <w:szCs w:val="21"/>
                <w:lang w:val="zh-CN"/>
              </w:rPr>
            </w:pPr>
            <w:r>
              <w:rPr>
                <w:rFonts w:hint="eastAsia" w:ascii="宋体" w:hAnsi="宋体"/>
                <w:szCs w:val="21"/>
                <w:lang w:val="zh-CN"/>
              </w:rPr>
              <w:t>（3）具有有效期内环境管理体系认证证书</w:t>
            </w:r>
            <w:r>
              <w:rPr>
                <w:rFonts w:hint="eastAsia" w:ascii="宋体" w:hAnsi="宋体"/>
                <w:szCs w:val="21"/>
              </w:rPr>
              <w:t>的</w:t>
            </w:r>
            <w:r>
              <w:rPr>
                <w:rFonts w:hint="eastAsia" w:ascii="宋体" w:hAnsi="宋体"/>
                <w:szCs w:val="21"/>
                <w:lang w:val="zh-CN"/>
              </w:rPr>
              <w:t>得</w:t>
            </w:r>
            <w:r>
              <w:rPr>
                <w:rFonts w:hint="eastAsia" w:ascii="宋体" w:hAnsi="宋体"/>
                <w:szCs w:val="21"/>
              </w:rPr>
              <w:t>5</w:t>
            </w:r>
            <w:r>
              <w:rPr>
                <w:rFonts w:hint="eastAsia" w:ascii="宋体" w:hAnsi="宋体"/>
                <w:szCs w:val="21"/>
                <w:lang w:val="zh-CN"/>
              </w:rPr>
              <w:t>分。</w:t>
            </w:r>
          </w:p>
          <w:p w14:paraId="3A7E2741">
            <w:pPr>
              <w:pStyle w:val="13"/>
              <w:spacing w:line="360" w:lineRule="exact"/>
              <w:ind w:firstLine="0" w:firstLineChars="0"/>
              <w:rPr>
                <w:rFonts w:ascii="宋体" w:hAnsi="宋体"/>
                <w:szCs w:val="21"/>
              </w:rPr>
            </w:pPr>
            <w:r>
              <w:rPr>
                <w:rFonts w:hint="eastAsia" w:ascii="宋体" w:hAnsi="宋体"/>
                <w:szCs w:val="21"/>
                <w:lang w:val="zh-CN"/>
              </w:rPr>
              <w:t>【</w:t>
            </w:r>
            <w:r>
              <w:rPr>
                <w:rFonts w:hint="eastAsia" w:ascii="宋体" w:hAnsi="宋体"/>
                <w:szCs w:val="21"/>
              </w:rPr>
              <w:t>提供上述证书复印件加盖公章，</w:t>
            </w:r>
            <w:r>
              <w:rPr>
                <w:rFonts w:hint="eastAsia" w:ascii="宋体" w:hAnsi="宋体"/>
                <w:szCs w:val="21"/>
                <w:lang w:val="zh-CN"/>
              </w:rPr>
              <w:t>上述证书</w:t>
            </w:r>
            <w:r>
              <w:rPr>
                <w:rFonts w:hint="eastAsia" w:ascii="宋体" w:hAnsi="宋体"/>
                <w:szCs w:val="21"/>
              </w:rPr>
              <w:t>须</w:t>
            </w:r>
            <w:r>
              <w:rPr>
                <w:rFonts w:hint="eastAsia" w:ascii="宋体" w:hAnsi="宋体"/>
                <w:szCs w:val="21"/>
                <w:lang w:val="zh-CN"/>
              </w:rPr>
              <w:t>均在有效期内（以</w:t>
            </w:r>
            <w:r>
              <w:rPr>
                <w:rFonts w:hint="eastAsia" w:ascii="宋体" w:hAnsi="宋体"/>
                <w:szCs w:val="21"/>
              </w:rPr>
              <w:t>国家认监委官网</w:t>
            </w:r>
            <w:r>
              <w:rPr>
                <w:rFonts w:hint="eastAsia" w:ascii="宋体" w:hAnsi="宋体"/>
                <w:szCs w:val="21"/>
                <w:lang w:val="zh-CN"/>
              </w:rPr>
              <w:t>截图中证书状态和证书到期时间为准），证书单位名称与投标人名称一致，且与投标人所提供的认证证书一致，否则不得分】。</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14:paraId="48AF0F59">
            <w:pPr>
              <w:spacing w:line="360" w:lineRule="exact"/>
              <w:jc w:val="center"/>
              <w:rPr>
                <w:rFonts w:ascii="宋体" w:hAnsi="宋体" w:cs="宋体"/>
                <w:szCs w:val="21"/>
              </w:rPr>
            </w:pPr>
            <w:r>
              <w:rPr>
                <w:rFonts w:hint="eastAsia" w:ascii="宋体" w:hAnsi="宋体" w:cs="宋体"/>
                <w:szCs w:val="21"/>
              </w:rPr>
              <w:t>15分</w:t>
            </w:r>
          </w:p>
        </w:tc>
        <w:tc>
          <w:tcPr>
            <w:tcW w:w="713" w:type="dxa"/>
            <w:vMerge w:val="restart"/>
            <w:tcBorders>
              <w:left w:val="single" w:color="auto" w:sz="4" w:space="0"/>
              <w:right w:val="single" w:color="auto" w:sz="4" w:space="0"/>
            </w:tcBorders>
            <w:shd w:val="clear" w:color="auto" w:fill="auto"/>
            <w:vAlign w:val="center"/>
          </w:tcPr>
          <w:p w14:paraId="1098E4CF">
            <w:pPr>
              <w:spacing w:line="360" w:lineRule="exact"/>
              <w:rPr>
                <w:rFonts w:ascii="宋体" w:hAnsi="宋体" w:cs="宋体"/>
                <w:szCs w:val="21"/>
              </w:rPr>
            </w:pPr>
            <w:r>
              <w:rPr>
                <w:rFonts w:hint="eastAsia" w:ascii="宋体" w:hAnsi="宋体" w:cs="宋体"/>
                <w:szCs w:val="21"/>
              </w:rPr>
              <w:t>检验投标文件</w:t>
            </w:r>
          </w:p>
        </w:tc>
      </w:tr>
      <w:tr w14:paraId="6378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0746EAB">
            <w:pPr>
              <w:spacing w:line="360" w:lineRule="exact"/>
              <w:jc w:val="center"/>
              <w:rPr>
                <w:rFonts w:ascii="宋体" w:hAnsi="宋体"/>
                <w:szCs w:val="21"/>
              </w:rPr>
            </w:pPr>
            <w:r>
              <w:rPr>
                <w:rFonts w:hint="eastAsia" w:ascii="宋体" w:hAnsi="宋体"/>
                <w:szCs w:val="21"/>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44D0FCE">
            <w:pPr>
              <w:spacing w:line="360" w:lineRule="exact"/>
              <w:jc w:val="center"/>
              <w:rPr>
                <w:rFonts w:ascii="宋体" w:hAnsi="宋体"/>
                <w:szCs w:val="21"/>
              </w:rPr>
            </w:pPr>
            <w:r>
              <w:rPr>
                <w:rFonts w:hint="eastAsia" w:ascii="宋体" w:hAnsi="宋体"/>
                <w:szCs w:val="21"/>
              </w:rPr>
              <w:t>企业实力</w:t>
            </w:r>
          </w:p>
        </w:tc>
        <w:tc>
          <w:tcPr>
            <w:tcW w:w="7440" w:type="dxa"/>
            <w:tcBorders>
              <w:top w:val="single" w:color="auto" w:sz="4" w:space="0"/>
              <w:left w:val="single" w:color="auto" w:sz="4" w:space="0"/>
              <w:bottom w:val="single" w:color="auto" w:sz="4" w:space="0"/>
              <w:right w:val="single" w:color="auto" w:sz="4" w:space="0"/>
            </w:tcBorders>
            <w:shd w:val="clear" w:color="auto" w:fill="auto"/>
          </w:tcPr>
          <w:p w14:paraId="5F5DA505">
            <w:pPr>
              <w:pStyle w:val="13"/>
              <w:spacing w:line="360" w:lineRule="exact"/>
              <w:ind w:firstLine="0" w:firstLineChars="0"/>
              <w:rPr>
                <w:rFonts w:ascii="宋体" w:hAnsi="宋体"/>
                <w:szCs w:val="21"/>
                <w:lang w:val="zh-CN"/>
              </w:rPr>
            </w:pPr>
            <w:r>
              <w:rPr>
                <w:rFonts w:hint="eastAsia" w:ascii="宋体" w:hAnsi="宋体"/>
                <w:szCs w:val="21"/>
                <w:lang w:val="zh-CN"/>
              </w:rPr>
              <w:t>202</w:t>
            </w:r>
            <w:r>
              <w:rPr>
                <w:rFonts w:hint="eastAsia" w:ascii="宋体" w:hAnsi="宋体"/>
                <w:szCs w:val="21"/>
              </w:rPr>
              <w:t>1</w:t>
            </w:r>
            <w:r>
              <w:rPr>
                <w:rFonts w:hint="eastAsia" w:ascii="宋体" w:hAnsi="宋体"/>
                <w:szCs w:val="21"/>
                <w:lang w:val="zh-CN"/>
              </w:rPr>
              <w:t>年以来，投标人获得省级及以上</w:t>
            </w:r>
            <w:r>
              <w:rPr>
                <w:rFonts w:hint="eastAsia" w:ascii="宋体" w:hAnsi="宋体" w:cs="宋体"/>
                <w:szCs w:val="21"/>
              </w:rPr>
              <w:t>市场监督管理局</w:t>
            </w:r>
            <w:r>
              <w:rPr>
                <w:rFonts w:hint="eastAsia" w:ascii="宋体" w:hAnsi="宋体"/>
                <w:szCs w:val="21"/>
                <w:lang w:val="zh-CN"/>
              </w:rPr>
              <w:t>电梯维保单位信用评价A级</w:t>
            </w:r>
            <w:r>
              <w:rPr>
                <w:rFonts w:hint="eastAsia" w:ascii="宋体" w:hAnsi="宋体"/>
                <w:szCs w:val="21"/>
              </w:rPr>
              <w:t>及以上的</w:t>
            </w:r>
            <w:r>
              <w:rPr>
                <w:rFonts w:hint="eastAsia" w:ascii="宋体" w:hAnsi="宋体"/>
                <w:szCs w:val="21"/>
                <w:lang w:val="zh-CN"/>
              </w:rPr>
              <w:t>得</w:t>
            </w:r>
            <w:r>
              <w:rPr>
                <w:rFonts w:hint="eastAsia" w:ascii="宋体" w:hAnsi="宋体"/>
                <w:szCs w:val="21"/>
              </w:rPr>
              <w:t>5</w:t>
            </w:r>
            <w:r>
              <w:rPr>
                <w:rFonts w:hint="eastAsia" w:ascii="宋体" w:hAnsi="宋体"/>
                <w:szCs w:val="21"/>
                <w:lang w:val="zh-CN"/>
              </w:rPr>
              <w:t>分，B级得</w:t>
            </w:r>
            <w:r>
              <w:rPr>
                <w:rFonts w:hint="eastAsia" w:ascii="宋体" w:hAnsi="宋体"/>
                <w:szCs w:val="21"/>
              </w:rPr>
              <w:t>3</w:t>
            </w:r>
            <w:r>
              <w:rPr>
                <w:rFonts w:hint="eastAsia" w:ascii="宋体" w:hAnsi="宋体"/>
                <w:szCs w:val="21"/>
                <w:lang w:val="zh-CN"/>
              </w:rPr>
              <w:t>分，C级得</w:t>
            </w:r>
            <w:r>
              <w:rPr>
                <w:rFonts w:hint="eastAsia" w:ascii="宋体" w:hAnsi="宋体"/>
                <w:szCs w:val="21"/>
              </w:rPr>
              <w:t>1</w:t>
            </w:r>
            <w:r>
              <w:rPr>
                <w:rFonts w:hint="eastAsia" w:ascii="宋体" w:hAnsi="宋体"/>
                <w:szCs w:val="21"/>
                <w:lang w:val="zh-CN"/>
              </w:rPr>
              <w:t>分，未提供不得分。</w:t>
            </w:r>
          </w:p>
          <w:p w14:paraId="3316CCF6">
            <w:pPr>
              <w:pStyle w:val="13"/>
              <w:spacing w:line="360" w:lineRule="exact"/>
              <w:ind w:firstLine="0" w:firstLineChars="0"/>
              <w:rPr>
                <w:rFonts w:ascii="宋体" w:hAnsi="宋体"/>
                <w:szCs w:val="21"/>
                <w:lang w:val="zh-CN"/>
              </w:rPr>
            </w:pPr>
            <w:r>
              <w:rPr>
                <w:rFonts w:hint="eastAsia" w:ascii="宋体" w:hAnsi="宋体"/>
                <w:szCs w:val="21"/>
                <w:lang w:val="zh-CN"/>
              </w:rPr>
              <w:t>注：响应文件中须提供以下材料：相关证书、颁奖文件、网上公示截图（具有其中之一即可）证明材料扫描件； 奖项、荣誉证明资料应能体现供应商或其分公司名称，否则不予得分。</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14:paraId="1D68A5EF">
            <w:pPr>
              <w:spacing w:line="360" w:lineRule="exact"/>
              <w:jc w:val="center"/>
              <w:rPr>
                <w:rFonts w:ascii="宋体" w:hAnsi="宋体" w:cs="宋体"/>
                <w:szCs w:val="21"/>
              </w:rPr>
            </w:pPr>
            <w:r>
              <w:rPr>
                <w:rFonts w:hint="eastAsia" w:ascii="宋体" w:hAnsi="宋体" w:cs="宋体"/>
                <w:szCs w:val="21"/>
              </w:rPr>
              <w:t>5分</w:t>
            </w:r>
          </w:p>
        </w:tc>
        <w:tc>
          <w:tcPr>
            <w:tcW w:w="713" w:type="dxa"/>
            <w:vMerge w:val="continue"/>
            <w:tcBorders>
              <w:left w:val="single" w:color="auto" w:sz="4" w:space="0"/>
              <w:right w:val="single" w:color="auto" w:sz="4" w:space="0"/>
            </w:tcBorders>
            <w:shd w:val="clear" w:color="auto" w:fill="auto"/>
            <w:vAlign w:val="center"/>
          </w:tcPr>
          <w:p w14:paraId="51A1EC58">
            <w:pPr>
              <w:spacing w:line="360" w:lineRule="exact"/>
              <w:rPr>
                <w:rFonts w:ascii="宋体" w:hAnsi="宋体" w:cs="宋体"/>
                <w:szCs w:val="21"/>
              </w:rPr>
            </w:pPr>
          </w:p>
        </w:tc>
      </w:tr>
      <w:tr w14:paraId="1C09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5A0358F9">
            <w:pPr>
              <w:spacing w:line="360" w:lineRule="exact"/>
              <w:jc w:val="center"/>
              <w:rPr>
                <w:rFonts w:ascii="宋体" w:hAnsi="宋体"/>
                <w:szCs w:val="21"/>
              </w:rPr>
            </w:pPr>
            <w:r>
              <w:rPr>
                <w:rFonts w:hint="eastAsia" w:ascii="宋体" w:hAnsi="宋体"/>
                <w:szCs w:val="21"/>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D56D878">
            <w:pPr>
              <w:spacing w:line="360" w:lineRule="exact"/>
              <w:jc w:val="center"/>
              <w:rPr>
                <w:rFonts w:ascii="宋体" w:hAnsi="宋体"/>
                <w:szCs w:val="21"/>
              </w:rPr>
            </w:pPr>
            <w:r>
              <w:rPr>
                <w:rFonts w:hint="eastAsia" w:ascii="宋体" w:hAnsi="宋体"/>
                <w:szCs w:val="21"/>
              </w:rPr>
              <w:t>人员配置</w:t>
            </w:r>
          </w:p>
        </w:tc>
        <w:tc>
          <w:tcPr>
            <w:tcW w:w="7440" w:type="dxa"/>
            <w:tcBorders>
              <w:top w:val="single" w:color="auto" w:sz="4" w:space="0"/>
              <w:left w:val="single" w:color="auto" w:sz="4" w:space="0"/>
              <w:bottom w:val="single" w:color="auto" w:sz="4" w:space="0"/>
              <w:right w:val="single" w:color="auto" w:sz="4" w:space="0"/>
            </w:tcBorders>
            <w:shd w:val="clear" w:color="auto" w:fill="auto"/>
          </w:tcPr>
          <w:p w14:paraId="53EC44C0">
            <w:pPr>
              <w:pStyle w:val="13"/>
              <w:spacing w:line="360" w:lineRule="exact"/>
              <w:ind w:firstLine="0" w:firstLineChars="0"/>
              <w:rPr>
                <w:rFonts w:ascii="宋体" w:hAnsi="宋体"/>
                <w:szCs w:val="21"/>
                <w:lang w:val="zh-CN"/>
              </w:rPr>
            </w:pPr>
            <w:r>
              <w:rPr>
                <w:rFonts w:hint="eastAsia" w:ascii="宋体" w:hAnsi="宋体"/>
                <w:szCs w:val="21"/>
                <w:lang w:val="zh-CN"/>
              </w:rPr>
              <w:t>1、投标人拟派本项目技术人员具备特种设备作业资格证书的，每提供</w:t>
            </w:r>
            <w:r>
              <w:rPr>
                <w:rFonts w:hint="eastAsia" w:ascii="宋体" w:hAnsi="宋体"/>
                <w:szCs w:val="21"/>
              </w:rPr>
              <w:t>1</w:t>
            </w:r>
            <w:r>
              <w:rPr>
                <w:rFonts w:hint="eastAsia" w:ascii="宋体" w:hAnsi="宋体"/>
                <w:szCs w:val="21"/>
                <w:lang w:val="zh-CN"/>
              </w:rPr>
              <w:t>人得</w:t>
            </w:r>
            <w:r>
              <w:rPr>
                <w:rFonts w:hint="eastAsia" w:ascii="宋体" w:hAnsi="宋体"/>
                <w:szCs w:val="21"/>
              </w:rPr>
              <w:t>2</w:t>
            </w:r>
            <w:r>
              <w:rPr>
                <w:rFonts w:hint="eastAsia" w:ascii="宋体" w:hAnsi="宋体"/>
                <w:szCs w:val="21"/>
                <w:lang w:val="zh-CN"/>
              </w:rPr>
              <w:t>分，本项满分</w:t>
            </w:r>
            <w:r>
              <w:rPr>
                <w:rFonts w:hint="eastAsia" w:ascii="宋体" w:hAnsi="宋体"/>
                <w:szCs w:val="21"/>
              </w:rPr>
              <w:t>10</w:t>
            </w:r>
            <w:r>
              <w:rPr>
                <w:rFonts w:hint="eastAsia" w:ascii="宋体" w:hAnsi="宋体"/>
                <w:szCs w:val="21"/>
                <w:lang w:val="zh-CN"/>
              </w:rPr>
              <w:t>分；</w:t>
            </w:r>
          </w:p>
          <w:p w14:paraId="1977C498">
            <w:pPr>
              <w:pStyle w:val="13"/>
              <w:spacing w:line="360" w:lineRule="exact"/>
              <w:ind w:firstLine="0" w:firstLineChars="0"/>
              <w:rPr>
                <w:rFonts w:ascii="宋体" w:hAnsi="宋体"/>
                <w:szCs w:val="21"/>
                <w:lang w:val="zh-CN"/>
              </w:rPr>
            </w:pPr>
            <w:r>
              <w:rPr>
                <w:rFonts w:hint="eastAsia" w:ascii="宋体" w:hAnsi="宋体"/>
                <w:szCs w:val="21"/>
                <w:lang w:val="zh-CN"/>
              </w:rPr>
              <w:t>2、投标人具有电梯安装维修工三级及以上等级，每提供1人得 2分，满分 10分；</w:t>
            </w:r>
          </w:p>
          <w:p w14:paraId="3C43DDF9">
            <w:pPr>
              <w:pStyle w:val="13"/>
              <w:spacing w:line="360" w:lineRule="exact"/>
              <w:ind w:firstLine="0" w:firstLineChars="0"/>
              <w:rPr>
                <w:rFonts w:ascii="宋体" w:hAnsi="宋体"/>
                <w:szCs w:val="21"/>
                <w:lang w:val="zh-CN"/>
              </w:rPr>
            </w:pPr>
            <w:r>
              <w:rPr>
                <w:rFonts w:hint="eastAsia" w:ascii="宋体" w:hAnsi="宋体"/>
                <w:szCs w:val="21"/>
                <w:lang w:val="zh-CN"/>
              </w:rPr>
              <w:t>注：1）同一人员持有多证的不累计计分；</w:t>
            </w:r>
          </w:p>
          <w:p w14:paraId="5E63204D">
            <w:pPr>
              <w:pStyle w:val="13"/>
              <w:spacing w:line="360" w:lineRule="exact"/>
              <w:ind w:firstLine="0" w:firstLineChars="0"/>
              <w:rPr>
                <w:rFonts w:ascii="宋体" w:hAnsi="宋体"/>
                <w:szCs w:val="21"/>
                <w:lang w:val="zh-CN"/>
              </w:rPr>
            </w:pPr>
            <w:r>
              <w:rPr>
                <w:rFonts w:hint="eastAsia" w:ascii="宋体" w:hAnsi="宋体"/>
                <w:szCs w:val="21"/>
                <w:lang w:val="zh-CN"/>
              </w:rPr>
              <w:t>2）投标人须提供上述人员证书扫描件或复印件，并为其缴纳的</w:t>
            </w:r>
            <w:r>
              <w:rPr>
                <w:rFonts w:hint="eastAsia" w:ascii="宋体" w:hAnsi="宋体"/>
                <w:szCs w:val="21"/>
              </w:rPr>
              <w:t>开标前连续</w:t>
            </w:r>
            <w:r>
              <w:rPr>
                <w:rFonts w:hint="eastAsia" w:ascii="宋体" w:hAnsi="宋体"/>
                <w:szCs w:val="21"/>
                <w:lang w:val="zh-CN"/>
              </w:rPr>
              <w:t>三个月中的社保证明材料复印</w:t>
            </w:r>
            <w:r>
              <w:rPr>
                <w:rFonts w:hint="eastAsia" w:ascii="宋体" w:hAnsi="宋体"/>
                <w:szCs w:val="21"/>
              </w:rPr>
              <w:t>件加盖公章</w:t>
            </w:r>
            <w:r>
              <w:rPr>
                <w:rFonts w:hint="eastAsia" w:ascii="宋体" w:hAnsi="宋体"/>
                <w:szCs w:val="21"/>
                <w:lang w:val="zh-CN"/>
              </w:rPr>
              <w:t>（总公司、分公司社保均有效） ,否则不得分。</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14:paraId="43F27FE5">
            <w:pPr>
              <w:spacing w:line="360" w:lineRule="exact"/>
              <w:jc w:val="center"/>
              <w:rPr>
                <w:rFonts w:ascii="宋体" w:hAnsi="宋体" w:cs="宋体"/>
                <w:szCs w:val="21"/>
              </w:rPr>
            </w:pPr>
            <w:r>
              <w:rPr>
                <w:rFonts w:hint="eastAsia" w:ascii="宋体" w:hAnsi="宋体" w:cs="宋体"/>
                <w:szCs w:val="21"/>
              </w:rPr>
              <w:t>20分</w:t>
            </w:r>
          </w:p>
        </w:tc>
        <w:tc>
          <w:tcPr>
            <w:tcW w:w="713" w:type="dxa"/>
            <w:vMerge w:val="continue"/>
            <w:tcBorders>
              <w:left w:val="single" w:color="auto" w:sz="4" w:space="0"/>
              <w:right w:val="single" w:color="auto" w:sz="4" w:space="0"/>
            </w:tcBorders>
            <w:shd w:val="clear" w:color="auto" w:fill="auto"/>
            <w:vAlign w:val="center"/>
          </w:tcPr>
          <w:p w14:paraId="1B26A163">
            <w:pPr>
              <w:spacing w:line="360" w:lineRule="exact"/>
              <w:ind w:firstLine="480"/>
              <w:rPr>
                <w:rFonts w:ascii="宋体" w:hAnsi="宋体" w:cs="宋体"/>
                <w:szCs w:val="21"/>
              </w:rPr>
            </w:pPr>
          </w:p>
        </w:tc>
      </w:tr>
      <w:tr w14:paraId="195C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2951828">
            <w:pPr>
              <w:spacing w:line="360" w:lineRule="exact"/>
              <w:jc w:val="center"/>
              <w:rPr>
                <w:rFonts w:ascii="宋体" w:hAnsi="宋体"/>
                <w:szCs w:val="21"/>
              </w:rPr>
            </w:pPr>
            <w:r>
              <w:rPr>
                <w:rFonts w:hint="eastAsia" w:ascii="宋体" w:hAnsi="宋体"/>
                <w:szCs w:val="21"/>
              </w:rPr>
              <w:t>4</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6B562D1E">
            <w:pPr>
              <w:spacing w:line="360" w:lineRule="exact"/>
              <w:jc w:val="center"/>
              <w:rPr>
                <w:rFonts w:ascii="宋体" w:hAnsi="宋体"/>
                <w:szCs w:val="21"/>
              </w:rPr>
            </w:pPr>
            <w:r>
              <w:rPr>
                <w:rFonts w:hint="eastAsia" w:ascii="宋体" w:hAnsi="宋体"/>
                <w:szCs w:val="21"/>
              </w:rPr>
              <w:t>服务措施</w:t>
            </w:r>
          </w:p>
        </w:tc>
        <w:tc>
          <w:tcPr>
            <w:tcW w:w="7440" w:type="dxa"/>
            <w:tcBorders>
              <w:top w:val="single" w:color="auto" w:sz="4" w:space="0"/>
              <w:left w:val="single" w:color="auto" w:sz="4" w:space="0"/>
              <w:bottom w:val="single" w:color="auto" w:sz="4" w:space="0"/>
              <w:right w:val="single" w:color="auto" w:sz="4" w:space="0"/>
            </w:tcBorders>
            <w:shd w:val="clear" w:color="auto" w:fill="auto"/>
          </w:tcPr>
          <w:p w14:paraId="680E7B9E">
            <w:pPr>
              <w:pStyle w:val="13"/>
              <w:spacing w:line="360" w:lineRule="exact"/>
              <w:ind w:firstLine="0" w:firstLineChars="0"/>
              <w:rPr>
                <w:rFonts w:ascii="宋体" w:hAnsi="宋体"/>
                <w:szCs w:val="21"/>
                <w:lang w:val="zh-CN"/>
              </w:rPr>
            </w:pPr>
            <w:r>
              <w:rPr>
                <w:rFonts w:hint="eastAsia" w:ascii="宋体" w:hAnsi="宋体"/>
                <w:szCs w:val="21"/>
              </w:rPr>
              <w:t>投标人设有</w:t>
            </w:r>
            <w:r>
              <w:rPr>
                <w:rFonts w:hint="eastAsia" w:ascii="宋体" w:hAnsi="宋体"/>
                <w:szCs w:val="21"/>
                <w:lang w:val="zh-CN"/>
              </w:rPr>
              <w:t>有免费服务电话、固定电话、24 小时应急电话的得</w:t>
            </w:r>
            <w:r>
              <w:rPr>
                <w:rFonts w:hint="eastAsia" w:ascii="宋体" w:hAnsi="宋体"/>
                <w:szCs w:val="21"/>
              </w:rPr>
              <w:t>5</w:t>
            </w:r>
            <w:r>
              <w:rPr>
                <w:rFonts w:hint="eastAsia" w:ascii="宋体" w:hAnsi="宋体"/>
                <w:szCs w:val="21"/>
                <w:lang w:val="zh-CN"/>
              </w:rPr>
              <w:t>分；设有固定电话、24 小时应急电话的得</w:t>
            </w:r>
            <w:r>
              <w:rPr>
                <w:rFonts w:hint="eastAsia" w:ascii="宋体" w:hAnsi="宋体"/>
                <w:szCs w:val="21"/>
              </w:rPr>
              <w:t>3</w:t>
            </w:r>
            <w:r>
              <w:rPr>
                <w:rFonts w:hint="eastAsia" w:ascii="宋体" w:hAnsi="宋体"/>
                <w:szCs w:val="21"/>
                <w:lang w:val="zh-CN"/>
              </w:rPr>
              <w:t>分；只有移动服务电话的得1分。</w:t>
            </w:r>
          </w:p>
          <w:p w14:paraId="25860BE0">
            <w:pPr>
              <w:pStyle w:val="13"/>
              <w:spacing w:line="360" w:lineRule="exact"/>
              <w:ind w:firstLine="0" w:firstLineChars="0"/>
              <w:rPr>
                <w:rFonts w:ascii="宋体" w:hAnsi="宋体"/>
                <w:szCs w:val="21"/>
                <w:lang w:val="zh-CN"/>
              </w:rPr>
            </w:pPr>
            <w:r>
              <w:rPr>
                <w:rFonts w:hint="eastAsia" w:ascii="宋体" w:hAnsi="宋体"/>
                <w:szCs w:val="21"/>
                <w:lang w:val="zh-CN"/>
              </w:rPr>
              <w:t>注：须提供免费电话证明材料。</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14:paraId="0285AAD3">
            <w:pPr>
              <w:spacing w:line="360" w:lineRule="exact"/>
              <w:jc w:val="center"/>
              <w:rPr>
                <w:rFonts w:ascii="宋体" w:hAnsi="宋体" w:cs="宋体"/>
                <w:szCs w:val="21"/>
              </w:rPr>
            </w:pPr>
            <w:r>
              <w:rPr>
                <w:rFonts w:hint="eastAsia" w:ascii="宋体" w:hAnsi="宋体" w:cs="宋体"/>
                <w:szCs w:val="21"/>
              </w:rPr>
              <w:t>5分</w:t>
            </w:r>
          </w:p>
        </w:tc>
        <w:tc>
          <w:tcPr>
            <w:tcW w:w="713" w:type="dxa"/>
            <w:tcBorders>
              <w:left w:val="single" w:color="auto" w:sz="4" w:space="0"/>
              <w:right w:val="single" w:color="auto" w:sz="4" w:space="0"/>
            </w:tcBorders>
            <w:shd w:val="clear" w:color="auto" w:fill="auto"/>
            <w:vAlign w:val="center"/>
          </w:tcPr>
          <w:p w14:paraId="0F8232D6">
            <w:pPr>
              <w:spacing w:line="360" w:lineRule="exact"/>
              <w:ind w:firstLine="480"/>
              <w:rPr>
                <w:rFonts w:ascii="宋体" w:hAnsi="宋体" w:cs="宋体"/>
                <w:szCs w:val="21"/>
              </w:rPr>
            </w:pPr>
          </w:p>
        </w:tc>
      </w:tr>
    </w:tbl>
    <w:p w14:paraId="25631D55">
      <w:pPr>
        <w:spacing w:line="380" w:lineRule="exact"/>
        <w:ind w:firstLine="405" w:firstLineChars="192"/>
        <w:rPr>
          <w:rFonts w:ascii="宋体"/>
          <w:b/>
          <w:bCs/>
          <w:szCs w:val="21"/>
        </w:rPr>
      </w:pPr>
      <w:r>
        <w:rPr>
          <w:rFonts w:hint="eastAsia" w:ascii="宋体"/>
          <w:b/>
          <w:bCs/>
          <w:szCs w:val="21"/>
        </w:rPr>
        <w:t>注：1.上要求的证明材料需加盖投标单位公章；</w:t>
      </w:r>
    </w:p>
    <w:p w14:paraId="2A63FD58">
      <w:pPr>
        <w:spacing w:line="380" w:lineRule="exact"/>
        <w:ind w:firstLine="405" w:firstLineChars="192"/>
        <w:rPr>
          <w:rFonts w:ascii="宋体"/>
          <w:b/>
          <w:bCs/>
          <w:szCs w:val="21"/>
        </w:rPr>
      </w:pPr>
      <w:r>
        <w:rPr>
          <w:rFonts w:hint="eastAsia" w:ascii="宋体"/>
          <w:b/>
          <w:bCs/>
          <w:szCs w:val="21"/>
        </w:rPr>
        <w:t>2.投标人提供的项目业绩只计算评标分值对应的项目数量，按照排列顺序从首个业绩开始评审至对应数量，超出部分不进行评审。对应数量内业绩不符合招标文件要求不得分的，不再补充评审超出部分业绩。如：提供3个业绩即得满分的，按照投标文件排序评审第一、第二、第三项业绩，其余超出部分不再评审。</w:t>
      </w:r>
    </w:p>
    <w:p w14:paraId="480AD211">
      <w:pPr>
        <w:spacing w:line="320" w:lineRule="exact"/>
        <w:ind w:firstLine="480" w:firstLineChars="200"/>
        <w:rPr>
          <w:rFonts w:ascii="宋体" w:hAnsi="宋体" w:cs="宋体"/>
          <w:sz w:val="24"/>
        </w:rPr>
      </w:pPr>
    </w:p>
    <w:p w14:paraId="07E76571">
      <w:pPr>
        <w:spacing w:line="320" w:lineRule="exact"/>
        <w:ind w:firstLine="482" w:firstLineChars="200"/>
        <w:rPr>
          <w:rFonts w:ascii="宋体" w:hAnsi="宋体" w:cs="宋体"/>
          <w:b/>
          <w:bCs/>
          <w:sz w:val="24"/>
        </w:rPr>
      </w:pPr>
      <w:r>
        <w:rPr>
          <w:rFonts w:hint="eastAsia" w:ascii="宋体" w:hAnsi="宋体" w:cs="宋体"/>
          <w:b/>
          <w:bCs/>
          <w:sz w:val="24"/>
        </w:rPr>
        <w:t>6.2技术部分（25分）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978"/>
        <w:gridCol w:w="6899"/>
        <w:gridCol w:w="685"/>
        <w:gridCol w:w="882"/>
      </w:tblGrid>
      <w:tr w14:paraId="5D7C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4732CB">
            <w:pPr>
              <w:spacing w:line="360" w:lineRule="exact"/>
              <w:jc w:val="center"/>
              <w:rPr>
                <w:rFonts w:ascii="宋体" w:hAnsi="宋体" w:cs="宋体"/>
                <w:b/>
                <w:sz w:val="24"/>
              </w:rPr>
            </w:pPr>
            <w:r>
              <w:rPr>
                <w:rFonts w:hint="eastAsia" w:ascii="宋体" w:hAnsi="宋体" w:cs="宋体"/>
                <w:b/>
                <w:sz w:val="24"/>
              </w:rPr>
              <w:t>序号</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3328C548">
            <w:pPr>
              <w:spacing w:line="360" w:lineRule="exact"/>
              <w:jc w:val="center"/>
              <w:rPr>
                <w:rFonts w:ascii="宋体" w:hAnsi="宋体" w:cs="宋体"/>
                <w:b/>
                <w:sz w:val="24"/>
              </w:rPr>
            </w:pPr>
            <w:r>
              <w:rPr>
                <w:rFonts w:hint="eastAsia" w:ascii="宋体" w:hAnsi="宋体" w:cs="宋体"/>
                <w:b/>
                <w:sz w:val="24"/>
              </w:rPr>
              <w:t>评分因素</w:t>
            </w:r>
          </w:p>
        </w:tc>
        <w:tc>
          <w:tcPr>
            <w:tcW w:w="6899" w:type="dxa"/>
            <w:tcBorders>
              <w:top w:val="single" w:color="auto" w:sz="4" w:space="0"/>
              <w:left w:val="single" w:color="auto" w:sz="4" w:space="0"/>
              <w:bottom w:val="single" w:color="auto" w:sz="4" w:space="0"/>
              <w:right w:val="single" w:color="auto" w:sz="4" w:space="0"/>
            </w:tcBorders>
            <w:shd w:val="clear" w:color="auto" w:fill="auto"/>
            <w:vAlign w:val="center"/>
          </w:tcPr>
          <w:p w14:paraId="2C52C592">
            <w:pPr>
              <w:spacing w:line="360" w:lineRule="exact"/>
              <w:ind w:firstLine="482"/>
              <w:jc w:val="center"/>
              <w:rPr>
                <w:rFonts w:ascii="宋体" w:hAnsi="宋体" w:cs="宋体"/>
                <w:b/>
                <w:sz w:val="24"/>
              </w:rPr>
            </w:pPr>
            <w:r>
              <w:rPr>
                <w:rFonts w:hint="eastAsia" w:ascii="宋体" w:hAnsi="宋体" w:cs="宋体"/>
                <w:b/>
                <w:sz w:val="24"/>
              </w:rPr>
              <w:t>评审标准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9D22E28">
            <w:pPr>
              <w:spacing w:line="360" w:lineRule="exact"/>
              <w:rPr>
                <w:rFonts w:ascii="宋体" w:hAnsi="宋体" w:cs="宋体"/>
                <w:b/>
                <w:sz w:val="24"/>
              </w:rPr>
            </w:pPr>
            <w:r>
              <w:rPr>
                <w:rFonts w:hint="eastAsia" w:ascii="宋体" w:hAnsi="宋体" w:cs="宋体"/>
                <w:b/>
                <w:sz w:val="24"/>
              </w:rPr>
              <w:t>分值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D74F60">
            <w:pPr>
              <w:spacing w:line="360" w:lineRule="exact"/>
              <w:rPr>
                <w:rFonts w:ascii="宋体" w:hAnsi="宋体" w:cs="宋体"/>
                <w:b/>
                <w:sz w:val="24"/>
              </w:rPr>
            </w:pPr>
            <w:r>
              <w:rPr>
                <w:rFonts w:hint="eastAsia" w:ascii="宋体" w:hAnsi="宋体" w:cs="宋体"/>
                <w:b/>
                <w:sz w:val="24"/>
              </w:rPr>
              <w:t>须提供的证明材料</w:t>
            </w:r>
          </w:p>
        </w:tc>
      </w:tr>
      <w:tr w14:paraId="58D8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4B3EDB">
            <w:pPr>
              <w:spacing w:line="360" w:lineRule="exact"/>
              <w:jc w:val="center"/>
              <w:rPr>
                <w:rFonts w:ascii="宋体" w:hAnsi="宋体"/>
                <w:szCs w:val="21"/>
              </w:rPr>
            </w:pPr>
            <w:r>
              <w:rPr>
                <w:rFonts w:hint="eastAsia" w:ascii="宋体" w:hAnsi="宋体"/>
                <w:szCs w:val="21"/>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6F9C4B96">
            <w:pPr>
              <w:spacing w:line="360" w:lineRule="exact"/>
              <w:jc w:val="center"/>
              <w:rPr>
                <w:rFonts w:ascii="宋体" w:hAnsi="宋体"/>
                <w:szCs w:val="21"/>
              </w:rPr>
            </w:pPr>
            <w:r>
              <w:rPr>
                <w:rFonts w:hint="eastAsia" w:ascii="宋体" w:hAnsi="宋体"/>
                <w:szCs w:val="21"/>
              </w:rPr>
              <w:t>维保服务方案</w:t>
            </w:r>
          </w:p>
        </w:tc>
        <w:tc>
          <w:tcPr>
            <w:tcW w:w="6899" w:type="dxa"/>
            <w:tcBorders>
              <w:top w:val="single" w:color="auto" w:sz="4" w:space="0"/>
              <w:left w:val="single" w:color="auto" w:sz="4" w:space="0"/>
              <w:bottom w:val="single" w:color="auto" w:sz="4" w:space="0"/>
              <w:right w:val="single" w:color="auto" w:sz="4" w:space="0"/>
            </w:tcBorders>
            <w:shd w:val="clear" w:color="auto" w:fill="auto"/>
            <w:vAlign w:val="center"/>
          </w:tcPr>
          <w:p w14:paraId="5B5BF25A">
            <w:pPr>
              <w:pStyle w:val="13"/>
              <w:spacing w:line="360" w:lineRule="exact"/>
              <w:ind w:firstLine="0" w:firstLineChars="0"/>
              <w:rPr>
                <w:rFonts w:ascii="宋体" w:hAnsi="宋体"/>
                <w:szCs w:val="21"/>
              </w:rPr>
            </w:pPr>
            <w:r>
              <w:rPr>
                <w:rFonts w:hint="eastAsia" w:ascii="宋体" w:hAnsi="宋体"/>
                <w:szCs w:val="21"/>
              </w:rPr>
              <w:t xml:space="preserve">在响应招标文件基础上，根据维修响应及故障排除时间，电梯巡检计划及措施的合理性、配件供应的及时和完备性以及优于招标文件要求的其他维保措施的实用性等评分： </w:t>
            </w:r>
          </w:p>
          <w:p w14:paraId="26C6AFEA">
            <w:pPr>
              <w:pStyle w:val="13"/>
              <w:spacing w:line="360" w:lineRule="exact"/>
              <w:ind w:firstLine="0" w:firstLineChars="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 xml:space="preserve">）从接到故障通知到响应迅速不高于 </w:t>
            </w:r>
            <w:r>
              <w:rPr>
                <w:rFonts w:ascii="宋体" w:hAnsi="宋体"/>
                <w:szCs w:val="21"/>
              </w:rPr>
              <w:t>0.</w:t>
            </w:r>
            <w:r>
              <w:rPr>
                <w:rFonts w:hint="eastAsia" w:ascii="宋体" w:hAnsi="宋体"/>
                <w:szCs w:val="21"/>
              </w:rPr>
              <w:t>2</w:t>
            </w:r>
            <w:r>
              <w:rPr>
                <w:rFonts w:ascii="宋体" w:hAnsi="宋体"/>
                <w:szCs w:val="21"/>
              </w:rPr>
              <w:t xml:space="preserve">5 </w:t>
            </w:r>
            <w:r>
              <w:rPr>
                <w:rFonts w:hint="eastAsia" w:ascii="宋体" w:hAnsi="宋体"/>
                <w:szCs w:val="21"/>
              </w:rPr>
              <w:t xml:space="preserve">小时，排除故障不高于0.5小时，根据本项目内容及工作强度有计划及配件供应等合理完善得15分； </w:t>
            </w:r>
          </w:p>
          <w:p w14:paraId="6E5F5CCD">
            <w:pPr>
              <w:pStyle w:val="13"/>
              <w:spacing w:line="360" w:lineRule="exact"/>
              <w:ind w:firstLine="0" w:firstLineChars="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）从接到故障通知到响应迟于</w:t>
            </w:r>
            <w:r>
              <w:rPr>
                <w:rFonts w:ascii="宋体" w:hAnsi="宋体"/>
                <w:szCs w:val="21"/>
              </w:rPr>
              <w:t>0.</w:t>
            </w:r>
            <w:r>
              <w:rPr>
                <w:rFonts w:hint="eastAsia" w:ascii="宋体" w:hAnsi="宋体"/>
                <w:szCs w:val="21"/>
              </w:rPr>
              <w:t>2</w:t>
            </w:r>
            <w:r>
              <w:rPr>
                <w:rFonts w:ascii="宋体" w:hAnsi="宋体"/>
                <w:szCs w:val="21"/>
              </w:rPr>
              <w:t xml:space="preserve">5 </w:t>
            </w:r>
            <w:r>
              <w:rPr>
                <w:rFonts w:hint="eastAsia" w:ascii="宋体" w:hAnsi="宋体"/>
                <w:szCs w:val="21"/>
              </w:rPr>
              <w:t xml:space="preserve">小时，不高于0.5小时，排除故障 </w:t>
            </w:r>
          </w:p>
          <w:p w14:paraId="6BF20B82">
            <w:pPr>
              <w:pStyle w:val="13"/>
              <w:spacing w:line="360" w:lineRule="exact"/>
              <w:ind w:firstLine="0" w:firstLineChars="0"/>
              <w:rPr>
                <w:rFonts w:ascii="宋体" w:hAnsi="宋体"/>
                <w:szCs w:val="21"/>
              </w:rPr>
            </w:pPr>
            <w:r>
              <w:rPr>
                <w:rFonts w:hint="eastAsia" w:ascii="宋体" w:hAnsi="宋体"/>
                <w:szCs w:val="21"/>
              </w:rPr>
              <w:t>超过 1小时但不高于1.5小时，根据本项目内容及工作强度有计划及配</w:t>
            </w:r>
          </w:p>
          <w:p w14:paraId="639C8013">
            <w:pPr>
              <w:pStyle w:val="13"/>
              <w:spacing w:line="360" w:lineRule="exact"/>
              <w:ind w:firstLine="0" w:firstLineChars="0"/>
              <w:rPr>
                <w:rFonts w:ascii="宋体" w:hAnsi="宋体"/>
                <w:szCs w:val="21"/>
              </w:rPr>
            </w:pPr>
            <w:r>
              <w:rPr>
                <w:rFonts w:hint="eastAsia" w:ascii="宋体" w:hAnsi="宋体"/>
                <w:szCs w:val="21"/>
              </w:rPr>
              <w:t xml:space="preserve">件供应等较合理得13分； </w:t>
            </w:r>
          </w:p>
          <w:p w14:paraId="392E94BF">
            <w:pPr>
              <w:pStyle w:val="13"/>
              <w:spacing w:line="360" w:lineRule="exact"/>
              <w:ind w:firstLine="0" w:firstLineChars="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 xml:space="preserve">）从接到故障通知到响应迅速迟于0.5小时，排除故障超过1.5小时但不高于2小时，根据本项目内容及工作强度计划及配件供应等不合理得11分； </w:t>
            </w:r>
          </w:p>
          <w:p w14:paraId="4441965A">
            <w:pPr>
              <w:pStyle w:val="13"/>
              <w:spacing w:line="360" w:lineRule="exact"/>
              <w:ind w:firstLine="0" w:firstLineChars="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）未提供的不得分。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60AA35B">
            <w:pPr>
              <w:spacing w:line="360" w:lineRule="exact"/>
              <w:jc w:val="center"/>
              <w:rPr>
                <w:rFonts w:ascii="宋体" w:hAnsi="宋体"/>
                <w:szCs w:val="21"/>
              </w:rPr>
            </w:pPr>
            <w:r>
              <w:rPr>
                <w:rFonts w:hint="eastAsia" w:ascii="宋体" w:hAnsi="宋体"/>
                <w:szCs w:val="21"/>
              </w:rPr>
              <w:t>15分</w:t>
            </w:r>
          </w:p>
        </w:tc>
        <w:tc>
          <w:tcPr>
            <w:tcW w:w="0" w:type="auto"/>
            <w:vMerge w:val="restart"/>
            <w:tcBorders>
              <w:top w:val="single" w:color="auto" w:sz="4" w:space="0"/>
              <w:left w:val="single" w:color="auto" w:sz="4" w:space="0"/>
              <w:right w:val="single" w:color="auto" w:sz="4" w:space="0"/>
            </w:tcBorders>
            <w:shd w:val="clear" w:color="auto" w:fill="auto"/>
            <w:vAlign w:val="center"/>
          </w:tcPr>
          <w:p w14:paraId="01E83D41">
            <w:pPr>
              <w:spacing w:line="360" w:lineRule="exact"/>
              <w:rPr>
                <w:rFonts w:ascii="宋体" w:hAnsi="宋体" w:cs="宋体"/>
                <w:szCs w:val="21"/>
              </w:rPr>
            </w:pPr>
            <w:r>
              <w:rPr>
                <w:rFonts w:hint="eastAsia" w:ascii="宋体" w:hAnsi="宋体" w:cs="宋体"/>
                <w:szCs w:val="21"/>
              </w:rPr>
              <w:t>检验投标文件</w:t>
            </w:r>
          </w:p>
          <w:p w14:paraId="537A7A14">
            <w:pPr>
              <w:spacing w:line="360" w:lineRule="exact"/>
              <w:ind w:firstLine="480"/>
            </w:pPr>
          </w:p>
        </w:tc>
      </w:tr>
      <w:tr w14:paraId="5CD2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B34D60">
            <w:pPr>
              <w:spacing w:line="360" w:lineRule="exact"/>
              <w:jc w:val="center"/>
              <w:rPr>
                <w:rFonts w:ascii="宋体" w:hAnsi="宋体"/>
                <w:szCs w:val="21"/>
              </w:rPr>
            </w:pPr>
            <w:r>
              <w:rPr>
                <w:rFonts w:hint="eastAsia" w:ascii="宋体" w:hAnsi="宋体"/>
                <w:szCs w:val="21"/>
              </w:rPr>
              <w:t>2</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3B43AD92">
            <w:pPr>
              <w:spacing w:line="360" w:lineRule="exact"/>
              <w:jc w:val="center"/>
              <w:rPr>
                <w:rFonts w:ascii="宋体" w:hAnsi="宋体"/>
                <w:szCs w:val="21"/>
              </w:rPr>
            </w:pPr>
            <w:r>
              <w:rPr>
                <w:rFonts w:hint="eastAsia" w:ascii="宋体" w:hAnsi="宋体"/>
                <w:szCs w:val="21"/>
              </w:rPr>
              <w:t>电梯事故和故障应急处理预案</w:t>
            </w:r>
          </w:p>
        </w:tc>
        <w:tc>
          <w:tcPr>
            <w:tcW w:w="6899" w:type="dxa"/>
            <w:tcBorders>
              <w:top w:val="single" w:color="auto" w:sz="4" w:space="0"/>
              <w:left w:val="single" w:color="auto" w:sz="4" w:space="0"/>
              <w:bottom w:val="single" w:color="auto" w:sz="4" w:space="0"/>
              <w:right w:val="single" w:color="auto" w:sz="4" w:space="0"/>
            </w:tcBorders>
            <w:shd w:val="clear" w:color="auto" w:fill="auto"/>
            <w:vAlign w:val="center"/>
          </w:tcPr>
          <w:p w14:paraId="0A9102F9">
            <w:pPr>
              <w:pStyle w:val="13"/>
              <w:spacing w:line="360" w:lineRule="exact"/>
              <w:ind w:firstLine="0" w:firstLineChars="0"/>
              <w:rPr>
                <w:rFonts w:ascii="宋体" w:hAnsi="宋体"/>
                <w:szCs w:val="21"/>
              </w:rPr>
            </w:pPr>
            <w:r>
              <w:rPr>
                <w:rFonts w:hint="eastAsia" w:ascii="宋体" w:hAnsi="宋体"/>
                <w:szCs w:val="21"/>
              </w:rPr>
              <w:t>评标委员会根据投标人提供的电梯事故和故障应急处理预案综合打分：</w:t>
            </w:r>
          </w:p>
          <w:p w14:paraId="436E77C4">
            <w:pPr>
              <w:pStyle w:val="13"/>
              <w:spacing w:line="360" w:lineRule="exact"/>
              <w:ind w:firstLine="0" w:firstLineChars="0"/>
              <w:rPr>
                <w:rFonts w:ascii="宋体" w:hAnsi="宋体"/>
                <w:szCs w:val="21"/>
              </w:rPr>
            </w:pPr>
            <w:r>
              <w:rPr>
                <w:rFonts w:hint="eastAsia" w:ascii="宋体" w:hAnsi="宋体"/>
                <w:szCs w:val="21"/>
              </w:rPr>
              <w:t>（1）应急预案充分考虑项目需求特点及风险点，合理可行，且启动预案的条件措施得当、及时有效，针对性强完全满足采购需求得10分；</w:t>
            </w:r>
          </w:p>
          <w:p w14:paraId="17E4B0C7">
            <w:pPr>
              <w:pStyle w:val="13"/>
              <w:spacing w:line="360" w:lineRule="exact"/>
              <w:ind w:firstLine="0" w:firstLineChars="0"/>
              <w:rPr>
                <w:rFonts w:ascii="宋体" w:hAnsi="宋体"/>
                <w:szCs w:val="21"/>
              </w:rPr>
            </w:pPr>
            <w:r>
              <w:rPr>
                <w:rFonts w:hint="eastAsia" w:ascii="宋体" w:hAnsi="宋体"/>
                <w:szCs w:val="21"/>
              </w:rPr>
              <w:t>（2）预案内容相对完善、合理性强，可行性较强，有一定的针对性且满足采购需求得8分；</w:t>
            </w:r>
          </w:p>
          <w:p w14:paraId="184DC29F">
            <w:pPr>
              <w:pStyle w:val="13"/>
              <w:spacing w:line="360" w:lineRule="exact"/>
              <w:ind w:firstLine="0" w:firstLineChars="0"/>
              <w:rPr>
                <w:rFonts w:ascii="宋体" w:hAnsi="宋体"/>
                <w:szCs w:val="21"/>
              </w:rPr>
            </w:pPr>
            <w:r>
              <w:rPr>
                <w:rFonts w:hint="eastAsia" w:ascii="宋体" w:hAnsi="宋体"/>
                <w:szCs w:val="21"/>
              </w:rPr>
              <w:t>（3）应急预案内容一般，合理可行性一般，针对性一般，基本满足需求得6分；</w:t>
            </w:r>
          </w:p>
          <w:p w14:paraId="40DC28AC">
            <w:pPr>
              <w:pStyle w:val="13"/>
              <w:spacing w:line="360" w:lineRule="exact"/>
              <w:ind w:firstLine="0" w:firstLineChars="0"/>
              <w:rPr>
                <w:rFonts w:ascii="宋体" w:hAnsi="宋体" w:cs="宋体"/>
                <w:szCs w:val="21"/>
              </w:rPr>
            </w:pPr>
            <w:r>
              <w:rPr>
                <w:rFonts w:hint="eastAsia" w:ascii="宋体" w:hAnsi="宋体"/>
                <w:szCs w:val="21"/>
              </w:rPr>
              <w:t>（4）未提供的不得分。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1D5A048F">
            <w:pPr>
              <w:spacing w:line="360" w:lineRule="exact"/>
              <w:jc w:val="center"/>
              <w:rPr>
                <w:rFonts w:ascii="宋体" w:hAnsi="宋体"/>
                <w:szCs w:val="21"/>
              </w:rPr>
            </w:pPr>
            <w:r>
              <w:rPr>
                <w:rFonts w:hint="eastAsia" w:ascii="宋体" w:hAnsi="宋体"/>
                <w:szCs w:val="21"/>
              </w:rPr>
              <w:t>10分</w:t>
            </w:r>
          </w:p>
        </w:tc>
        <w:tc>
          <w:tcPr>
            <w:tcW w:w="0" w:type="auto"/>
            <w:vMerge w:val="continue"/>
            <w:tcBorders>
              <w:left w:val="single" w:color="auto" w:sz="4" w:space="0"/>
              <w:bottom w:val="single" w:color="auto" w:sz="4" w:space="0"/>
              <w:right w:val="single" w:color="auto" w:sz="4" w:space="0"/>
            </w:tcBorders>
            <w:shd w:val="clear" w:color="auto" w:fill="auto"/>
            <w:vAlign w:val="center"/>
          </w:tcPr>
          <w:p w14:paraId="3850BC95">
            <w:pPr>
              <w:spacing w:line="360" w:lineRule="exact"/>
              <w:ind w:firstLine="480"/>
            </w:pPr>
          </w:p>
        </w:tc>
      </w:tr>
    </w:tbl>
    <w:p w14:paraId="570A06AE">
      <w:pPr>
        <w:spacing w:line="320" w:lineRule="exact"/>
        <w:ind w:firstLine="482" w:firstLineChars="200"/>
        <w:rPr>
          <w:rFonts w:ascii="宋体" w:hAnsi="宋体" w:cs="宋体"/>
          <w:b/>
          <w:bCs/>
          <w:sz w:val="24"/>
        </w:rPr>
      </w:pPr>
    </w:p>
    <w:p w14:paraId="77B8E93E">
      <w:pPr>
        <w:spacing w:line="320" w:lineRule="exact"/>
        <w:ind w:firstLine="482" w:firstLineChars="200"/>
        <w:rPr>
          <w:rFonts w:ascii="宋体" w:hAnsi="宋体" w:cs="宋体"/>
          <w:b/>
          <w:bCs/>
          <w:sz w:val="24"/>
        </w:rPr>
      </w:pPr>
      <w:r>
        <w:rPr>
          <w:rFonts w:hint="eastAsia" w:ascii="宋体" w:hAnsi="宋体" w:cs="宋体"/>
          <w:b/>
          <w:bCs/>
          <w:sz w:val="24"/>
        </w:rPr>
        <w:t>6.3商务部分（20分）</w:t>
      </w:r>
    </w:p>
    <w:tbl>
      <w:tblPr>
        <w:tblStyle w:val="50"/>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588"/>
        <w:gridCol w:w="968"/>
      </w:tblGrid>
      <w:tr w14:paraId="12F3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14:paraId="6E6D46BB">
            <w:pPr>
              <w:spacing w:line="400" w:lineRule="exact"/>
              <w:jc w:val="center"/>
              <w:rPr>
                <w:rFonts w:ascii="宋体" w:hAnsi="宋体" w:cs="宋体"/>
                <w:b/>
                <w:sz w:val="24"/>
              </w:rPr>
            </w:pPr>
            <w:r>
              <w:rPr>
                <w:rFonts w:hint="eastAsia" w:ascii="宋体" w:hAnsi="宋体" w:cs="宋体"/>
                <w:b/>
                <w:sz w:val="24"/>
              </w:rPr>
              <w:t>评审项目</w:t>
            </w:r>
          </w:p>
        </w:tc>
        <w:tc>
          <w:tcPr>
            <w:tcW w:w="7588" w:type="dxa"/>
            <w:tcBorders>
              <w:top w:val="single" w:color="auto" w:sz="4" w:space="0"/>
              <w:left w:val="single" w:color="auto" w:sz="4" w:space="0"/>
              <w:bottom w:val="single" w:color="auto" w:sz="4" w:space="0"/>
              <w:right w:val="single" w:color="auto" w:sz="4" w:space="0"/>
            </w:tcBorders>
            <w:vAlign w:val="center"/>
          </w:tcPr>
          <w:p w14:paraId="54F68559">
            <w:pPr>
              <w:spacing w:line="400" w:lineRule="exact"/>
              <w:ind w:firstLine="482"/>
              <w:jc w:val="center"/>
              <w:rPr>
                <w:rFonts w:ascii="宋体" w:hAnsi="宋体" w:cs="宋体"/>
                <w:b/>
                <w:sz w:val="24"/>
              </w:rPr>
            </w:pPr>
            <w:r>
              <w:rPr>
                <w:rFonts w:hint="eastAsia" w:ascii="宋体" w:hAnsi="宋体" w:cs="宋体"/>
                <w:b/>
                <w:sz w:val="24"/>
              </w:rPr>
              <w:t>评审内容</w:t>
            </w:r>
          </w:p>
        </w:tc>
        <w:tc>
          <w:tcPr>
            <w:tcW w:w="968" w:type="dxa"/>
            <w:tcBorders>
              <w:top w:val="single" w:color="auto" w:sz="4" w:space="0"/>
              <w:left w:val="single" w:color="auto" w:sz="4" w:space="0"/>
              <w:bottom w:val="single" w:color="auto" w:sz="4" w:space="0"/>
              <w:right w:val="single" w:color="auto" w:sz="4" w:space="0"/>
            </w:tcBorders>
            <w:vAlign w:val="center"/>
          </w:tcPr>
          <w:p w14:paraId="4FE54D8C">
            <w:pPr>
              <w:spacing w:line="400" w:lineRule="exact"/>
              <w:jc w:val="center"/>
              <w:rPr>
                <w:rFonts w:ascii="宋体" w:hAnsi="宋体" w:cs="宋体"/>
                <w:b/>
                <w:sz w:val="24"/>
              </w:rPr>
            </w:pPr>
            <w:r>
              <w:rPr>
                <w:rFonts w:hint="eastAsia" w:ascii="宋体" w:hAnsi="宋体" w:cs="宋体"/>
                <w:b/>
                <w:sz w:val="24"/>
              </w:rPr>
              <w:t>分值</w:t>
            </w:r>
          </w:p>
        </w:tc>
      </w:tr>
      <w:tr w14:paraId="22A3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68" w:type="dxa"/>
            <w:tcBorders>
              <w:top w:val="single" w:color="auto" w:sz="4" w:space="0"/>
              <w:left w:val="single" w:color="auto" w:sz="4" w:space="0"/>
              <w:right w:val="single" w:color="auto" w:sz="4" w:space="0"/>
            </w:tcBorders>
            <w:vAlign w:val="center"/>
          </w:tcPr>
          <w:p w14:paraId="0A46F5A1">
            <w:pPr>
              <w:spacing w:line="400" w:lineRule="exact"/>
              <w:jc w:val="center"/>
              <w:textAlignment w:val="center"/>
              <w:rPr>
                <w:rFonts w:ascii="宋体" w:hAnsi="宋体"/>
                <w:b/>
                <w:bCs/>
                <w:szCs w:val="21"/>
              </w:rPr>
            </w:pPr>
            <w:r>
              <w:rPr>
                <w:rFonts w:hint="eastAsia" w:ascii="宋体" w:hAnsi="宋体"/>
                <w:b/>
                <w:bCs/>
                <w:szCs w:val="21"/>
              </w:rPr>
              <w:t>报  价</w:t>
            </w:r>
          </w:p>
        </w:tc>
        <w:tc>
          <w:tcPr>
            <w:tcW w:w="7588" w:type="dxa"/>
            <w:tcBorders>
              <w:top w:val="single" w:color="auto" w:sz="4" w:space="0"/>
              <w:left w:val="single" w:color="auto" w:sz="4" w:space="0"/>
              <w:bottom w:val="single" w:color="auto" w:sz="4" w:space="0"/>
              <w:right w:val="single" w:color="auto" w:sz="4" w:space="0"/>
            </w:tcBorders>
            <w:vAlign w:val="center"/>
          </w:tcPr>
          <w:p w14:paraId="0B19CAEA">
            <w:pPr>
              <w:spacing w:line="360" w:lineRule="exact"/>
              <w:rPr>
                <w:rFonts w:ascii="宋体" w:hAnsi="宋体" w:cs="宋体"/>
                <w:b/>
                <w:bCs/>
                <w:szCs w:val="21"/>
              </w:rPr>
            </w:pPr>
            <w:r>
              <w:rPr>
                <w:rFonts w:hint="eastAsia" w:ascii="宋体" w:hAnsi="宋体" w:cs="宋体"/>
                <w:b/>
                <w:bCs/>
                <w:szCs w:val="21"/>
              </w:rPr>
              <w:t>1.采购人设置投标报价最高限价（4500元/台/年，81000元/年，共18台），各投标人有效总报价不得高于最高限价，否则，其投标文件按无效标处理。</w:t>
            </w:r>
          </w:p>
          <w:p w14:paraId="6F823718">
            <w:pPr>
              <w:spacing w:line="360" w:lineRule="exact"/>
              <w:rPr>
                <w:rFonts w:ascii="宋体" w:hAnsi="宋体" w:cs="宋体"/>
                <w:szCs w:val="21"/>
              </w:rPr>
            </w:pPr>
            <w:r>
              <w:rPr>
                <w:rFonts w:hint="eastAsia" w:ascii="宋体" w:hAnsi="宋体" w:cs="宋体"/>
                <w:szCs w:val="21"/>
              </w:rPr>
              <w:t>2.评标基准价=所有效投标人的最低报价，其得分为满分；</w:t>
            </w:r>
          </w:p>
          <w:p w14:paraId="7B01AC86">
            <w:pPr>
              <w:spacing w:line="360" w:lineRule="exact"/>
              <w:rPr>
                <w:rFonts w:ascii="宋体" w:hAnsi="宋体" w:cs="宋体"/>
                <w:szCs w:val="21"/>
              </w:rPr>
            </w:pPr>
            <w:r>
              <w:rPr>
                <w:rFonts w:hint="eastAsia" w:ascii="宋体" w:hAnsi="宋体" w:cs="宋体"/>
                <w:szCs w:val="21"/>
              </w:rPr>
              <w:t>3.报价得分=评标基准价/投标报价*20分（小数点后保留两位小数，第三位四舍五入）。</w:t>
            </w:r>
          </w:p>
        </w:tc>
        <w:tc>
          <w:tcPr>
            <w:tcW w:w="968" w:type="dxa"/>
            <w:tcBorders>
              <w:top w:val="single" w:color="auto" w:sz="4" w:space="0"/>
              <w:left w:val="single" w:color="auto" w:sz="4" w:space="0"/>
              <w:bottom w:val="single" w:color="auto" w:sz="4" w:space="0"/>
              <w:right w:val="single" w:color="auto" w:sz="4" w:space="0"/>
            </w:tcBorders>
            <w:vAlign w:val="center"/>
          </w:tcPr>
          <w:p w14:paraId="5AB0D9B1">
            <w:pPr>
              <w:spacing w:line="400" w:lineRule="exact"/>
              <w:jc w:val="center"/>
              <w:rPr>
                <w:rFonts w:ascii="宋体" w:hAnsi="宋体" w:cs="宋体"/>
                <w:szCs w:val="21"/>
              </w:rPr>
            </w:pPr>
            <w:r>
              <w:rPr>
                <w:rFonts w:hint="eastAsia" w:ascii="宋体" w:hAnsi="宋体" w:cs="宋体"/>
                <w:szCs w:val="21"/>
              </w:rPr>
              <w:t>20分</w:t>
            </w:r>
          </w:p>
        </w:tc>
      </w:tr>
    </w:tbl>
    <w:p w14:paraId="13010FEC">
      <w:pPr>
        <w:overflowPunct w:val="0"/>
        <w:adjustRightInd w:val="0"/>
        <w:snapToGrid w:val="0"/>
        <w:spacing w:line="440" w:lineRule="exact"/>
        <w:ind w:firstLine="498" w:firstLineChars="236"/>
        <w:rPr>
          <w:b/>
          <w:szCs w:val="21"/>
        </w:rPr>
      </w:pPr>
    </w:p>
    <w:p w14:paraId="6CE3DA10">
      <w:pPr>
        <w:overflowPunct w:val="0"/>
        <w:adjustRightInd w:val="0"/>
        <w:snapToGrid w:val="0"/>
        <w:spacing w:line="440" w:lineRule="exact"/>
        <w:ind w:firstLine="498" w:firstLineChars="236"/>
        <w:rPr>
          <w:b/>
          <w:szCs w:val="21"/>
        </w:rPr>
      </w:pPr>
      <w:r>
        <w:rPr>
          <w:rFonts w:hint="eastAsia"/>
          <w:b/>
          <w:szCs w:val="21"/>
        </w:rPr>
        <w:t>特别说明：1.以上分值均保留二位小数，小数点后第三位四舍五入</w:t>
      </w:r>
    </w:p>
    <w:p w14:paraId="7293AA09">
      <w:pPr>
        <w:numPr>
          <w:ilvl w:val="0"/>
          <w:numId w:val="2"/>
        </w:numPr>
        <w:spacing w:line="400" w:lineRule="exact"/>
        <w:ind w:firstLine="482"/>
        <w:jc w:val="center"/>
        <w:outlineLvl w:val="1"/>
        <w:rPr>
          <w:rFonts w:ascii="宋体"/>
          <w:b/>
          <w:sz w:val="24"/>
        </w:rPr>
      </w:pPr>
      <w:bookmarkStart w:id="549" w:name="_Hlk91343611"/>
      <w:r>
        <w:rPr>
          <w:rFonts w:hint="eastAsia" w:ascii="宋体"/>
          <w:b/>
          <w:sz w:val="24"/>
        </w:rPr>
        <w:t>推荐中标候选人</w:t>
      </w:r>
    </w:p>
    <w:p w14:paraId="2BFB2528">
      <w:pPr>
        <w:snapToGrid w:val="0"/>
        <w:spacing w:line="440" w:lineRule="exact"/>
        <w:ind w:firstLine="482"/>
        <w:rPr>
          <w:rFonts w:ascii="宋体"/>
          <w:b/>
          <w:szCs w:val="21"/>
        </w:rPr>
      </w:pPr>
      <w:r>
        <w:rPr>
          <w:rFonts w:hint="eastAsia" w:ascii="宋体"/>
          <w:b/>
          <w:szCs w:val="21"/>
        </w:rPr>
        <w:t>7.评审结果</w:t>
      </w:r>
    </w:p>
    <w:p w14:paraId="2639E4E3">
      <w:pPr>
        <w:snapToGrid w:val="0"/>
        <w:spacing w:line="440" w:lineRule="exact"/>
        <w:ind w:firstLine="630" w:firstLineChars="300"/>
        <w:jc w:val="left"/>
        <w:rPr>
          <w:rFonts w:ascii="宋体"/>
          <w:szCs w:val="21"/>
        </w:rPr>
      </w:pPr>
      <w:r>
        <w:rPr>
          <w:rFonts w:hint="eastAsia" w:ascii="宋体"/>
          <w:szCs w:val="21"/>
        </w:rPr>
        <w:t>7.1评标委员会对经过综合评审的投标人，按综合评审得分从高到低的顺序依次推荐1-3名中标候选人。排名第一的为首选中标侯选人，依次类推第二、第三中标侯选人。</w:t>
      </w:r>
    </w:p>
    <w:p w14:paraId="6C1EEDC0">
      <w:pPr>
        <w:snapToGrid w:val="0"/>
        <w:spacing w:line="440" w:lineRule="exact"/>
        <w:ind w:firstLine="480"/>
        <w:jc w:val="left"/>
        <w:rPr>
          <w:rFonts w:ascii="宋体"/>
          <w:szCs w:val="21"/>
        </w:rPr>
      </w:pPr>
      <w:r>
        <w:rPr>
          <w:rFonts w:hint="eastAsia" w:ascii="宋体"/>
          <w:szCs w:val="21"/>
        </w:rPr>
        <w:t>7.2评标委员会完成评标后，应当向招标人提交书面评标报告。</w:t>
      </w:r>
    </w:p>
    <w:p w14:paraId="16BF5740">
      <w:pPr>
        <w:snapToGrid w:val="0"/>
        <w:spacing w:line="440" w:lineRule="exact"/>
        <w:ind w:firstLine="480"/>
        <w:jc w:val="left"/>
        <w:rPr>
          <w:rFonts w:ascii="宋体"/>
          <w:szCs w:val="21"/>
        </w:rPr>
      </w:pPr>
      <w:r>
        <w:rPr>
          <w:rFonts w:hint="eastAsia" w:ascii="宋体"/>
          <w:szCs w:val="21"/>
        </w:rPr>
        <w:t>7.3例外情况</w:t>
      </w:r>
    </w:p>
    <w:p w14:paraId="7030B0C8">
      <w:pPr>
        <w:snapToGrid w:val="0"/>
        <w:spacing w:line="440" w:lineRule="exact"/>
        <w:ind w:firstLine="480"/>
        <w:jc w:val="left"/>
        <w:rPr>
          <w:rFonts w:ascii="宋体"/>
          <w:szCs w:val="21"/>
        </w:rPr>
      </w:pPr>
      <w:r>
        <w:rPr>
          <w:rFonts w:hint="eastAsia" w:ascii="宋体"/>
          <w:szCs w:val="21"/>
        </w:rPr>
        <w:t>7.3.1当出现投标人综合评审得分相等时，按下列顺序排序：“投标报价”得分高的优先；仍相同时，由评标委员会现场抽签确定顺序。</w:t>
      </w:r>
    </w:p>
    <w:p w14:paraId="577A5836">
      <w:pPr>
        <w:snapToGrid w:val="0"/>
        <w:spacing w:line="440" w:lineRule="exact"/>
        <w:ind w:firstLine="480"/>
        <w:jc w:val="left"/>
        <w:rPr>
          <w:rFonts w:ascii="宋体"/>
          <w:szCs w:val="21"/>
        </w:rPr>
      </w:pPr>
      <w:r>
        <w:rPr>
          <w:rFonts w:hint="eastAsia" w:ascii="宋体"/>
          <w:szCs w:val="21"/>
        </w:rPr>
        <w:t>7.3.2当评标委员会认为各投标报价均较高时，可以否决全部投标。</w:t>
      </w:r>
    </w:p>
    <w:p w14:paraId="3ABEE2E5">
      <w:pPr>
        <w:snapToGrid w:val="0"/>
        <w:spacing w:line="440" w:lineRule="exact"/>
        <w:ind w:firstLine="480"/>
        <w:jc w:val="left"/>
        <w:rPr>
          <w:rFonts w:ascii="宋体"/>
          <w:szCs w:val="21"/>
        </w:rPr>
      </w:pPr>
      <w:r>
        <w:rPr>
          <w:rFonts w:hint="eastAsia" w:ascii="宋体"/>
          <w:szCs w:val="21"/>
        </w:rPr>
        <w:t>7.3.3招标文件条款存在含义不清或者相互矛盾的，评标委员会应当针对相应条款作出有利于相应投标人的结论。</w:t>
      </w:r>
    </w:p>
    <w:p w14:paraId="19183B9B">
      <w:pPr>
        <w:snapToGrid w:val="0"/>
        <w:spacing w:line="440" w:lineRule="exact"/>
        <w:ind w:firstLine="482"/>
        <w:rPr>
          <w:rFonts w:ascii="宋体"/>
          <w:b/>
          <w:szCs w:val="21"/>
        </w:rPr>
      </w:pPr>
      <w:r>
        <w:rPr>
          <w:rFonts w:hint="eastAsia" w:ascii="宋体"/>
          <w:b/>
          <w:szCs w:val="21"/>
        </w:rPr>
        <w:t>8.</w:t>
      </w:r>
      <w:r>
        <w:rPr>
          <w:rFonts w:hint="eastAsia" w:ascii="宋体" w:hAnsi="宋体"/>
          <w:b/>
          <w:sz w:val="24"/>
        </w:rPr>
        <w:t xml:space="preserve"> </w:t>
      </w:r>
      <w:bookmarkStart w:id="550" w:name="_Hlk61815781"/>
      <w:r>
        <w:rPr>
          <w:rFonts w:hint="eastAsia" w:ascii="宋体"/>
          <w:b/>
          <w:szCs w:val="21"/>
        </w:rPr>
        <w:t>无效投标条款</w:t>
      </w:r>
    </w:p>
    <w:p w14:paraId="14849321">
      <w:pPr>
        <w:snapToGrid w:val="0"/>
        <w:spacing w:line="440" w:lineRule="exact"/>
        <w:ind w:firstLine="525" w:firstLineChars="250"/>
        <w:rPr>
          <w:rFonts w:ascii="宋体" w:cs="宋体"/>
          <w:szCs w:val="21"/>
        </w:rPr>
      </w:pPr>
      <w:r>
        <w:rPr>
          <w:rFonts w:hint="eastAsia" w:ascii="宋体" w:cs="宋体"/>
          <w:szCs w:val="21"/>
        </w:rPr>
        <w:t>8.1投标文件有下列情形之一的,其投标文件拒收:</w:t>
      </w:r>
    </w:p>
    <w:p w14:paraId="785197AE">
      <w:pPr>
        <w:snapToGrid w:val="0"/>
        <w:spacing w:line="440" w:lineRule="exact"/>
        <w:ind w:firstLine="480"/>
        <w:rPr>
          <w:rFonts w:ascii="宋体" w:hAnsi="宋体" w:cs="宋体"/>
          <w:b/>
          <w:bCs/>
          <w:szCs w:val="21"/>
        </w:rPr>
      </w:pPr>
      <w:r>
        <w:rPr>
          <w:rFonts w:hint="eastAsia" w:ascii="宋体" w:cs="宋体"/>
          <w:szCs w:val="21"/>
        </w:rPr>
        <w:t xml:space="preserve"> </w:t>
      </w:r>
      <w:r>
        <w:rPr>
          <w:rFonts w:hint="eastAsia" w:ascii="宋体" w:hAnsi="宋体" w:cs="宋体"/>
          <w:b/>
          <w:bCs/>
          <w:szCs w:val="21"/>
        </w:rPr>
        <w:t xml:space="preserve"> 未在开标截止时间前递交投标文件的，不予接收，投标将被拒绝。</w:t>
      </w:r>
    </w:p>
    <w:p w14:paraId="0A2B0855">
      <w:pPr>
        <w:snapToGrid w:val="0"/>
        <w:spacing w:line="440" w:lineRule="exact"/>
        <w:ind w:firstLine="480"/>
        <w:rPr>
          <w:rFonts w:ascii="宋体" w:hAnsi="宋体" w:cs="宋体"/>
          <w:szCs w:val="21"/>
        </w:rPr>
      </w:pPr>
      <w:r>
        <w:rPr>
          <w:rFonts w:hint="eastAsia" w:ascii="宋体" w:hAnsi="宋体" w:cs="宋体"/>
          <w:szCs w:val="21"/>
        </w:rPr>
        <w:t>8.2投标人有下列情形之一的,资格审查后其投标作无效投标处理：</w:t>
      </w:r>
    </w:p>
    <w:p w14:paraId="5B8FD5D8">
      <w:pPr>
        <w:snapToGrid w:val="0"/>
        <w:spacing w:line="440" w:lineRule="exact"/>
        <w:ind w:firstLine="420" w:firstLineChars="200"/>
        <w:rPr>
          <w:rFonts w:ascii="宋体" w:hAnsi="宋体" w:cs="宋体"/>
          <w:szCs w:val="21"/>
        </w:rPr>
      </w:pPr>
      <w:r>
        <w:rPr>
          <w:rFonts w:hint="eastAsia" w:ascii="宋体" w:hAnsi="宋体" w:cs="宋体"/>
          <w:szCs w:val="21"/>
        </w:rPr>
        <w:t>(1)投标人为本项目提供招标代理服务的；</w:t>
      </w:r>
    </w:p>
    <w:p w14:paraId="04AE553B">
      <w:pPr>
        <w:snapToGrid w:val="0"/>
        <w:spacing w:line="440" w:lineRule="exact"/>
        <w:ind w:firstLine="420" w:firstLineChars="200"/>
        <w:rPr>
          <w:rFonts w:ascii="宋体" w:hAnsi="宋体" w:cs="宋体"/>
          <w:szCs w:val="21"/>
        </w:rPr>
      </w:pPr>
      <w:r>
        <w:rPr>
          <w:rFonts w:hint="eastAsia" w:ascii="宋体" w:hAnsi="宋体" w:cs="宋体"/>
          <w:szCs w:val="21"/>
        </w:rPr>
        <w:t>(2)投标人与在本项目代理机构存在相互任职或工作的；</w:t>
      </w:r>
    </w:p>
    <w:p w14:paraId="3B2AAFFD">
      <w:pPr>
        <w:snapToGrid w:val="0"/>
        <w:spacing w:line="440" w:lineRule="exact"/>
        <w:ind w:firstLine="420" w:firstLineChars="200"/>
        <w:rPr>
          <w:rFonts w:ascii="宋体" w:hAnsi="宋体" w:cs="宋体"/>
          <w:szCs w:val="21"/>
        </w:rPr>
      </w:pPr>
      <w:r>
        <w:rPr>
          <w:rFonts w:hint="eastAsia" w:ascii="宋体" w:hAnsi="宋体" w:cs="宋体"/>
          <w:szCs w:val="21"/>
        </w:rPr>
        <w:t>(3)被暂停营业的；</w:t>
      </w:r>
    </w:p>
    <w:p w14:paraId="0E4EEF59">
      <w:pPr>
        <w:snapToGrid w:val="0"/>
        <w:spacing w:line="440" w:lineRule="exact"/>
        <w:ind w:firstLine="420" w:firstLineChars="200"/>
        <w:rPr>
          <w:rFonts w:ascii="宋体" w:hAnsi="宋体" w:cs="宋体"/>
          <w:szCs w:val="21"/>
        </w:rPr>
      </w:pPr>
      <w:r>
        <w:rPr>
          <w:rFonts w:hint="eastAsia" w:ascii="宋体" w:hAnsi="宋体" w:cs="宋体"/>
          <w:szCs w:val="21"/>
        </w:rPr>
        <w:t>(4)被暂停或取消投标资格的；</w:t>
      </w:r>
    </w:p>
    <w:p w14:paraId="46ADFD85">
      <w:pPr>
        <w:snapToGrid w:val="0"/>
        <w:spacing w:line="440" w:lineRule="exact"/>
        <w:ind w:firstLine="420" w:firstLineChars="200"/>
        <w:rPr>
          <w:rFonts w:ascii="宋体" w:hAnsi="宋体" w:cs="宋体"/>
          <w:szCs w:val="21"/>
        </w:rPr>
      </w:pPr>
      <w:r>
        <w:rPr>
          <w:rFonts w:hint="eastAsia" w:ascii="宋体" w:hAnsi="宋体" w:cs="宋体"/>
          <w:szCs w:val="21"/>
        </w:rPr>
        <w:t>(5)财产被接管或冻结的；</w:t>
      </w:r>
    </w:p>
    <w:p w14:paraId="6DA14CB2">
      <w:pPr>
        <w:snapToGrid w:val="0"/>
        <w:spacing w:line="440" w:lineRule="exact"/>
        <w:ind w:firstLine="420" w:firstLineChars="200"/>
        <w:rPr>
          <w:rFonts w:ascii="宋体" w:hAnsi="宋体" w:cs="宋体"/>
          <w:szCs w:val="21"/>
        </w:rPr>
      </w:pPr>
      <w:r>
        <w:rPr>
          <w:rFonts w:hint="eastAsia" w:ascii="宋体" w:hAnsi="宋体" w:cs="宋体"/>
          <w:szCs w:val="21"/>
        </w:rPr>
        <w:t>(6)投标人单位负责人为同一人或者存在控股、管理关系的不同单位的；</w:t>
      </w:r>
    </w:p>
    <w:p w14:paraId="5EB5CB39">
      <w:pPr>
        <w:snapToGrid w:val="0"/>
        <w:spacing w:line="440" w:lineRule="exact"/>
        <w:ind w:firstLine="420" w:firstLineChars="200"/>
        <w:rPr>
          <w:rFonts w:ascii="宋体" w:hAnsi="宋体" w:cs="宋体"/>
          <w:szCs w:val="21"/>
        </w:rPr>
      </w:pPr>
      <w:r>
        <w:rPr>
          <w:rFonts w:hint="eastAsia" w:ascii="宋体" w:hAnsi="宋体" w:cs="宋体"/>
          <w:szCs w:val="21"/>
        </w:rPr>
        <w:t>(7) 投标人基本资格条件和特定资格条件中有一项及以上不符合要求的；</w:t>
      </w:r>
    </w:p>
    <w:p w14:paraId="1591B0D3">
      <w:pPr>
        <w:snapToGrid w:val="0"/>
        <w:spacing w:line="440" w:lineRule="exact"/>
        <w:ind w:firstLine="420" w:firstLineChars="200"/>
        <w:rPr>
          <w:rFonts w:ascii="宋体" w:hAnsi="宋体" w:cs="宋体"/>
          <w:szCs w:val="21"/>
        </w:rPr>
      </w:pPr>
      <w:r>
        <w:rPr>
          <w:rFonts w:ascii="宋体" w:hAnsi="宋体" w:cs="宋体"/>
          <w:szCs w:val="21"/>
        </w:rPr>
        <w:t>(</w:t>
      </w:r>
      <w:r>
        <w:rPr>
          <w:rFonts w:hint="eastAsia" w:ascii="宋体" w:hAnsi="宋体" w:cs="宋体"/>
          <w:szCs w:val="21"/>
        </w:rPr>
        <w:t>8</w:t>
      </w:r>
      <w:r>
        <w:rPr>
          <w:rFonts w:ascii="宋体" w:hAnsi="宋体" w:cs="宋体"/>
          <w:szCs w:val="21"/>
        </w:rPr>
        <w:t>)</w:t>
      </w:r>
      <w:r>
        <w:rPr>
          <w:rFonts w:hint="eastAsia" w:ascii="宋体" w:hAnsi="宋体" w:cs="宋体"/>
          <w:szCs w:val="21"/>
        </w:rPr>
        <w:t xml:space="preserve"> 投标人单方面出现其他投标人材料的；</w:t>
      </w:r>
    </w:p>
    <w:p w14:paraId="2AA10FF9">
      <w:pPr>
        <w:snapToGrid w:val="0"/>
        <w:spacing w:line="440" w:lineRule="exact"/>
        <w:ind w:firstLine="420" w:firstLineChars="200"/>
        <w:rPr>
          <w:rFonts w:ascii="宋体" w:hAnsi="宋体" w:cs="宋体"/>
          <w:szCs w:val="21"/>
        </w:rPr>
      </w:pPr>
      <w:r>
        <w:rPr>
          <w:rFonts w:hint="eastAsia" w:ascii="宋体" w:hAnsi="宋体" w:cs="宋体"/>
          <w:szCs w:val="21"/>
        </w:rPr>
        <w:t>(9) 招标文件规定的其它无效投标情形。</w:t>
      </w:r>
    </w:p>
    <w:p w14:paraId="3F199DD1">
      <w:pPr>
        <w:snapToGrid w:val="0"/>
        <w:spacing w:line="440" w:lineRule="exact"/>
        <w:ind w:firstLine="480"/>
        <w:rPr>
          <w:rFonts w:ascii="宋体" w:hAnsi="宋体" w:cs="宋体"/>
          <w:szCs w:val="21"/>
        </w:rPr>
      </w:pPr>
      <w:r>
        <w:rPr>
          <w:rFonts w:hint="eastAsia" w:ascii="宋体" w:hAnsi="宋体" w:cs="宋体"/>
          <w:szCs w:val="21"/>
        </w:rPr>
        <w:t xml:space="preserve">   8.3 投标人有下列情形之一的,符合性审查后其投标按无效投标处理：</w:t>
      </w:r>
    </w:p>
    <w:p w14:paraId="064D81F3">
      <w:pPr>
        <w:snapToGrid w:val="0"/>
        <w:spacing w:line="440" w:lineRule="exact"/>
        <w:ind w:firstLine="420" w:firstLineChars="200"/>
        <w:rPr>
          <w:rFonts w:ascii="宋体" w:hAnsi="宋体" w:cs="宋体"/>
          <w:szCs w:val="21"/>
        </w:rPr>
      </w:pPr>
      <w:r>
        <w:rPr>
          <w:rFonts w:hint="eastAsia" w:ascii="宋体" w:hAnsi="宋体" w:cs="宋体"/>
          <w:szCs w:val="21"/>
        </w:rPr>
        <w:t>(1)投标文件签字、盖章不全，经评标委员会一致认定对开评标内容有实质性影响的；</w:t>
      </w:r>
    </w:p>
    <w:p w14:paraId="0A538B90">
      <w:pPr>
        <w:snapToGrid w:val="0"/>
        <w:spacing w:line="440" w:lineRule="exact"/>
        <w:ind w:firstLine="420" w:firstLineChars="200"/>
        <w:rPr>
          <w:rFonts w:ascii="宋体" w:hAnsi="宋体" w:cs="宋体"/>
          <w:szCs w:val="21"/>
        </w:rPr>
      </w:pPr>
      <w:r>
        <w:rPr>
          <w:rFonts w:hint="eastAsia" w:ascii="宋体" w:hAnsi="宋体" w:cs="宋体"/>
          <w:szCs w:val="21"/>
        </w:rPr>
        <w:t>(2)未按规定的格式填写，实质性内容不全或关键字迹模糊、无法辨认的；</w:t>
      </w:r>
    </w:p>
    <w:p w14:paraId="7DC2BF48">
      <w:pPr>
        <w:snapToGrid w:val="0"/>
        <w:spacing w:line="440" w:lineRule="exact"/>
        <w:ind w:firstLine="420" w:firstLineChars="200"/>
        <w:rPr>
          <w:rFonts w:ascii="宋体" w:hAnsi="宋体" w:cs="宋体"/>
          <w:szCs w:val="21"/>
        </w:rPr>
      </w:pPr>
      <w:r>
        <w:rPr>
          <w:rFonts w:hint="eastAsia" w:ascii="宋体" w:hAnsi="宋体" w:cs="宋体"/>
          <w:szCs w:val="21"/>
        </w:rPr>
        <w:t>(3)同一投标人提交两个以上不同的投标文件或者投标报价，但招标文件规定提交备选方案的除外；</w:t>
      </w:r>
    </w:p>
    <w:p w14:paraId="443CD0CA">
      <w:pPr>
        <w:snapToGrid w:val="0"/>
        <w:spacing w:line="440" w:lineRule="exact"/>
        <w:ind w:firstLine="420" w:firstLineChars="200"/>
        <w:rPr>
          <w:rFonts w:ascii="宋体" w:hAnsi="宋体" w:cs="宋体"/>
          <w:szCs w:val="21"/>
        </w:rPr>
      </w:pPr>
      <w:r>
        <w:rPr>
          <w:rFonts w:hint="eastAsia" w:ascii="宋体" w:hAnsi="宋体" w:cs="宋体"/>
          <w:szCs w:val="21"/>
        </w:rPr>
        <w:t>(4)投标文件没有对招标文件的实质性要求和条件作出响应;</w:t>
      </w:r>
    </w:p>
    <w:p w14:paraId="23FC6582">
      <w:pPr>
        <w:snapToGrid w:val="0"/>
        <w:spacing w:line="440" w:lineRule="exact"/>
        <w:ind w:firstLine="420" w:firstLineChars="200"/>
        <w:rPr>
          <w:rFonts w:ascii="宋体" w:hAnsi="宋体" w:cs="宋体"/>
          <w:szCs w:val="21"/>
        </w:rPr>
      </w:pPr>
      <w:r>
        <w:rPr>
          <w:rFonts w:hint="eastAsia" w:ascii="宋体" w:hAnsi="宋体" w:cs="宋体"/>
          <w:szCs w:val="21"/>
        </w:rPr>
        <w:t>(5)投标报价超出规定的投标限价或公布的采购预算的或投标人的投标报价各项单价高于招标文件给定的单价最高限价；</w:t>
      </w:r>
    </w:p>
    <w:p w14:paraId="21F8BB7A">
      <w:pPr>
        <w:snapToGrid w:val="0"/>
        <w:spacing w:line="440" w:lineRule="exact"/>
        <w:ind w:firstLine="420" w:firstLineChars="200"/>
        <w:rPr>
          <w:rFonts w:ascii="宋体" w:hAnsi="宋体" w:cs="宋体"/>
          <w:szCs w:val="21"/>
        </w:rPr>
      </w:pPr>
      <w:r>
        <w:rPr>
          <w:rFonts w:hint="eastAsia" w:ascii="宋体" w:hAnsi="宋体" w:cs="宋体"/>
          <w:szCs w:val="21"/>
        </w:rPr>
        <w:t>(6)不按评标委员会要求澄清、说明或补正的，或者评标委员会根据招标文件的规定对招标文件的计算错误进行修正后，投标人不接受修正的投标报价的。</w:t>
      </w:r>
    </w:p>
    <w:p w14:paraId="5F01D6A7">
      <w:pPr>
        <w:snapToGrid w:val="0"/>
        <w:spacing w:line="440" w:lineRule="exact"/>
        <w:ind w:firstLine="420" w:firstLineChars="200"/>
        <w:rPr>
          <w:rFonts w:ascii="宋体" w:hAnsi="宋体" w:cs="宋体"/>
          <w:szCs w:val="21"/>
        </w:rPr>
      </w:pPr>
      <w:r>
        <w:rPr>
          <w:rFonts w:hint="eastAsia" w:ascii="宋体" w:hAnsi="宋体" w:cs="宋体"/>
          <w:szCs w:val="21"/>
        </w:rPr>
        <w:t>(7)投标文件含有采购人不能接受的附加条件的；</w:t>
      </w:r>
    </w:p>
    <w:p w14:paraId="0F3D5206">
      <w:pPr>
        <w:snapToGrid w:val="0"/>
        <w:spacing w:line="440" w:lineRule="exact"/>
        <w:ind w:firstLine="420" w:firstLineChars="200"/>
        <w:rPr>
          <w:rFonts w:ascii="宋体" w:hAnsi="宋体" w:cs="宋体"/>
          <w:szCs w:val="21"/>
        </w:rPr>
      </w:pPr>
      <w:r>
        <w:rPr>
          <w:rFonts w:hint="eastAsia" w:ascii="宋体" w:hAnsi="宋体" w:cs="宋体"/>
          <w:szCs w:val="21"/>
        </w:rPr>
        <w:t>(8)招标文件规定的其它无效投标情形。</w:t>
      </w:r>
    </w:p>
    <w:p w14:paraId="6569AB84">
      <w:pPr>
        <w:snapToGrid w:val="0"/>
        <w:spacing w:line="440" w:lineRule="exact"/>
        <w:ind w:firstLine="420" w:firstLineChars="200"/>
        <w:rPr>
          <w:rFonts w:ascii="宋体" w:hAnsi="宋体" w:cs="宋体"/>
          <w:szCs w:val="21"/>
        </w:rPr>
      </w:pPr>
      <w:r>
        <w:rPr>
          <w:rFonts w:hint="eastAsia" w:ascii="宋体" w:hAnsi="宋体" w:cs="宋体"/>
          <w:szCs w:val="21"/>
        </w:rPr>
        <w:t>8.4 投标人有下列情形之一的, 详细评审后其投标按无效投标处理：</w:t>
      </w:r>
    </w:p>
    <w:p w14:paraId="53ED19E5">
      <w:pPr>
        <w:snapToGrid w:val="0"/>
        <w:spacing w:line="440" w:lineRule="exact"/>
        <w:ind w:firstLine="420" w:firstLineChars="200"/>
        <w:rPr>
          <w:rFonts w:ascii="宋体" w:hAnsi="宋体" w:cs="宋体"/>
          <w:szCs w:val="21"/>
        </w:rPr>
      </w:pPr>
      <w:r>
        <w:rPr>
          <w:rFonts w:hint="eastAsia" w:ascii="宋体" w:hAnsi="宋体" w:cs="宋体"/>
          <w:szCs w:val="21"/>
        </w:rPr>
        <w:t>(1)投标产品不符合必须强制执行的国家标准的；</w:t>
      </w:r>
    </w:p>
    <w:p w14:paraId="27CACF2F">
      <w:pPr>
        <w:snapToGrid w:val="0"/>
        <w:spacing w:line="440" w:lineRule="exact"/>
        <w:ind w:firstLine="420" w:firstLineChars="200"/>
        <w:rPr>
          <w:rFonts w:ascii="宋体" w:hAnsi="宋体" w:cs="宋体"/>
          <w:szCs w:val="21"/>
        </w:rPr>
      </w:pPr>
      <w:r>
        <w:rPr>
          <w:rFonts w:hint="eastAsia" w:ascii="宋体" w:hAnsi="宋体" w:cs="宋体"/>
          <w:szCs w:val="21"/>
        </w:rPr>
        <w:t>(2)投标人有串通投标、弄虚作假、行贿等违法行为；</w:t>
      </w:r>
    </w:p>
    <w:p w14:paraId="434BFBA0">
      <w:pPr>
        <w:snapToGrid w:val="0"/>
        <w:spacing w:line="440" w:lineRule="exact"/>
        <w:ind w:firstLine="420" w:firstLineChars="200"/>
        <w:rPr>
          <w:rFonts w:ascii="宋体" w:hAnsi="宋体" w:cs="宋体"/>
          <w:szCs w:val="21"/>
        </w:rPr>
      </w:pPr>
      <w:r>
        <w:rPr>
          <w:rFonts w:hint="eastAsia" w:ascii="宋体" w:hAnsi="宋体" w:cs="宋体"/>
          <w:szCs w:val="21"/>
        </w:rPr>
        <w:t>(3)投标文件含有违反国家法律、法规的内容，或附有采购人不能接受的条件的；</w:t>
      </w:r>
    </w:p>
    <w:p w14:paraId="73B5D8D3">
      <w:pPr>
        <w:snapToGrid w:val="0"/>
        <w:spacing w:line="440" w:lineRule="exact"/>
        <w:ind w:firstLine="420" w:firstLineChars="200"/>
        <w:rPr>
          <w:rFonts w:ascii="宋体" w:hAnsi="宋体" w:cs="宋体"/>
          <w:szCs w:val="21"/>
        </w:rPr>
      </w:pPr>
      <w:r>
        <w:rPr>
          <w:rFonts w:hint="eastAsia" w:ascii="宋体" w:hAnsi="宋体" w:cs="宋体"/>
          <w:szCs w:val="21"/>
        </w:rPr>
        <w:t>(4)在同一项目（或同一标段）中有多个投标人有效投标报价接近最高限价，且评标委员会认为报价出现异常的，可以宣布其投标无效；</w:t>
      </w:r>
    </w:p>
    <w:p w14:paraId="096DB07D">
      <w:pPr>
        <w:snapToGrid w:val="0"/>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报价明显低于其他投标人，且不能证明报价合理性的投标无效</w:t>
      </w:r>
      <w:r>
        <w:rPr>
          <w:rFonts w:hint="eastAsia" w:ascii="宋体" w:hAnsi="宋体" w:cs="宋体"/>
          <w:szCs w:val="21"/>
        </w:rPr>
        <w:t>；</w:t>
      </w:r>
    </w:p>
    <w:p w14:paraId="28823840">
      <w:pPr>
        <w:snapToGrid w:val="0"/>
        <w:spacing w:line="44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拒不确认评标委员会评审修正的投标无效</w:t>
      </w:r>
      <w:r>
        <w:rPr>
          <w:rFonts w:hint="eastAsia" w:ascii="宋体" w:hAnsi="宋体" w:cs="宋体"/>
          <w:szCs w:val="21"/>
        </w:rPr>
        <w:t>；</w:t>
      </w:r>
    </w:p>
    <w:p w14:paraId="018ADE0F">
      <w:pPr>
        <w:snapToGrid w:val="0"/>
        <w:spacing w:line="440" w:lineRule="exact"/>
        <w:ind w:firstLine="420" w:firstLineChars="200"/>
        <w:rPr>
          <w:rFonts w:ascii="宋体" w:hAnsi="宋体" w:cs="宋体"/>
          <w:szCs w:val="21"/>
        </w:rPr>
      </w:pPr>
      <w:r>
        <w:rPr>
          <w:rFonts w:hint="eastAsia" w:ascii="宋体" w:hAnsi="宋体" w:cs="宋体"/>
          <w:szCs w:val="21"/>
        </w:rPr>
        <w:t>(7)招标文件规定的其它无效投标情形。</w:t>
      </w:r>
    </w:p>
    <w:p w14:paraId="2BC881A0">
      <w:pPr>
        <w:snapToGrid w:val="0"/>
        <w:spacing w:line="440" w:lineRule="exact"/>
        <w:ind w:firstLine="420" w:firstLineChars="200"/>
        <w:rPr>
          <w:rFonts w:ascii="宋体" w:hAnsi="宋体" w:cs="宋体"/>
          <w:szCs w:val="21"/>
        </w:rPr>
      </w:pPr>
    </w:p>
    <w:bookmarkEnd w:id="550"/>
    <w:p w14:paraId="26CF9D2F">
      <w:pPr>
        <w:ind w:firstLine="643"/>
        <w:jc w:val="center"/>
        <w:rPr>
          <w:rFonts w:ascii="宋体" w:hAnsi="宋体" w:cs="宋体"/>
          <w:b/>
          <w:bCs/>
          <w:sz w:val="32"/>
          <w:szCs w:val="32"/>
        </w:rPr>
      </w:pPr>
      <w:r>
        <w:rPr>
          <w:rFonts w:hint="eastAsia" w:ascii="宋体" w:hAnsi="宋体" w:cs="宋体"/>
          <w:b/>
          <w:bCs/>
          <w:sz w:val="32"/>
          <w:szCs w:val="32"/>
        </w:rPr>
        <w:t xml:space="preserve">第四章 </w:t>
      </w:r>
      <w:r>
        <w:rPr>
          <w:rFonts w:hint="eastAsia" w:ascii="宋体" w:hAnsi="宋体" w:cs="宋体"/>
          <w:b/>
          <w:bCs/>
          <w:kern w:val="0"/>
          <w:sz w:val="32"/>
          <w:szCs w:val="32"/>
          <w:lang w:bidi="ar"/>
        </w:rPr>
        <w:t>采购需求</w:t>
      </w:r>
    </w:p>
    <w:bookmarkEnd w:id="48"/>
    <w:bookmarkEnd w:id="549"/>
    <w:p w14:paraId="25493A2A">
      <w:pPr>
        <w:widowControl/>
        <w:jc w:val="center"/>
        <w:rPr>
          <w:rFonts w:ascii="宋体" w:hAnsi="宋体" w:cs="宋体"/>
          <w:kern w:val="0"/>
          <w:sz w:val="24"/>
          <w:lang w:bidi="ar"/>
        </w:rPr>
      </w:pPr>
      <w:bookmarkStart w:id="551" w:name="_Toc31972"/>
      <w:bookmarkStart w:id="552" w:name="_Toc26076"/>
      <w:bookmarkStart w:id="553" w:name="_Toc22879"/>
      <w:bookmarkStart w:id="554" w:name="_Toc35864588"/>
      <w:bookmarkStart w:id="555" w:name="_Toc15832"/>
      <w:bookmarkStart w:id="556" w:name="_Toc24931"/>
      <w:bookmarkStart w:id="557" w:name="_Toc22466"/>
    </w:p>
    <w:p w14:paraId="30B05DD2">
      <w:pPr>
        <w:numPr>
          <w:ilvl w:val="0"/>
          <w:numId w:val="3"/>
        </w:numPr>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服务要求</w:t>
      </w:r>
    </w:p>
    <w:p w14:paraId="2F586A25">
      <w:pPr>
        <w:snapToGrid w:val="0"/>
        <w:spacing w:line="440" w:lineRule="exact"/>
        <w:ind w:firstLine="480" w:firstLineChars="200"/>
        <w:rPr>
          <w:rFonts w:ascii="宋体" w:hAnsi="宋体" w:cs="宋体"/>
          <w:sz w:val="24"/>
        </w:rPr>
      </w:pPr>
      <w:r>
        <w:rPr>
          <w:rFonts w:hint="eastAsia" w:ascii="宋体" w:hAnsi="宋体" w:cs="宋体"/>
          <w:sz w:val="24"/>
        </w:rPr>
        <w:t xml:space="preserve">1、服务期限：三年，合同一年一签； </w:t>
      </w:r>
    </w:p>
    <w:p w14:paraId="125A8672">
      <w:pPr>
        <w:snapToGrid w:val="0"/>
        <w:spacing w:line="440" w:lineRule="exact"/>
        <w:ind w:firstLine="480" w:firstLineChars="200"/>
        <w:rPr>
          <w:rFonts w:ascii="宋体" w:hAnsi="宋体" w:cs="宋体"/>
          <w:sz w:val="24"/>
        </w:rPr>
      </w:pPr>
      <w:r>
        <w:rPr>
          <w:rFonts w:hint="eastAsia" w:ascii="宋体" w:hAnsi="宋体" w:cs="宋体"/>
          <w:sz w:val="24"/>
        </w:rPr>
        <w:t xml:space="preserve">2、保证招标人院区所有电梯安全运行，如出现任何安全事故均与招标人无关； </w:t>
      </w:r>
    </w:p>
    <w:p w14:paraId="668DD591">
      <w:pPr>
        <w:snapToGrid w:val="0"/>
        <w:spacing w:line="440" w:lineRule="exact"/>
        <w:ind w:firstLine="480" w:firstLineChars="200"/>
        <w:rPr>
          <w:rFonts w:ascii="宋体" w:hAnsi="宋体" w:cs="宋体"/>
          <w:sz w:val="24"/>
        </w:rPr>
      </w:pPr>
      <w:r>
        <w:rPr>
          <w:rFonts w:hint="eastAsia" w:ascii="宋体" w:hAnsi="宋体" w:cs="宋体"/>
          <w:sz w:val="24"/>
        </w:rPr>
        <w:t xml:space="preserve">3、维保合同内容为半包性质； </w:t>
      </w:r>
    </w:p>
    <w:p w14:paraId="5985EC6D">
      <w:pPr>
        <w:snapToGrid w:val="0"/>
        <w:spacing w:line="440" w:lineRule="exact"/>
        <w:ind w:firstLine="480" w:firstLineChars="200"/>
        <w:rPr>
          <w:rFonts w:ascii="宋体" w:hAnsi="宋体" w:cs="宋体"/>
          <w:sz w:val="24"/>
        </w:rPr>
      </w:pPr>
      <w:r>
        <w:rPr>
          <w:rFonts w:hint="eastAsia" w:ascii="宋体" w:hAnsi="宋体" w:cs="宋体"/>
          <w:sz w:val="24"/>
        </w:rPr>
        <w:t xml:space="preserve">4、中标单位在电梯日常维护保养中，要严格执行国家安全技术规范要求，保证维保电梯的安全技术性能，并负责现场安全防护措施，保证施工安全； </w:t>
      </w:r>
    </w:p>
    <w:p w14:paraId="6B5829E5">
      <w:pPr>
        <w:snapToGrid w:val="0"/>
        <w:spacing w:line="440" w:lineRule="exact"/>
        <w:ind w:firstLine="480" w:firstLineChars="200"/>
        <w:rPr>
          <w:rFonts w:ascii="宋体" w:hAnsi="宋体" w:cs="宋体"/>
          <w:sz w:val="24"/>
        </w:rPr>
      </w:pPr>
      <w:r>
        <w:rPr>
          <w:rFonts w:hint="eastAsia" w:ascii="宋体" w:hAnsi="宋体" w:cs="宋体"/>
          <w:sz w:val="24"/>
        </w:rPr>
        <w:t xml:space="preserve">5、在合同期间，中标单位每月按不低于特种设备安全法相关规定要求进行定期维保，对全部电梯进行清洁润滑调整和检查，做好全面保养记录并通报业主验签，保证电梯正常平稳运行； </w:t>
      </w:r>
    </w:p>
    <w:p w14:paraId="435BC8A1">
      <w:pPr>
        <w:snapToGrid w:val="0"/>
        <w:spacing w:line="440" w:lineRule="exact"/>
        <w:ind w:firstLine="480" w:firstLineChars="200"/>
        <w:rPr>
          <w:rFonts w:ascii="宋体" w:hAnsi="宋体" w:cs="宋体"/>
          <w:sz w:val="24"/>
        </w:rPr>
      </w:pPr>
      <w:r>
        <w:rPr>
          <w:rFonts w:hint="eastAsia" w:ascii="宋体" w:hAnsi="宋体" w:cs="宋体"/>
          <w:sz w:val="24"/>
        </w:rPr>
        <w:t xml:space="preserve">6、在维修过程中，更换非免费维保类配件应先向业主提出申请并做书面申请报告，双方鉴定确认后方可进行更换； </w:t>
      </w:r>
    </w:p>
    <w:p w14:paraId="5703C580">
      <w:pPr>
        <w:snapToGrid w:val="0"/>
        <w:spacing w:line="440" w:lineRule="exact"/>
        <w:ind w:firstLine="480" w:firstLineChars="200"/>
        <w:rPr>
          <w:rFonts w:ascii="宋体" w:hAnsi="宋体" w:cs="宋体"/>
          <w:sz w:val="24"/>
        </w:rPr>
      </w:pPr>
      <w:r>
        <w:rPr>
          <w:rFonts w:hint="eastAsia" w:ascii="宋体" w:hAnsi="宋体" w:cs="宋体"/>
          <w:sz w:val="24"/>
        </w:rPr>
        <w:t xml:space="preserve">7、在合同期间，中标单位提供维保所需工具和劳务； </w:t>
      </w:r>
    </w:p>
    <w:p w14:paraId="188A9C31">
      <w:pPr>
        <w:snapToGrid w:val="0"/>
        <w:spacing w:line="440" w:lineRule="exact"/>
        <w:ind w:firstLine="480" w:firstLineChars="200"/>
        <w:rPr>
          <w:rFonts w:ascii="宋体" w:hAnsi="宋体" w:cs="宋体"/>
          <w:sz w:val="24"/>
        </w:rPr>
      </w:pPr>
      <w:r>
        <w:rPr>
          <w:rFonts w:hint="eastAsia" w:ascii="宋体" w:hAnsi="宋体" w:cs="宋体"/>
          <w:sz w:val="24"/>
        </w:rPr>
        <w:t>8、本次半包费用包含（1：质检部门检测费用，2：限速器校验费，3：满载联动试验费，4：鼓式抱闸拆解费用，5：平衡系数试验费，6：300元以内配件费）；</w:t>
      </w:r>
    </w:p>
    <w:p w14:paraId="30AB49C4">
      <w:pPr>
        <w:snapToGrid w:val="0"/>
        <w:spacing w:line="440" w:lineRule="exact"/>
        <w:ind w:firstLine="480" w:firstLineChars="200"/>
        <w:rPr>
          <w:rFonts w:ascii="宋体" w:hAnsi="宋体" w:cs="宋体"/>
          <w:sz w:val="24"/>
        </w:rPr>
      </w:pPr>
      <w:r>
        <w:rPr>
          <w:rFonts w:hint="eastAsia" w:ascii="宋体" w:hAnsi="宋体" w:cs="宋体"/>
          <w:sz w:val="24"/>
        </w:rPr>
        <w:t xml:space="preserve">9、在电梯年检之际，中标单位应为业主办好相关年检手续，并主动到相关部门申报年检； </w:t>
      </w:r>
    </w:p>
    <w:p w14:paraId="5AA55B80">
      <w:pPr>
        <w:snapToGrid w:val="0"/>
        <w:spacing w:line="440" w:lineRule="exact"/>
        <w:ind w:firstLine="480" w:firstLineChars="200"/>
        <w:rPr>
          <w:rFonts w:ascii="宋体" w:hAnsi="宋体" w:cs="宋体"/>
          <w:sz w:val="24"/>
        </w:rPr>
      </w:pPr>
      <w:r>
        <w:rPr>
          <w:rFonts w:hint="eastAsia" w:ascii="宋体" w:hAnsi="宋体" w:cs="宋体"/>
          <w:sz w:val="24"/>
        </w:rPr>
        <w:t xml:space="preserve">10、投标人在投标文件中应列出免费（300元以内为免费）与非免费更换电梯配件的名称和价格，以备中标后配件更换时由业主参照、监督； </w:t>
      </w:r>
    </w:p>
    <w:p w14:paraId="419B0EBA">
      <w:pPr>
        <w:snapToGrid w:val="0"/>
        <w:spacing w:line="440" w:lineRule="exact"/>
        <w:ind w:firstLine="480" w:firstLineChars="200"/>
        <w:rPr>
          <w:rFonts w:ascii="宋体" w:hAnsi="宋体" w:cs="宋体"/>
          <w:sz w:val="24"/>
        </w:rPr>
      </w:pPr>
      <w:r>
        <w:rPr>
          <w:rFonts w:hint="eastAsia" w:ascii="宋体" w:hAnsi="宋体" w:cs="宋体"/>
          <w:sz w:val="24"/>
        </w:rPr>
        <w:t xml:space="preserve">11、本次招标维保项目共计18台电梯； </w:t>
      </w:r>
    </w:p>
    <w:p w14:paraId="4074F2A2">
      <w:pPr>
        <w:snapToGrid w:val="0"/>
        <w:spacing w:line="440" w:lineRule="exact"/>
        <w:ind w:firstLine="480" w:firstLineChars="200"/>
        <w:rPr>
          <w:rFonts w:ascii="宋体" w:hAnsi="宋体" w:cs="宋体"/>
          <w:sz w:val="24"/>
        </w:rPr>
      </w:pPr>
      <w:r>
        <w:rPr>
          <w:rFonts w:hint="eastAsia" w:ascii="宋体" w:hAnsi="宋体" w:cs="宋体"/>
          <w:sz w:val="24"/>
        </w:rPr>
        <w:t xml:space="preserve">12、中标人须在保证电梯安全运行的前提下降低电梯维护保养成本； </w:t>
      </w:r>
    </w:p>
    <w:p w14:paraId="5E9A94D5">
      <w:pPr>
        <w:snapToGrid w:val="0"/>
        <w:spacing w:line="440" w:lineRule="exact"/>
        <w:ind w:firstLine="480" w:firstLineChars="200"/>
        <w:rPr>
          <w:rFonts w:ascii="宋体" w:hAnsi="宋体" w:cs="宋体"/>
          <w:sz w:val="24"/>
        </w:rPr>
      </w:pPr>
      <w:r>
        <w:rPr>
          <w:rFonts w:hint="eastAsia" w:ascii="宋体" w:hAnsi="宋体" w:cs="宋体"/>
          <w:sz w:val="24"/>
        </w:rPr>
        <w:t xml:space="preserve">13、日常维护保养应遵守的标准： </w:t>
      </w:r>
    </w:p>
    <w:p w14:paraId="2E80781D">
      <w:pPr>
        <w:snapToGrid w:val="0"/>
        <w:spacing w:line="440" w:lineRule="exact"/>
        <w:ind w:firstLine="480" w:firstLineChars="200"/>
        <w:rPr>
          <w:rFonts w:ascii="宋体" w:hAnsi="宋体" w:cs="宋体"/>
          <w:sz w:val="24"/>
        </w:rPr>
      </w:pPr>
      <w:r>
        <w:rPr>
          <w:rFonts w:hint="eastAsia" w:ascii="宋体" w:hAnsi="宋体" w:cs="宋体"/>
          <w:sz w:val="24"/>
        </w:rPr>
        <w:t xml:space="preserve">①电梯使用管理与维修保养规则TSG T5002-2017 </w:t>
      </w:r>
    </w:p>
    <w:p w14:paraId="70AE5FB9">
      <w:pPr>
        <w:snapToGrid w:val="0"/>
        <w:spacing w:line="440" w:lineRule="exact"/>
        <w:ind w:firstLine="480" w:firstLineChars="200"/>
        <w:rPr>
          <w:rFonts w:ascii="宋体" w:hAnsi="宋体" w:cs="宋体"/>
          <w:sz w:val="24"/>
        </w:rPr>
      </w:pPr>
      <w:r>
        <w:rPr>
          <w:rFonts w:hint="eastAsia" w:ascii="宋体" w:hAnsi="宋体" w:cs="宋体"/>
          <w:sz w:val="24"/>
        </w:rPr>
        <w:t xml:space="preserve">②电梯维修保养安全管理规范 </w:t>
      </w:r>
    </w:p>
    <w:p w14:paraId="25CD6878">
      <w:pPr>
        <w:snapToGrid w:val="0"/>
        <w:spacing w:line="440" w:lineRule="exact"/>
        <w:ind w:firstLine="480" w:firstLineChars="200"/>
        <w:rPr>
          <w:rFonts w:ascii="宋体" w:hAnsi="宋体" w:cs="宋体"/>
          <w:sz w:val="24"/>
        </w:rPr>
      </w:pPr>
      <w:r>
        <w:rPr>
          <w:rFonts w:hint="eastAsia" w:ascii="宋体" w:hAnsi="宋体" w:cs="宋体"/>
          <w:sz w:val="24"/>
        </w:rPr>
        <w:t xml:space="preserve">③电梯维修规范GB/T 18775-2002 </w:t>
      </w:r>
    </w:p>
    <w:p w14:paraId="7D0CDF8E">
      <w:pPr>
        <w:snapToGrid w:val="0"/>
        <w:spacing w:line="440" w:lineRule="exact"/>
        <w:ind w:firstLine="480" w:firstLineChars="200"/>
        <w:rPr>
          <w:rFonts w:ascii="宋体" w:hAnsi="宋体" w:cs="宋体"/>
          <w:sz w:val="24"/>
        </w:rPr>
      </w:pPr>
      <w:r>
        <w:rPr>
          <w:rFonts w:hint="eastAsia" w:ascii="宋体" w:hAnsi="宋体" w:cs="宋体"/>
          <w:sz w:val="24"/>
        </w:rPr>
        <w:t xml:space="preserve">④电梯安装使用维护说明书 </w:t>
      </w:r>
    </w:p>
    <w:p w14:paraId="54094491">
      <w:pPr>
        <w:snapToGrid w:val="0"/>
        <w:spacing w:line="440" w:lineRule="exact"/>
        <w:ind w:firstLine="480" w:firstLineChars="200"/>
        <w:rPr>
          <w:rFonts w:ascii="宋体" w:hAnsi="宋体" w:cs="宋体"/>
          <w:sz w:val="24"/>
        </w:rPr>
      </w:pPr>
      <w:r>
        <w:rPr>
          <w:rFonts w:hint="eastAsia" w:ascii="宋体" w:hAnsi="宋体" w:cs="宋体"/>
          <w:sz w:val="24"/>
        </w:rPr>
        <w:t xml:space="preserve">⑤维保合同 </w:t>
      </w:r>
    </w:p>
    <w:p w14:paraId="693DBA9C">
      <w:pPr>
        <w:snapToGrid w:val="0"/>
        <w:spacing w:line="440" w:lineRule="exact"/>
        <w:ind w:firstLine="480" w:firstLineChars="200"/>
        <w:rPr>
          <w:rFonts w:ascii="宋体" w:hAnsi="宋体" w:cs="宋体"/>
          <w:sz w:val="24"/>
        </w:rPr>
      </w:pPr>
      <w:r>
        <w:rPr>
          <w:rFonts w:hint="eastAsia" w:ascii="宋体" w:hAnsi="宋体" w:cs="宋体"/>
          <w:sz w:val="24"/>
        </w:rPr>
        <w:t xml:space="preserve">14、提供项目组成人员的姓名、通迅号码并提供他们有效的特种设备作业人员资格证书原件和复印件，作业时作业人员不得少于两人； </w:t>
      </w:r>
    </w:p>
    <w:p w14:paraId="37BC4071">
      <w:pPr>
        <w:snapToGrid w:val="0"/>
        <w:spacing w:line="440" w:lineRule="exact"/>
        <w:ind w:firstLine="480" w:firstLineChars="200"/>
        <w:rPr>
          <w:rFonts w:ascii="宋体" w:hAnsi="宋体" w:cs="宋体"/>
          <w:sz w:val="24"/>
        </w:rPr>
      </w:pPr>
      <w:r>
        <w:rPr>
          <w:rFonts w:hint="eastAsia" w:ascii="宋体" w:hAnsi="宋体" w:cs="宋体"/>
          <w:sz w:val="24"/>
        </w:rPr>
        <w:t xml:space="preserve">15、提供24小时的应急响应服务，且能在接到故障或事故报警后15分钟内到达现场，并能提供正常连续的服务直至故障或事故排除。对电梯困人事故要求在到达现场后10分钟内把乘客从轿厢中救出，常见故障1小时内排除； </w:t>
      </w:r>
    </w:p>
    <w:p w14:paraId="2F6C398E">
      <w:pPr>
        <w:snapToGrid w:val="0"/>
        <w:spacing w:line="440" w:lineRule="exact"/>
        <w:ind w:firstLine="480" w:firstLineChars="200"/>
        <w:rPr>
          <w:rFonts w:ascii="宋体" w:hAnsi="宋体" w:cs="宋体"/>
          <w:sz w:val="24"/>
        </w:rPr>
      </w:pPr>
      <w:r>
        <w:rPr>
          <w:rFonts w:hint="eastAsia" w:ascii="宋体" w:hAnsi="宋体" w:cs="宋体"/>
          <w:sz w:val="24"/>
        </w:rPr>
        <w:t xml:space="preserve">16、需针对本项目范围内的电梯品牌配件（含易损件）进行备购，缩短维修时间，更换下来的配件件应由交给招标人处理； </w:t>
      </w:r>
    </w:p>
    <w:p w14:paraId="7CC8E9B1">
      <w:pPr>
        <w:snapToGrid w:val="0"/>
        <w:spacing w:line="440" w:lineRule="exact"/>
        <w:ind w:firstLine="480" w:firstLineChars="200"/>
        <w:rPr>
          <w:rFonts w:ascii="宋体" w:hAnsi="宋体" w:cs="宋体"/>
          <w:sz w:val="24"/>
        </w:rPr>
      </w:pPr>
      <w:r>
        <w:rPr>
          <w:rFonts w:hint="eastAsia" w:ascii="宋体" w:hAnsi="宋体" w:cs="宋体"/>
          <w:sz w:val="24"/>
        </w:rPr>
        <w:t xml:space="preserve">17、在日常维护保养期届满时，须经法定定期检验并无因维护保养原因的不合格项目存在； </w:t>
      </w:r>
    </w:p>
    <w:p w14:paraId="70CCC4E9">
      <w:pPr>
        <w:snapToGrid w:val="0"/>
        <w:spacing w:line="440" w:lineRule="exact"/>
        <w:ind w:firstLine="480" w:firstLineChars="200"/>
        <w:rPr>
          <w:sz w:val="24"/>
        </w:rPr>
      </w:pPr>
      <w:r>
        <w:rPr>
          <w:rFonts w:hint="eastAsia" w:ascii="宋体" w:hAnsi="宋体" w:cs="宋体"/>
          <w:sz w:val="24"/>
        </w:rPr>
        <w:t>18、</w:t>
      </w:r>
      <w:r>
        <w:rPr>
          <w:rFonts w:hint="eastAsia"/>
          <w:sz w:val="24"/>
        </w:rPr>
        <w:t>中标单位须承担履行法定许可手续、检查、清洁、卫生、润滑、维修、定期保养、修理（不含重大维修、改造）更换300元以内的单个易损件，配合定期检验，参加紧急救援，指导培训用户安全使用等；</w:t>
      </w:r>
    </w:p>
    <w:p w14:paraId="163089D3">
      <w:pPr>
        <w:snapToGrid w:val="0"/>
        <w:spacing w:line="440" w:lineRule="exact"/>
        <w:ind w:firstLine="480" w:firstLineChars="200"/>
        <w:rPr>
          <w:sz w:val="24"/>
        </w:rPr>
      </w:pPr>
      <w:r>
        <w:rPr>
          <w:rFonts w:hint="eastAsia"/>
          <w:sz w:val="24"/>
        </w:rPr>
        <w:t>19、中标单位应当配合招标人建立基于电梯安全风险防控的动态管理机制，结合医院实际，落实自查要求，制定《电梯安全风险管控清单》，建立健全日管控、周排查、月调度工作制度和机制（具体要求详见国家市场监督管理总局令第74号令第七十六、第七十七和第七十八条）。</w:t>
      </w:r>
    </w:p>
    <w:p w14:paraId="4DFDB3F6">
      <w:pPr>
        <w:snapToGrid w:val="0"/>
        <w:spacing w:line="440" w:lineRule="exact"/>
        <w:ind w:firstLine="480" w:firstLineChars="200"/>
        <w:rPr>
          <w:sz w:val="24"/>
        </w:rPr>
      </w:pPr>
    </w:p>
    <w:p w14:paraId="70DFAFAD">
      <w:pPr>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二、电梯信息表</w:t>
      </w:r>
    </w:p>
    <w:tbl>
      <w:tblPr>
        <w:tblStyle w:val="51"/>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97"/>
        <w:gridCol w:w="1032"/>
        <w:gridCol w:w="1056"/>
        <w:gridCol w:w="1210"/>
        <w:gridCol w:w="1117"/>
        <w:gridCol w:w="1300"/>
        <w:gridCol w:w="1066"/>
      </w:tblGrid>
      <w:tr w14:paraId="195E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Align w:val="center"/>
          </w:tcPr>
          <w:p w14:paraId="7ED51459">
            <w:pPr>
              <w:jc w:val="center"/>
              <w:rPr>
                <w:rFonts w:ascii="宋体" w:hAnsi="宋体" w:cs="宋体"/>
                <w:b/>
                <w:bCs/>
                <w:sz w:val="24"/>
              </w:rPr>
            </w:pPr>
            <w:r>
              <w:rPr>
                <w:rFonts w:hint="eastAsia" w:ascii="宋体" w:hAnsi="宋体" w:cs="宋体"/>
                <w:b/>
                <w:bCs/>
                <w:sz w:val="24"/>
              </w:rPr>
              <w:t>电梯种类</w:t>
            </w:r>
          </w:p>
        </w:tc>
        <w:tc>
          <w:tcPr>
            <w:tcW w:w="1197" w:type="dxa"/>
            <w:vAlign w:val="center"/>
          </w:tcPr>
          <w:p w14:paraId="31FA05A3">
            <w:pPr>
              <w:jc w:val="center"/>
              <w:rPr>
                <w:rFonts w:ascii="宋体" w:hAnsi="宋体" w:cs="宋体"/>
                <w:b/>
                <w:bCs/>
                <w:sz w:val="24"/>
              </w:rPr>
            </w:pPr>
            <w:r>
              <w:rPr>
                <w:rFonts w:hint="eastAsia" w:ascii="宋体" w:hAnsi="宋体" w:cs="宋体"/>
                <w:b/>
                <w:bCs/>
                <w:sz w:val="24"/>
              </w:rPr>
              <w:t>电梯位置</w:t>
            </w:r>
          </w:p>
        </w:tc>
        <w:tc>
          <w:tcPr>
            <w:tcW w:w="2088" w:type="dxa"/>
            <w:gridSpan w:val="2"/>
            <w:vAlign w:val="center"/>
          </w:tcPr>
          <w:p w14:paraId="1CD6CC4C">
            <w:pPr>
              <w:jc w:val="center"/>
              <w:rPr>
                <w:rFonts w:ascii="宋体" w:hAnsi="宋体" w:cs="宋体"/>
                <w:b/>
                <w:bCs/>
                <w:sz w:val="24"/>
              </w:rPr>
            </w:pPr>
            <w:r>
              <w:rPr>
                <w:rFonts w:hint="eastAsia" w:ascii="宋体" w:hAnsi="宋体" w:cs="宋体"/>
                <w:b/>
                <w:bCs/>
                <w:sz w:val="24"/>
              </w:rPr>
              <w:t>主要规格</w:t>
            </w:r>
          </w:p>
        </w:tc>
        <w:tc>
          <w:tcPr>
            <w:tcW w:w="1210" w:type="dxa"/>
            <w:vAlign w:val="center"/>
          </w:tcPr>
          <w:p w14:paraId="2FEFAB5B">
            <w:pPr>
              <w:jc w:val="center"/>
              <w:rPr>
                <w:rFonts w:ascii="宋体" w:hAnsi="宋体" w:cs="宋体"/>
                <w:b/>
                <w:bCs/>
                <w:sz w:val="24"/>
              </w:rPr>
            </w:pPr>
            <w:r>
              <w:rPr>
                <w:rFonts w:hint="eastAsia" w:ascii="宋体" w:hAnsi="宋体" w:cs="宋体"/>
                <w:b/>
                <w:bCs/>
                <w:sz w:val="24"/>
              </w:rPr>
              <w:t>电梯载重</w:t>
            </w:r>
          </w:p>
        </w:tc>
        <w:tc>
          <w:tcPr>
            <w:tcW w:w="1117" w:type="dxa"/>
            <w:vAlign w:val="center"/>
          </w:tcPr>
          <w:p w14:paraId="5B764A7C">
            <w:pPr>
              <w:jc w:val="center"/>
              <w:rPr>
                <w:rFonts w:ascii="宋体" w:hAnsi="宋体" w:cs="宋体"/>
                <w:b/>
                <w:bCs/>
                <w:sz w:val="24"/>
              </w:rPr>
            </w:pPr>
            <w:r>
              <w:rPr>
                <w:rFonts w:hint="eastAsia" w:ascii="宋体" w:hAnsi="宋体" w:cs="宋体"/>
                <w:b/>
                <w:bCs/>
                <w:sz w:val="24"/>
              </w:rPr>
              <w:t>台数</w:t>
            </w:r>
          </w:p>
        </w:tc>
        <w:tc>
          <w:tcPr>
            <w:tcW w:w="1300" w:type="dxa"/>
            <w:vAlign w:val="center"/>
          </w:tcPr>
          <w:p w14:paraId="7CED3DF9">
            <w:pPr>
              <w:jc w:val="center"/>
              <w:rPr>
                <w:rFonts w:ascii="宋体" w:hAnsi="宋体" w:cs="宋体"/>
                <w:b/>
                <w:bCs/>
                <w:sz w:val="24"/>
              </w:rPr>
            </w:pPr>
            <w:r>
              <w:rPr>
                <w:rFonts w:hint="eastAsia" w:ascii="宋体" w:hAnsi="宋体" w:cs="宋体"/>
                <w:b/>
                <w:bCs/>
                <w:sz w:val="24"/>
              </w:rPr>
              <w:t>电梯品牌</w:t>
            </w:r>
          </w:p>
        </w:tc>
        <w:tc>
          <w:tcPr>
            <w:tcW w:w="1066" w:type="dxa"/>
            <w:vAlign w:val="center"/>
          </w:tcPr>
          <w:p w14:paraId="1FB39059">
            <w:pPr>
              <w:jc w:val="center"/>
              <w:rPr>
                <w:rFonts w:ascii="宋体" w:hAnsi="宋体" w:cs="宋体"/>
                <w:b/>
                <w:bCs/>
                <w:sz w:val="24"/>
              </w:rPr>
            </w:pPr>
            <w:r>
              <w:rPr>
                <w:rFonts w:hint="eastAsia" w:ascii="宋体" w:hAnsi="宋体" w:cs="宋体"/>
                <w:b/>
                <w:bCs/>
                <w:sz w:val="24"/>
              </w:rPr>
              <w:t>备注</w:t>
            </w:r>
          </w:p>
        </w:tc>
      </w:tr>
      <w:tr w14:paraId="52BE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restart"/>
            <w:vAlign w:val="center"/>
          </w:tcPr>
          <w:p w14:paraId="3B817308">
            <w:pPr>
              <w:rPr>
                <w:rFonts w:ascii="宋体" w:hAnsi="宋体" w:cs="宋体"/>
                <w:b/>
                <w:bCs/>
                <w:sz w:val="24"/>
              </w:rPr>
            </w:pPr>
            <w:r>
              <w:rPr>
                <w:rFonts w:hint="eastAsia" w:ascii="宋体" w:hAnsi="宋体" w:cs="宋体"/>
                <w:b/>
                <w:bCs/>
                <w:sz w:val="24"/>
              </w:rPr>
              <w:t>曳引驱动乘客电梯</w:t>
            </w:r>
          </w:p>
        </w:tc>
        <w:tc>
          <w:tcPr>
            <w:tcW w:w="1197" w:type="dxa"/>
            <w:vAlign w:val="center"/>
          </w:tcPr>
          <w:p w14:paraId="21D1342F">
            <w:pPr>
              <w:jc w:val="center"/>
              <w:rPr>
                <w:rFonts w:ascii="宋体" w:hAnsi="宋体" w:cs="宋体"/>
                <w:sz w:val="24"/>
              </w:rPr>
            </w:pPr>
            <w:r>
              <w:rPr>
                <w:rFonts w:hint="eastAsia" w:ascii="宋体" w:hAnsi="宋体" w:cs="宋体"/>
                <w:sz w:val="24"/>
              </w:rPr>
              <w:t>L1梯</w:t>
            </w:r>
          </w:p>
        </w:tc>
        <w:tc>
          <w:tcPr>
            <w:tcW w:w="1032" w:type="dxa"/>
            <w:vAlign w:val="center"/>
          </w:tcPr>
          <w:p w14:paraId="64912EBB">
            <w:pPr>
              <w:jc w:val="center"/>
              <w:rPr>
                <w:rFonts w:ascii="宋体" w:hAnsi="宋体" w:cs="宋体"/>
                <w:sz w:val="24"/>
              </w:rPr>
            </w:pPr>
            <w:r>
              <w:rPr>
                <w:rFonts w:hint="eastAsia" w:ascii="宋体" w:hAnsi="宋体" w:cs="宋体"/>
                <w:sz w:val="24"/>
              </w:rPr>
              <w:t>4层4站</w:t>
            </w:r>
          </w:p>
        </w:tc>
        <w:tc>
          <w:tcPr>
            <w:tcW w:w="1056" w:type="dxa"/>
            <w:vAlign w:val="center"/>
          </w:tcPr>
          <w:p w14:paraId="10BBB539">
            <w:pPr>
              <w:jc w:val="center"/>
              <w:rPr>
                <w:rFonts w:ascii="宋体" w:hAnsi="宋体" w:cs="宋体"/>
                <w:sz w:val="24"/>
              </w:rPr>
            </w:pPr>
            <w:r>
              <w:rPr>
                <w:rFonts w:hint="eastAsia" w:ascii="宋体" w:hAnsi="宋体" w:cs="宋体"/>
                <w:sz w:val="24"/>
              </w:rPr>
              <w:t>1.60m/s</w:t>
            </w:r>
          </w:p>
        </w:tc>
        <w:tc>
          <w:tcPr>
            <w:tcW w:w="1210" w:type="dxa"/>
            <w:vAlign w:val="center"/>
          </w:tcPr>
          <w:p w14:paraId="75E99B52">
            <w:pPr>
              <w:jc w:val="center"/>
              <w:rPr>
                <w:rFonts w:ascii="宋体" w:hAnsi="宋体" w:cs="宋体"/>
                <w:sz w:val="24"/>
              </w:rPr>
            </w:pPr>
            <w:r>
              <w:rPr>
                <w:rFonts w:hint="eastAsia" w:ascii="宋体" w:hAnsi="宋体" w:cs="宋体"/>
                <w:sz w:val="24"/>
              </w:rPr>
              <w:t>800kg</w:t>
            </w:r>
          </w:p>
        </w:tc>
        <w:tc>
          <w:tcPr>
            <w:tcW w:w="1117" w:type="dxa"/>
            <w:vAlign w:val="center"/>
          </w:tcPr>
          <w:p w14:paraId="307B375B">
            <w:pPr>
              <w:jc w:val="center"/>
              <w:rPr>
                <w:rFonts w:ascii="宋体" w:hAnsi="宋体" w:cs="宋体"/>
                <w:sz w:val="24"/>
              </w:rPr>
            </w:pPr>
            <w:r>
              <w:rPr>
                <w:rFonts w:hint="eastAsia" w:ascii="宋体" w:hAnsi="宋体" w:cs="宋体"/>
                <w:sz w:val="24"/>
              </w:rPr>
              <w:t>1台</w:t>
            </w:r>
          </w:p>
        </w:tc>
        <w:tc>
          <w:tcPr>
            <w:tcW w:w="1300" w:type="dxa"/>
            <w:vAlign w:val="center"/>
          </w:tcPr>
          <w:p w14:paraId="6A5A1BBA">
            <w:pPr>
              <w:jc w:val="center"/>
              <w:rPr>
                <w:rFonts w:ascii="宋体" w:hAnsi="宋体" w:cs="宋体"/>
                <w:sz w:val="24"/>
              </w:rPr>
            </w:pPr>
            <w:r>
              <w:rPr>
                <w:rFonts w:hint="eastAsia" w:ascii="宋体" w:hAnsi="宋体" w:cs="宋体"/>
                <w:sz w:val="24"/>
              </w:rPr>
              <w:t>TKE</w:t>
            </w:r>
          </w:p>
        </w:tc>
        <w:tc>
          <w:tcPr>
            <w:tcW w:w="1066" w:type="dxa"/>
            <w:vAlign w:val="center"/>
          </w:tcPr>
          <w:p w14:paraId="1FEA035C">
            <w:pPr>
              <w:jc w:val="center"/>
              <w:rPr>
                <w:rFonts w:ascii="宋体" w:hAnsi="宋体" w:cs="宋体"/>
                <w:sz w:val="24"/>
              </w:rPr>
            </w:pPr>
          </w:p>
        </w:tc>
      </w:tr>
      <w:tr w14:paraId="53DE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vAlign w:val="center"/>
          </w:tcPr>
          <w:p w14:paraId="0E118D84">
            <w:pPr>
              <w:rPr>
                <w:rFonts w:ascii="宋体" w:hAnsi="宋体" w:cs="宋体"/>
                <w:sz w:val="24"/>
              </w:rPr>
            </w:pPr>
          </w:p>
        </w:tc>
        <w:tc>
          <w:tcPr>
            <w:tcW w:w="1197" w:type="dxa"/>
            <w:vAlign w:val="center"/>
          </w:tcPr>
          <w:p w14:paraId="5C118FDE">
            <w:pPr>
              <w:jc w:val="center"/>
              <w:rPr>
                <w:rFonts w:ascii="宋体" w:hAnsi="宋体" w:cs="宋体"/>
                <w:sz w:val="24"/>
              </w:rPr>
            </w:pPr>
            <w:r>
              <w:rPr>
                <w:rFonts w:hint="eastAsia" w:ascii="宋体" w:hAnsi="宋体" w:cs="宋体"/>
                <w:sz w:val="24"/>
              </w:rPr>
              <w:t>L2梯</w:t>
            </w:r>
          </w:p>
        </w:tc>
        <w:tc>
          <w:tcPr>
            <w:tcW w:w="1032" w:type="dxa"/>
            <w:vAlign w:val="center"/>
          </w:tcPr>
          <w:p w14:paraId="51763543">
            <w:pPr>
              <w:jc w:val="center"/>
              <w:rPr>
                <w:rFonts w:ascii="宋体" w:hAnsi="宋体" w:cs="宋体"/>
                <w:sz w:val="24"/>
              </w:rPr>
            </w:pPr>
            <w:r>
              <w:rPr>
                <w:rFonts w:hint="eastAsia" w:ascii="宋体" w:hAnsi="宋体" w:cs="宋体"/>
                <w:sz w:val="24"/>
              </w:rPr>
              <w:t>4层4站</w:t>
            </w:r>
          </w:p>
        </w:tc>
        <w:tc>
          <w:tcPr>
            <w:tcW w:w="1056" w:type="dxa"/>
            <w:vAlign w:val="center"/>
          </w:tcPr>
          <w:p w14:paraId="645594C4">
            <w:pPr>
              <w:jc w:val="center"/>
              <w:rPr>
                <w:rFonts w:ascii="宋体" w:hAnsi="宋体" w:cs="宋体"/>
                <w:sz w:val="24"/>
              </w:rPr>
            </w:pPr>
            <w:r>
              <w:rPr>
                <w:rFonts w:hint="eastAsia" w:ascii="宋体" w:hAnsi="宋体" w:cs="宋体"/>
                <w:sz w:val="24"/>
              </w:rPr>
              <w:t>1.60m/s</w:t>
            </w:r>
          </w:p>
        </w:tc>
        <w:tc>
          <w:tcPr>
            <w:tcW w:w="1210" w:type="dxa"/>
            <w:vAlign w:val="center"/>
          </w:tcPr>
          <w:p w14:paraId="0DD3C3D9">
            <w:pPr>
              <w:jc w:val="center"/>
              <w:rPr>
                <w:rFonts w:ascii="宋体" w:hAnsi="宋体" w:cs="宋体"/>
                <w:sz w:val="24"/>
              </w:rPr>
            </w:pPr>
            <w:r>
              <w:rPr>
                <w:rFonts w:hint="eastAsia" w:ascii="宋体" w:hAnsi="宋体" w:cs="宋体"/>
                <w:sz w:val="24"/>
              </w:rPr>
              <w:t>1600kg</w:t>
            </w:r>
          </w:p>
        </w:tc>
        <w:tc>
          <w:tcPr>
            <w:tcW w:w="1117" w:type="dxa"/>
            <w:vAlign w:val="center"/>
          </w:tcPr>
          <w:p w14:paraId="7668D4B8">
            <w:pPr>
              <w:jc w:val="center"/>
              <w:rPr>
                <w:rFonts w:ascii="宋体" w:hAnsi="宋体" w:cs="宋体"/>
                <w:sz w:val="24"/>
              </w:rPr>
            </w:pPr>
            <w:r>
              <w:rPr>
                <w:rFonts w:hint="eastAsia" w:ascii="宋体" w:hAnsi="宋体" w:cs="宋体"/>
                <w:sz w:val="24"/>
              </w:rPr>
              <w:t>1台</w:t>
            </w:r>
          </w:p>
        </w:tc>
        <w:tc>
          <w:tcPr>
            <w:tcW w:w="1300" w:type="dxa"/>
            <w:vAlign w:val="center"/>
          </w:tcPr>
          <w:p w14:paraId="29C63426">
            <w:pPr>
              <w:jc w:val="center"/>
              <w:rPr>
                <w:rFonts w:ascii="宋体" w:hAnsi="宋体" w:cs="宋体"/>
                <w:sz w:val="24"/>
              </w:rPr>
            </w:pPr>
            <w:r>
              <w:rPr>
                <w:rFonts w:hint="eastAsia" w:ascii="宋体" w:hAnsi="宋体" w:cs="宋体"/>
                <w:sz w:val="24"/>
              </w:rPr>
              <w:t>TKE</w:t>
            </w:r>
          </w:p>
        </w:tc>
        <w:tc>
          <w:tcPr>
            <w:tcW w:w="1066" w:type="dxa"/>
            <w:vAlign w:val="center"/>
          </w:tcPr>
          <w:p w14:paraId="5FD95DA7">
            <w:pPr>
              <w:jc w:val="center"/>
              <w:rPr>
                <w:rFonts w:ascii="宋体" w:hAnsi="宋体" w:cs="宋体"/>
                <w:sz w:val="24"/>
              </w:rPr>
            </w:pPr>
          </w:p>
        </w:tc>
      </w:tr>
      <w:tr w14:paraId="7B30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vAlign w:val="center"/>
          </w:tcPr>
          <w:p w14:paraId="56B72676">
            <w:pPr>
              <w:rPr>
                <w:rFonts w:ascii="宋体" w:hAnsi="宋体" w:cs="宋体"/>
                <w:sz w:val="24"/>
              </w:rPr>
            </w:pPr>
          </w:p>
        </w:tc>
        <w:tc>
          <w:tcPr>
            <w:tcW w:w="1197" w:type="dxa"/>
            <w:vAlign w:val="center"/>
          </w:tcPr>
          <w:p w14:paraId="03525AF2">
            <w:pPr>
              <w:jc w:val="center"/>
              <w:rPr>
                <w:rFonts w:ascii="宋体" w:hAnsi="宋体" w:cs="宋体"/>
                <w:sz w:val="24"/>
              </w:rPr>
            </w:pPr>
            <w:r>
              <w:rPr>
                <w:rFonts w:hint="eastAsia" w:ascii="宋体" w:hAnsi="宋体" w:cs="宋体"/>
                <w:sz w:val="24"/>
              </w:rPr>
              <w:t>L3梯</w:t>
            </w:r>
          </w:p>
        </w:tc>
        <w:tc>
          <w:tcPr>
            <w:tcW w:w="1032" w:type="dxa"/>
            <w:vAlign w:val="center"/>
          </w:tcPr>
          <w:p w14:paraId="0B755ED4">
            <w:pPr>
              <w:jc w:val="center"/>
              <w:rPr>
                <w:rFonts w:ascii="宋体" w:hAnsi="宋体" w:cs="宋体"/>
                <w:sz w:val="24"/>
              </w:rPr>
            </w:pPr>
            <w:r>
              <w:rPr>
                <w:rFonts w:hint="eastAsia" w:ascii="宋体" w:hAnsi="宋体" w:cs="宋体"/>
                <w:sz w:val="24"/>
              </w:rPr>
              <w:t>4层4站</w:t>
            </w:r>
          </w:p>
        </w:tc>
        <w:tc>
          <w:tcPr>
            <w:tcW w:w="1056" w:type="dxa"/>
            <w:vAlign w:val="center"/>
          </w:tcPr>
          <w:p w14:paraId="7C310C06">
            <w:pPr>
              <w:jc w:val="center"/>
              <w:rPr>
                <w:rFonts w:ascii="宋体" w:hAnsi="宋体" w:cs="宋体"/>
                <w:sz w:val="24"/>
              </w:rPr>
            </w:pPr>
            <w:r>
              <w:rPr>
                <w:rFonts w:hint="eastAsia" w:ascii="宋体" w:hAnsi="宋体" w:cs="宋体"/>
                <w:sz w:val="24"/>
              </w:rPr>
              <w:t>1.60m/s</w:t>
            </w:r>
          </w:p>
        </w:tc>
        <w:tc>
          <w:tcPr>
            <w:tcW w:w="1210" w:type="dxa"/>
            <w:vAlign w:val="center"/>
          </w:tcPr>
          <w:p w14:paraId="4B736804">
            <w:pPr>
              <w:jc w:val="center"/>
              <w:rPr>
                <w:rFonts w:ascii="宋体" w:hAnsi="宋体" w:cs="宋体"/>
                <w:sz w:val="24"/>
              </w:rPr>
            </w:pPr>
            <w:r>
              <w:rPr>
                <w:rFonts w:hint="eastAsia" w:ascii="宋体" w:hAnsi="宋体" w:cs="宋体"/>
                <w:sz w:val="24"/>
              </w:rPr>
              <w:t>1600kg</w:t>
            </w:r>
          </w:p>
        </w:tc>
        <w:tc>
          <w:tcPr>
            <w:tcW w:w="1117" w:type="dxa"/>
            <w:vAlign w:val="center"/>
          </w:tcPr>
          <w:p w14:paraId="1FE2F86B">
            <w:pPr>
              <w:jc w:val="center"/>
              <w:rPr>
                <w:rFonts w:ascii="宋体" w:hAnsi="宋体" w:cs="宋体"/>
                <w:sz w:val="24"/>
              </w:rPr>
            </w:pPr>
            <w:r>
              <w:rPr>
                <w:rFonts w:hint="eastAsia" w:ascii="宋体" w:hAnsi="宋体" w:cs="宋体"/>
                <w:sz w:val="24"/>
              </w:rPr>
              <w:t>1台</w:t>
            </w:r>
          </w:p>
        </w:tc>
        <w:tc>
          <w:tcPr>
            <w:tcW w:w="1300" w:type="dxa"/>
            <w:vAlign w:val="center"/>
          </w:tcPr>
          <w:p w14:paraId="7276D24C">
            <w:pPr>
              <w:jc w:val="center"/>
              <w:rPr>
                <w:rFonts w:ascii="宋体" w:hAnsi="宋体" w:cs="宋体"/>
                <w:sz w:val="24"/>
              </w:rPr>
            </w:pPr>
            <w:r>
              <w:rPr>
                <w:rFonts w:hint="eastAsia" w:ascii="宋体" w:hAnsi="宋体" w:cs="宋体"/>
                <w:sz w:val="24"/>
              </w:rPr>
              <w:t>TKE</w:t>
            </w:r>
          </w:p>
        </w:tc>
        <w:tc>
          <w:tcPr>
            <w:tcW w:w="1066" w:type="dxa"/>
            <w:vAlign w:val="center"/>
          </w:tcPr>
          <w:p w14:paraId="29EDE933">
            <w:pPr>
              <w:jc w:val="center"/>
              <w:rPr>
                <w:rFonts w:ascii="宋体" w:hAnsi="宋体" w:cs="宋体"/>
                <w:sz w:val="24"/>
              </w:rPr>
            </w:pPr>
          </w:p>
        </w:tc>
      </w:tr>
      <w:tr w14:paraId="0673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vAlign w:val="center"/>
          </w:tcPr>
          <w:p w14:paraId="58790FA1">
            <w:pPr>
              <w:rPr>
                <w:rFonts w:ascii="宋体" w:hAnsi="宋体" w:cs="宋体"/>
                <w:sz w:val="24"/>
              </w:rPr>
            </w:pPr>
          </w:p>
        </w:tc>
        <w:tc>
          <w:tcPr>
            <w:tcW w:w="1197" w:type="dxa"/>
            <w:vAlign w:val="center"/>
          </w:tcPr>
          <w:p w14:paraId="28828C80">
            <w:pPr>
              <w:jc w:val="center"/>
              <w:rPr>
                <w:rFonts w:ascii="宋体" w:hAnsi="宋体" w:cs="宋体"/>
                <w:sz w:val="24"/>
              </w:rPr>
            </w:pPr>
            <w:r>
              <w:rPr>
                <w:rFonts w:hint="eastAsia" w:ascii="宋体" w:hAnsi="宋体" w:cs="宋体"/>
                <w:sz w:val="24"/>
              </w:rPr>
              <w:t>L4梯</w:t>
            </w:r>
          </w:p>
        </w:tc>
        <w:tc>
          <w:tcPr>
            <w:tcW w:w="1032" w:type="dxa"/>
            <w:vAlign w:val="center"/>
          </w:tcPr>
          <w:p w14:paraId="6EC497EE">
            <w:pPr>
              <w:jc w:val="center"/>
              <w:rPr>
                <w:rFonts w:ascii="宋体" w:hAnsi="宋体" w:cs="宋体"/>
                <w:sz w:val="24"/>
              </w:rPr>
            </w:pPr>
            <w:r>
              <w:rPr>
                <w:rFonts w:hint="eastAsia" w:ascii="宋体" w:hAnsi="宋体" w:cs="宋体"/>
                <w:sz w:val="24"/>
              </w:rPr>
              <w:t>7层7站</w:t>
            </w:r>
          </w:p>
        </w:tc>
        <w:tc>
          <w:tcPr>
            <w:tcW w:w="1056" w:type="dxa"/>
            <w:vAlign w:val="center"/>
          </w:tcPr>
          <w:p w14:paraId="574C47A4">
            <w:pPr>
              <w:jc w:val="center"/>
              <w:rPr>
                <w:rFonts w:ascii="宋体" w:hAnsi="宋体" w:cs="宋体"/>
                <w:sz w:val="24"/>
              </w:rPr>
            </w:pPr>
            <w:r>
              <w:rPr>
                <w:rFonts w:hint="eastAsia" w:ascii="宋体" w:hAnsi="宋体" w:cs="宋体"/>
                <w:sz w:val="24"/>
              </w:rPr>
              <w:t>1.60m/s</w:t>
            </w:r>
          </w:p>
        </w:tc>
        <w:tc>
          <w:tcPr>
            <w:tcW w:w="1210" w:type="dxa"/>
            <w:vAlign w:val="center"/>
          </w:tcPr>
          <w:p w14:paraId="542FB0C9">
            <w:pPr>
              <w:jc w:val="center"/>
              <w:rPr>
                <w:rFonts w:ascii="宋体" w:hAnsi="宋体" w:cs="宋体"/>
                <w:sz w:val="24"/>
              </w:rPr>
            </w:pPr>
            <w:r>
              <w:rPr>
                <w:rFonts w:hint="eastAsia" w:ascii="宋体" w:hAnsi="宋体" w:cs="宋体"/>
                <w:sz w:val="24"/>
              </w:rPr>
              <w:t>1600kg</w:t>
            </w:r>
          </w:p>
        </w:tc>
        <w:tc>
          <w:tcPr>
            <w:tcW w:w="1117" w:type="dxa"/>
            <w:vAlign w:val="center"/>
          </w:tcPr>
          <w:p w14:paraId="692E6F3E">
            <w:pPr>
              <w:jc w:val="center"/>
              <w:rPr>
                <w:rFonts w:ascii="宋体" w:hAnsi="宋体" w:cs="宋体"/>
                <w:sz w:val="24"/>
              </w:rPr>
            </w:pPr>
            <w:r>
              <w:rPr>
                <w:rFonts w:hint="eastAsia" w:ascii="宋体" w:hAnsi="宋体" w:cs="宋体"/>
                <w:sz w:val="24"/>
              </w:rPr>
              <w:t>1台</w:t>
            </w:r>
          </w:p>
        </w:tc>
        <w:tc>
          <w:tcPr>
            <w:tcW w:w="1300" w:type="dxa"/>
            <w:vAlign w:val="center"/>
          </w:tcPr>
          <w:p w14:paraId="38E76C7D">
            <w:pPr>
              <w:jc w:val="center"/>
              <w:rPr>
                <w:rFonts w:ascii="宋体" w:hAnsi="宋体" w:cs="宋体"/>
                <w:sz w:val="24"/>
              </w:rPr>
            </w:pPr>
            <w:r>
              <w:rPr>
                <w:rFonts w:hint="eastAsia" w:ascii="宋体" w:hAnsi="宋体" w:cs="宋体"/>
                <w:sz w:val="24"/>
              </w:rPr>
              <w:t>TKE</w:t>
            </w:r>
          </w:p>
        </w:tc>
        <w:tc>
          <w:tcPr>
            <w:tcW w:w="1066" w:type="dxa"/>
            <w:vAlign w:val="center"/>
          </w:tcPr>
          <w:p w14:paraId="58F5DFAF">
            <w:pPr>
              <w:jc w:val="center"/>
              <w:rPr>
                <w:rFonts w:ascii="宋体" w:hAnsi="宋体" w:cs="宋体"/>
                <w:sz w:val="24"/>
              </w:rPr>
            </w:pPr>
          </w:p>
        </w:tc>
      </w:tr>
      <w:tr w14:paraId="3D4F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vAlign w:val="center"/>
          </w:tcPr>
          <w:p w14:paraId="35BD09CC">
            <w:pPr>
              <w:rPr>
                <w:rFonts w:ascii="宋体" w:hAnsi="宋体" w:cs="宋体"/>
                <w:sz w:val="24"/>
              </w:rPr>
            </w:pPr>
          </w:p>
        </w:tc>
        <w:tc>
          <w:tcPr>
            <w:tcW w:w="1197" w:type="dxa"/>
            <w:vAlign w:val="center"/>
          </w:tcPr>
          <w:p w14:paraId="4E571295">
            <w:pPr>
              <w:jc w:val="center"/>
              <w:rPr>
                <w:rFonts w:ascii="宋体" w:hAnsi="宋体" w:cs="宋体"/>
                <w:sz w:val="24"/>
              </w:rPr>
            </w:pPr>
            <w:r>
              <w:rPr>
                <w:rFonts w:hint="eastAsia" w:ascii="宋体" w:hAnsi="宋体" w:cs="宋体"/>
                <w:sz w:val="24"/>
              </w:rPr>
              <w:t>L5梯</w:t>
            </w:r>
          </w:p>
        </w:tc>
        <w:tc>
          <w:tcPr>
            <w:tcW w:w="1032" w:type="dxa"/>
            <w:vAlign w:val="center"/>
          </w:tcPr>
          <w:p w14:paraId="08B95395">
            <w:pPr>
              <w:jc w:val="center"/>
              <w:rPr>
                <w:rFonts w:ascii="宋体" w:hAnsi="宋体" w:cs="宋体"/>
                <w:sz w:val="24"/>
              </w:rPr>
            </w:pPr>
            <w:r>
              <w:rPr>
                <w:rFonts w:hint="eastAsia" w:ascii="宋体" w:hAnsi="宋体" w:cs="宋体"/>
                <w:sz w:val="24"/>
              </w:rPr>
              <w:t>7层7站</w:t>
            </w:r>
          </w:p>
        </w:tc>
        <w:tc>
          <w:tcPr>
            <w:tcW w:w="1056" w:type="dxa"/>
            <w:vAlign w:val="center"/>
          </w:tcPr>
          <w:p w14:paraId="5D4661CB">
            <w:pPr>
              <w:jc w:val="center"/>
              <w:rPr>
                <w:rFonts w:ascii="宋体" w:hAnsi="宋体" w:cs="宋体"/>
                <w:sz w:val="24"/>
              </w:rPr>
            </w:pPr>
            <w:r>
              <w:rPr>
                <w:rFonts w:hint="eastAsia" w:ascii="宋体" w:hAnsi="宋体" w:cs="宋体"/>
                <w:sz w:val="24"/>
              </w:rPr>
              <w:t>1.60m/s</w:t>
            </w:r>
          </w:p>
        </w:tc>
        <w:tc>
          <w:tcPr>
            <w:tcW w:w="1210" w:type="dxa"/>
            <w:vAlign w:val="center"/>
          </w:tcPr>
          <w:p w14:paraId="620921DA">
            <w:pPr>
              <w:jc w:val="center"/>
              <w:rPr>
                <w:rFonts w:ascii="宋体" w:hAnsi="宋体" w:cs="宋体"/>
                <w:sz w:val="24"/>
              </w:rPr>
            </w:pPr>
            <w:r>
              <w:rPr>
                <w:rFonts w:hint="eastAsia" w:ascii="宋体" w:hAnsi="宋体" w:cs="宋体"/>
                <w:sz w:val="24"/>
              </w:rPr>
              <w:t>1600kg</w:t>
            </w:r>
          </w:p>
        </w:tc>
        <w:tc>
          <w:tcPr>
            <w:tcW w:w="1117" w:type="dxa"/>
            <w:vAlign w:val="center"/>
          </w:tcPr>
          <w:p w14:paraId="4A57FB4A">
            <w:pPr>
              <w:jc w:val="center"/>
              <w:rPr>
                <w:rFonts w:ascii="宋体" w:hAnsi="宋体" w:cs="宋体"/>
                <w:sz w:val="24"/>
              </w:rPr>
            </w:pPr>
            <w:r>
              <w:rPr>
                <w:rFonts w:hint="eastAsia" w:ascii="宋体" w:hAnsi="宋体" w:cs="宋体"/>
                <w:sz w:val="24"/>
              </w:rPr>
              <w:t>1台</w:t>
            </w:r>
          </w:p>
        </w:tc>
        <w:tc>
          <w:tcPr>
            <w:tcW w:w="1300" w:type="dxa"/>
            <w:vAlign w:val="center"/>
          </w:tcPr>
          <w:p w14:paraId="7CE5B3B5">
            <w:pPr>
              <w:jc w:val="center"/>
              <w:rPr>
                <w:rFonts w:ascii="宋体" w:hAnsi="宋体" w:cs="宋体"/>
                <w:sz w:val="24"/>
              </w:rPr>
            </w:pPr>
            <w:r>
              <w:rPr>
                <w:rFonts w:hint="eastAsia" w:ascii="宋体" w:hAnsi="宋体" w:cs="宋体"/>
                <w:sz w:val="24"/>
              </w:rPr>
              <w:t>TKE</w:t>
            </w:r>
          </w:p>
        </w:tc>
        <w:tc>
          <w:tcPr>
            <w:tcW w:w="1066" w:type="dxa"/>
            <w:vAlign w:val="center"/>
          </w:tcPr>
          <w:p w14:paraId="7F22F5C6">
            <w:pPr>
              <w:jc w:val="center"/>
              <w:rPr>
                <w:rFonts w:ascii="宋体" w:hAnsi="宋体" w:cs="宋体"/>
                <w:sz w:val="24"/>
              </w:rPr>
            </w:pPr>
          </w:p>
        </w:tc>
      </w:tr>
      <w:tr w14:paraId="144D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vAlign w:val="center"/>
          </w:tcPr>
          <w:p w14:paraId="2E6D1864">
            <w:pPr>
              <w:rPr>
                <w:rFonts w:ascii="宋体" w:hAnsi="宋体" w:cs="宋体"/>
                <w:sz w:val="24"/>
              </w:rPr>
            </w:pPr>
          </w:p>
        </w:tc>
        <w:tc>
          <w:tcPr>
            <w:tcW w:w="1197" w:type="dxa"/>
            <w:vAlign w:val="center"/>
          </w:tcPr>
          <w:p w14:paraId="6C5DCE7E">
            <w:pPr>
              <w:jc w:val="center"/>
              <w:rPr>
                <w:rFonts w:ascii="宋体" w:hAnsi="宋体" w:cs="宋体"/>
                <w:sz w:val="24"/>
              </w:rPr>
            </w:pPr>
            <w:r>
              <w:rPr>
                <w:rFonts w:hint="eastAsia" w:ascii="宋体" w:hAnsi="宋体" w:cs="宋体"/>
                <w:sz w:val="24"/>
              </w:rPr>
              <w:t>L6梯</w:t>
            </w:r>
          </w:p>
        </w:tc>
        <w:tc>
          <w:tcPr>
            <w:tcW w:w="1032" w:type="dxa"/>
            <w:vAlign w:val="center"/>
          </w:tcPr>
          <w:p w14:paraId="141B5637">
            <w:pPr>
              <w:jc w:val="center"/>
              <w:rPr>
                <w:rFonts w:ascii="宋体" w:hAnsi="宋体" w:cs="宋体"/>
                <w:sz w:val="24"/>
              </w:rPr>
            </w:pPr>
            <w:r>
              <w:rPr>
                <w:rFonts w:hint="eastAsia" w:ascii="宋体" w:hAnsi="宋体" w:cs="宋体"/>
                <w:sz w:val="24"/>
              </w:rPr>
              <w:t>6层6站</w:t>
            </w:r>
          </w:p>
        </w:tc>
        <w:tc>
          <w:tcPr>
            <w:tcW w:w="1056" w:type="dxa"/>
            <w:vAlign w:val="center"/>
          </w:tcPr>
          <w:p w14:paraId="4A18FF96">
            <w:pPr>
              <w:jc w:val="center"/>
              <w:rPr>
                <w:rFonts w:ascii="宋体" w:hAnsi="宋体" w:cs="宋体"/>
                <w:sz w:val="24"/>
              </w:rPr>
            </w:pPr>
            <w:r>
              <w:rPr>
                <w:rFonts w:hint="eastAsia" w:ascii="宋体" w:hAnsi="宋体" w:cs="宋体"/>
                <w:sz w:val="24"/>
              </w:rPr>
              <w:t>1.60m/s</w:t>
            </w:r>
          </w:p>
        </w:tc>
        <w:tc>
          <w:tcPr>
            <w:tcW w:w="1210" w:type="dxa"/>
            <w:vAlign w:val="center"/>
          </w:tcPr>
          <w:p w14:paraId="2B9664AA">
            <w:pPr>
              <w:jc w:val="center"/>
              <w:rPr>
                <w:rFonts w:ascii="宋体" w:hAnsi="宋体" w:cs="宋体"/>
                <w:sz w:val="24"/>
              </w:rPr>
            </w:pPr>
            <w:r>
              <w:rPr>
                <w:rFonts w:hint="eastAsia" w:ascii="宋体" w:hAnsi="宋体" w:cs="宋体"/>
                <w:sz w:val="24"/>
              </w:rPr>
              <w:t>1600kg</w:t>
            </w:r>
          </w:p>
        </w:tc>
        <w:tc>
          <w:tcPr>
            <w:tcW w:w="1117" w:type="dxa"/>
            <w:vAlign w:val="center"/>
          </w:tcPr>
          <w:p w14:paraId="3ADE8F4F">
            <w:pPr>
              <w:jc w:val="center"/>
              <w:rPr>
                <w:rFonts w:ascii="宋体" w:hAnsi="宋体" w:cs="宋体"/>
                <w:sz w:val="24"/>
              </w:rPr>
            </w:pPr>
            <w:r>
              <w:rPr>
                <w:rFonts w:hint="eastAsia" w:ascii="宋体" w:hAnsi="宋体" w:cs="宋体"/>
                <w:sz w:val="24"/>
              </w:rPr>
              <w:t>1台</w:t>
            </w:r>
          </w:p>
        </w:tc>
        <w:tc>
          <w:tcPr>
            <w:tcW w:w="1300" w:type="dxa"/>
            <w:vAlign w:val="center"/>
          </w:tcPr>
          <w:p w14:paraId="7E26FD02">
            <w:pPr>
              <w:jc w:val="center"/>
              <w:rPr>
                <w:rFonts w:ascii="宋体" w:hAnsi="宋体" w:cs="宋体"/>
                <w:sz w:val="24"/>
              </w:rPr>
            </w:pPr>
            <w:r>
              <w:rPr>
                <w:rFonts w:hint="eastAsia" w:ascii="宋体" w:hAnsi="宋体" w:cs="宋体"/>
                <w:sz w:val="24"/>
              </w:rPr>
              <w:t>TKE</w:t>
            </w:r>
          </w:p>
        </w:tc>
        <w:tc>
          <w:tcPr>
            <w:tcW w:w="1066" w:type="dxa"/>
            <w:vAlign w:val="center"/>
          </w:tcPr>
          <w:p w14:paraId="69C7D9E6">
            <w:pPr>
              <w:jc w:val="center"/>
              <w:rPr>
                <w:rFonts w:ascii="宋体" w:hAnsi="宋体" w:cs="宋体"/>
                <w:sz w:val="24"/>
              </w:rPr>
            </w:pPr>
          </w:p>
        </w:tc>
      </w:tr>
      <w:tr w14:paraId="7064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vAlign w:val="center"/>
          </w:tcPr>
          <w:p w14:paraId="794CB150">
            <w:pPr>
              <w:rPr>
                <w:rFonts w:ascii="宋体" w:hAnsi="宋体" w:cs="宋体"/>
                <w:sz w:val="24"/>
              </w:rPr>
            </w:pPr>
          </w:p>
        </w:tc>
        <w:tc>
          <w:tcPr>
            <w:tcW w:w="1197" w:type="dxa"/>
            <w:vAlign w:val="center"/>
          </w:tcPr>
          <w:p w14:paraId="582C81B8">
            <w:pPr>
              <w:jc w:val="center"/>
              <w:rPr>
                <w:rFonts w:ascii="宋体" w:hAnsi="宋体" w:cs="宋体"/>
                <w:sz w:val="24"/>
              </w:rPr>
            </w:pPr>
            <w:r>
              <w:rPr>
                <w:rFonts w:hint="eastAsia" w:ascii="宋体" w:hAnsi="宋体" w:cs="宋体"/>
                <w:sz w:val="24"/>
              </w:rPr>
              <w:t>L7梯</w:t>
            </w:r>
          </w:p>
        </w:tc>
        <w:tc>
          <w:tcPr>
            <w:tcW w:w="1032" w:type="dxa"/>
            <w:vAlign w:val="center"/>
          </w:tcPr>
          <w:p w14:paraId="2D33FB67">
            <w:pPr>
              <w:jc w:val="center"/>
              <w:rPr>
                <w:rFonts w:ascii="宋体" w:hAnsi="宋体" w:cs="宋体"/>
                <w:sz w:val="24"/>
              </w:rPr>
            </w:pPr>
            <w:r>
              <w:rPr>
                <w:rFonts w:hint="eastAsia" w:ascii="宋体" w:hAnsi="宋体" w:cs="宋体"/>
                <w:sz w:val="24"/>
              </w:rPr>
              <w:t>10层10站</w:t>
            </w:r>
          </w:p>
        </w:tc>
        <w:tc>
          <w:tcPr>
            <w:tcW w:w="1056" w:type="dxa"/>
            <w:vAlign w:val="center"/>
          </w:tcPr>
          <w:p w14:paraId="30805B20">
            <w:pPr>
              <w:jc w:val="center"/>
              <w:rPr>
                <w:rFonts w:ascii="宋体" w:hAnsi="宋体" w:cs="宋体"/>
                <w:sz w:val="24"/>
              </w:rPr>
            </w:pPr>
            <w:r>
              <w:rPr>
                <w:rFonts w:hint="eastAsia" w:ascii="宋体" w:hAnsi="宋体" w:cs="宋体"/>
                <w:sz w:val="24"/>
              </w:rPr>
              <w:t>1.60m/s</w:t>
            </w:r>
          </w:p>
        </w:tc>
        <w:tc>
          <w:tcPr>
            <w:tcW w:w="1210" w:type="dxa"/>
            <w:vAlign w:val="center"/>
          </w:tcPr>
          <w:p w14:paraId="5D0B15B4">
            <w:pPr>
              <w:jc w:val="center"/>
              <w:rPr>
                <w:rFonts w:ascii="宋体" w:hAnsi="宋体" w:cs="宋体"/>
                <w:sz w:val="24"/>
              </w:rPr>
            </w:pPr>
            <w:r>
              <w:rPr>
                <w:rFonts w:hint="eastAsia" w:ascii="宋体" w:hAnsi="宋体" w:cs="宋体"/>
                <w:sz w:val="24"/>
              </w:rPr>
              <w:t>1600kg</w:t>
            </w:r>
          </w:p>
        </w:tc>
        <w:tc>
          <w:tcPr>
            <w:tcW w:w="1117" w:type="dxa"/>
            <w:vAlign w:val="center"/>
          </w:tcPr>
          <w:p w14:paraId="7E4F07A7">
            <w:pPr>
              <w:jc w:val="center"/>
              <w:rPr>
                <w:rFonts w:ascii="宋体" w:hAnsi="宋体" w:cs="宋体"/>
                <w:sz w:val="24"/>
              </w:rPr>
            </w:pPr>
            <w:r>
              <w:rPr>
                <w:rFonts w:hint="eastAsia" w:ascii="宋体" w:hAnsi="宋体" w:cs="宋体"/>
                <w:sz w:val="24"/>
              </w:rPr>
              <w:t>1台</w:t>
            </w:r>
          </w:p>
        </w:tc>
        <w:tc>
          <w:tcPr>
            <w:tcW w:w="1300" w:type="dxa"/>
            <w:vAlign w:val="center"/>
          </w:tcPr>
          <w:p w14:paraId="4126E337">
            <w:pPr>
              <w:jc w:val="center"/>
              <w:rPr>
                <w:rFonts w:ascii="宋体" w:hAnsi="宋体" w:cs="宋体"/>
                <w:sz w:val="24"/>
              </w:rPr>
            </w:pPr>
            <w:r>
              <w:rPr>
                <w:rFonts w:hint="eastAsia" w:ascii="宋体" w:hAnsi="宋体" w:cs="宋体"/>
                <w:sz w:val="24"/>
              </w:rPr>
              <w:t>TKE</w:t>
            </w:r>
          </w:p>
        </w:tc>
        <w:tc>
          <w:tcPr>
            <w:tcW w:w="1066" w:type="dxa"/>
            <w:vAlign w:val="center"/>
          </w:tcPr>
          <w:p w14:paraId="4B807200">
            <w:pPr>
              <w:jc w:val="center"/>
              <w:rPr>
                <w:rFonts w:ascii="宋体" w:hAnsi="宋体" w:cs="宋体"/>
                <w:sz w:val="24"/>
              </w:rPr>
            </w:pPr>
          </w:p>
        </w:tc>
      </w:tr>
      <w:tr w14:paraId="797F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vAlign w:val="center"/>
          </w:tcPr>
          <w:p w14:paraId="1A7E7DEF">
            <w:pPr>
              <w:rPr>
                <w:rFonts w:ascii="宋体" w:hAnsi="宋体" w:cs="宋体"/>
                <w:sz w:val="24"/>
              </w:rPr>
            </w:pPr>
          </w:p>
        </w:tc>
        <w:tc>
          <w:tcPr>
            <w:tcW w:w="1197" w:type="dxa"/>
            <w:vAlign w:val="center"/>
          </w:tcPr>
          <w:p w14:paraId="10843CD7">
            <w:pPr>
              <w:jc w:val="center"/>
              <w:rPr>
                <w:rFonts w:ascii="宋体" w:hAnsi="宋体" w:cs="宋体"/>
                <w:sz w:val="24"/>
              </w:rPr>
            </w:pPr>
            <w:r>
              <w:rPr>
                <w:rFonts w:hint="eastAsia" w:ascii="宋体" w:hAnsi="宋体" w:cs="宋体"/>
                <w:sz w:val="24"/>
              </w:rPr>
              <w:t>L8梯</w:t>
            </w:r>
          </w:p>
        </w:tc>
        <w:tc>
          <w:tcPr>
            <w:tcW w:w="1032" w:type="dxa"/>
            <w:vAlign w:val="center"/>
          </w:tcPr>
          <w:p w14:paraId="41FC9681">
            <w:pPr>
              <w:jc w:val="center"/>
              <w:rPr>
                <w:rFonts w:ascii="宋体" w:hAnsi="宋体" w:cs="宋体"/>
                <w:sz w:val="24"/>
              </w:rPr>
            </w:pPr>
            <w:r>
              <w:rPr>
                <w:rFonts w:hint="eastAsia" w:ascii="宋体" w:hAnsi="宋体" w:cs="宋体"/>
                <w:sz w:val="24"/>
              </w:rPr>
              <w:t>10层10站</w:t>
            </w:r>
          </w:p>
        </w:tc>
        <w:tc>
          <w:tcPr>
            <w:tcW w:w="1056" w:type="dxa"/>
            <w:vAlign w:val="center"/>
          </w:tcPr>
          <w:p w14:paraId="2EE7F1D3">
            <w:pPr>
              <w:jc w:val="center"/>
              <w:rPr>
                <w:rFonts w:ascii="宋体" w:hAnsi="宋体" w:cs="宋体"/>
                <w:sz w:val="24"/>
              </w:rPr>
            </w:pPr>
            <w:r>
              <w:rPr>
                <w:rFonts w:hint="eastAsia" w:ascii="宋体" w:hAnsi="宋体" w:cs="宋体"/>
                <w:sz w:val="24"/>
              </w:rPr>
              <w:t>1.60m/s</w:t>
            </w:r>
          </w:p>
        </w:tc>
        <w:tc>
          <w:tcPr>
            <w:tcW w:w="1210" w:type="dxa"/>
            <w:vAlign w:val="center"/>
          </w:tcPr>
          <w:p w14:paraId="6970EBA0">
            <w:pPr>
              <w:jc w:val="center"/>
              <w:rPr>
                <w:rFonts w:ascii="宋体" w:hAnsi="宋体" w:cs="宋体"/>
                <w:sz w:val="24"/>
              </w:rPr>
            </w:pPr>
            <w:r>
              <w:rPr>
                <w:rFonts w:hint="eastAsia" w:ascii="宋体" w:hAnsi="宋体" w:cs="宋体"/>
                <w:sz w:val="24"/>
              </w:rPr>
              <w:t>1600kg</w:t>
            </w:r>
          </w:p>
        </w:tc>
        <w:tc>
          <w:tcPr>
            <w:tcW w:w="1117" w:type="dxa"/>
            <w:vAlign w:val="center"/>
          </w:tcPr>
          <w:p w14:paraId="55087D16">
            <w:pPr>
              <w:jc w:val="center"/>
              <w:rPr>
                <w:rFonts w:ascii="宋体" w:hAnsi="宋体" w:cs="宋体"/>
                <w:sz w:val="24"/>
              </w:rPr>
            </w:pPr>
            <w:r>
              <w:rPr>
                <w:rFonts w:hint="eastAsia" w:ascii="宋体" w:hAnsi="宋体" w:cs="宋体"/>
                <w:sz w:val="24"/>
              </w:rPr>
              <w:t>1台</w:t>
            </w:r>
          </w:p>
        </w:tc>
        <w:tc>
          <w:tcPr>
            <w:tcW w:w="1300" w:type="dxa"/>
            <w:vAlign w:val="center"/>
          </w:tcPr>
          <w:p w14:paraId="154F0B10">
            <w:pPr>
              <w:jc w:val="center"/>
              <w:rPr>
                <w:rFonts w:ascii="宋体" w:hAnsi="宋体" w:cs="宋体"/>
                <w:sz w:val="24"/>
              </w:rPr>
            </w:pPr>
            <w:r>
              <w:rPr>
                <w:rFonts w:hint="eastAsia" w:ascii="宋体" w:hAnsi="宋体" w:cs="宋体"/>
                <w:sz w:val="24"/>
              </w:rPr>
              <w:t>TKE</w:t>
            </w:r>
          </w:p>
        </w:tc>
        <w:tc>
          <w:tcPr>
            <w:tcW w:w="1066" w:type="dxa"/>
            <w:vAlign w:val="center"/>
          </w:tcPr>
          <w:p w14:paraId="61BA9CE2">
            <w:pPr>
              <w:jc w:val="center"/>
              <w:rPr>
                <w:rFonts w:ascii="宋体" w:hAnsi="宋体" w:cs="宋体"/>
                <w:sz w:val="24"/>
              </w:rPr>
            </w:pPr>
          </w:p>
        </w:tc>
      </w:tr>
      <w:tr w14:paraId="3CC8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vAlign w:val="center"/>
          </w:tcPr>
          <w:p w14:paraId="079ACEFC">
            <w:pPr>
              <w:rPr>
                <w:rFonts w:ascii="宋体" w:hAnsi="宋体" w:cs="宋体"/>
                <w:sz w:val="24"/>
              </w:rPr>
            </w:pPr>
          </w:p>
        </w:tc>
        <w:tc>
          <w:tcPr>
            <w:tcW w:w="1197" w:type="dxa"/>
            <w:vAlign w:val="center"/>
          </w:tcPr>
          <w:p w14:paraId="6A40F526">
            <w:pPr>
              <w:jc w:val="center"/>
              <w:rPr>
                <w:rFonts w:ascii="宋体" w:hAnsi="宋体" w:cs="宋体"/>
                <w:sz w:val="24"/>
              </w:rPr>
            </w:pPr>
            <w:r>
              <w:rPr>
                <w:rFonts w:hint="eastAsia" w:ascii="宋体" w:hAnsi="宋体" w:cs="宋体"/>
                <w:sz w:val="24"/>
              </w:rPr>
              <w:t>L9梯</w:t>
            </w:r>
          </w:p>
        </w:tc>
        <w:tc>
          <w:tcPr>
            <w:tcW w:w="1032" w:type="dxa"/>
            <w:vAlign w:val="center"/>
          </w:tcPr>
          <w:p w14:paraId="5B9653BB">
            <w:pPr>
              <w:jc w:val="center"/>
              <w:rPr>
                <w:rFonts w:ascii="宋体" w:hAnsi="宋体" w:cs="宋体"/>
                <w:sz w:val="24"/>
              </w:rPr>
            </w:pPr>
            <w:r>
              <w:rPr>
                <w:rFonts w:hint="eastAsia" w:ascii="宋体" w:hAnsi="宋体" w:cs="宋体"/>
                <w:sz w:val="24"/>
              </w:rPr>
              <w:t>9层9站</w:t>
            </w:r>
          </w:p>
        </w:tc>
        <w:tc>
          <w:tcPr>
            <w:tcW w:w="1056" w:type="dxa"/>
            <w:vAlign w:val="center"/>
          </w:tcPr>
          <w:p w14:paraId="60671BF8">
            <w:pPr>
              <w:jc w:val="center"/>
              <w:rPr>
                <w:rFonts w:ascii="宋体" w:hAnsi="宋体" w:cs="宋体"/>
                <w:sz w:val="24"/>
              </w:rPr>
            </w:pPr>
            <w:r>
              <w:rPr>
                <w:rFonts w:hint="eastAsia" w:ascii="宋体" w:hAnsi="宋体" w:cs="宋体"/>
                <w:sz w:val="24"/>
              </w:rPr>
              <w:t>1.60m/s</w:t>
            </w:r>
          </w:p>
        </w:tc>
        <w:tc>
          <w:tcPr>
            <w:tcW w:w="1210" w:type="dxa"/>
            <w:vAlign w:val="center"/>
          </w:tcPr>
          <w:p w14:paraId="7F6EBF20">
            <w:pPr>
              <w:jc w:val="center"/>
              <w:rPr>
                <w:rFonts w:ascii="宋体" w:hAnsi="宋体" w:cs="宋体"/>
                <w:sz w:val="24"/>
              </w:rPr>
            </w:pPr>
            <w:r>
              <w:rPr>
                <w:rFonts w:hint="eastAsia" w:ascii="宋体" w:hAnsi="宋体" w:cs="宋体"/>
                <w:sz w:val="24"/>
              </w:rPr>
              <w:t>1600kg</w:t>
            </w:r>
          </w:p>
        </w:tc>
        <w:tc>
          <w:tcPr>
            <w:tcW w:w="1117" w:type="dxa"/>
            <w:vAlign w:val="center"/>
          </w:tcPr>
          <w:p w14:paraId="1FDBD338">
            <w:pPr>
              <w:jc w:val="center"/>
              <w:rPr>
                <w:rFonts w:ascii="宋体" w:hAnsi="宋体" w:cs="宋体"/>
                <w:sz w:val="24"/>
              </w:rPr>
            </w:pPr>
            <w:r>
              <w:rPr>
                <w:rFonts w:hint="eastAsia" w:ascii="宋体" w:hAnsi="宋体" w:cs="宋体"/>
                <w:sz w:val="24"/>
              </w:rPr>
              <w:t>1台</w:t>
            </w:r>
          </w:p>
        </w:tc>
        <w:tc>
          <w:tcPr>
            <w:tcW w:w="1300" w:type="dxa"/>
            <w:vAlign w:val="center"/>
          </w:tcPr>
          <w:p w14:paraId="10E5F25E">
            <w:pPr>
              <w:jc w:val="center"/>
              <w:rPr>
                <w:rFonts w:ascii="宋体" w:hAnsi="宋体" w:cs="宋体"/>
                <w:sz w:val="24"/>
              </w:rPr>
            </w:pPr>
            <w:r>
              <w:rPr>
                <w:rFonts w:hint="eastAsia" w:ascii="宋体" w:hAnsi="宋体" w:cs="宋体"/>
                <w:sz w:val="24"/>
              </w:rPr>
              <w:t>TKE</w:t>
            </w:r>
          </w:p>
        </w:tc>
        <w:tc>
          <w:tcPr>
            <w:tcW w:w="1066" w:type="dxa"/>
            <w:vAlign w:val="center"/>
          </w:tcPr>
          <w:p w14:paraId="73B58DA6">
            <w:pPr>
              <w:jc w:val="center"/>
              <w:rPr>
                <w:rFonts w:ascii="宋体" w:hAnsi="宋体" w:cs="宋体"/>
                <w:sz w:val="24"/>
              </w:rPr>
            </w:pPr>
          </w:p>
        </w:tc>
      </w:tr>
      <w:tr w14:paraId="4D8F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vAlign w:val="center"/>
          </w:tcPr>
          <w:p w14:paraId="131C6344">
            <w:pPr>
              <w:rPr>
                <w:rFonts w:ascii="宋体" w:hAnsi="宋体" w:cs="宋体"/>
                <w:sz w:val="24"/>
              </w:rPr>
            </w:pPr>
          </w:p>
        </w:tc>
        <w:tc>
          <w:tcPr>
            <w:tcW w:w="1197" w:type="dxa"/>
            <w:vAlign w:val="center"/>
          </w:tcPr>
          <w:p w14:paraId="4C50F76A">
            <w:pPr>
              <w:jc w:val="center"/>
              <w:rPr>
                <w:rFonts w:ascii="宋体" w:hAnsi="宋体" w:cs="宋体"/>
                <w:sz w:val="24"/>
              </w:rPr>
            </w:pPr>
            <w:r>
              <w:rPr>
                <w:rFonts w:hint="eastAsia" w:ascii="宋体" w:hAnsi="宋体" w:cs="宋体"/>
                <w:sz w:val="24"/>
              </w:rPr>
              <w:t>L10梯</w:t>
            </w:r>
          </w:p>
        </w:tc>
        <w:tc>
          <w:tcPr>
            <w:tcW w:w="1032" w:type="dxa"/>
            <w:vAlign w:val="center"/>
          </w:tcPr>
          <w:p w14:paraId="41F6CDCC">
            <w:pPr>
              <w:jc w:val="center"/>
              <w:rPr>
                <w:rFonts w:ascii="宋体" w:hAnsi="宋体" w:cs="宋体"/>
                <w:sz w:val="24"/>
              </w:rPr>
            </w:pPr>
            <w:r>
              <w:rPr>
                <w:rFonts w:hint="eastAsia" w:ascii="宋体" w:hAnsi="宋体" w:cs="宋体"/>
                <w:sz w:val="24"/>
              </w:rPr>
              <w:t>9层9站</w:t>
            </w:r>
          </w:p>
        </w:tc>
        <w:tc>
          <w:tcPr>
            <w:tcW w:w="1056" w:type="dxa"/>
            <w:vAlign w:val="center"/>
          </w:tcPr>
          <w:p w14:paraId="49D84F58">
            <w:pPr>
              <w:jc w:val="center"/>
              <w:rPr>
                <w:rFonts w:ascii="宋体" w:hAnsi="宋体" w:cs="宋体"/>
                <w:sz w:val="24"/>
              </w:rPr>
            </w:pPr>
            <w:r>
              <w:rPr>
                <w:rFonts w:hint="eastAsia" w:ascii="宋体" w:hAnsi="宋体" w:cs="宋体"/>
                <w:sz w:val="24"/>
              </w:rPr>
              <w:t>1.60m/s</w:t>
            </w:r>
          </w:p>
        </w:tc>
        <w:tc>
          <w:tcPr>
            <w:tcW w:w="1210" w:type="dxa"/>
            <w:vAlign w:val="center"/>
          </w:tcPr>
          <w:p w14:paraId="73ABE228">
            <w:pPr>
              <w:jc w:val="center"/>
              <w:rPr>
                <w:rFonts w:ascii="宋体" w:hAnsi="宋体" w:cs="宋体"/>
                <w:sz w:val="24"/>
              </w:rPr>
            </w:pPr>
            <w:r>
              <w:rPr>
                <w:rFonts w:hint="eastAsia" w:ascii="宋体" w:hAnsi="宋体" w:cs="宋体"/>
                <w:sz w:val="24"/>
              </w:rPr>
              <w:t>1000kg</w:t>
            </w:r>
          </w:p>
        </w:tc>
        <w:tc>
          <w:tcPr>
            <w:tcW w:w="1117" w:type="dxa"/>
            <w:vAlign w:val="center"/>
          </w:tcPr>
          <w:p w14:paraId="109D840C">
            <w:pPr>
              <w:jc w:val="center"/>
              <w:rPr>
                <w:rFonts w:ascii="宋体" w:hAnsi="宋体" w:cs="宋体"/>
                <w:sz w:val="24"/>
              </w:rPr>
            </w:pPr>
            <w:r>
              <w:rPr>
                <w:rFonts w:hint="eastAsia" w:ascii="宋体" w:hAnsi="宋体" w:cs="宋体"/>
                <w:sz w:val="24"/>
              </w:rPr>
              <w:t>1台</w:t>
            </w:r>
          </w:p>
        </w:tc>
        <w:tc>
          <w:tcPr>
            <w:tcW w:w="1300" w:type="dxa"/>
            <w:vAlign w:val="center"/>
          </w:tcPr>
          <w:p w14:paraId="79633AAE">
            <w:pPr>
              <w:jc w:val="center"/>
              <w:rPr>
                <w:rFonts w:ascii="宋体" w:hAnsi="宋体" w:cs="宋体"/>
                <w:sz w:val="24"/>
              </w:rPr>
            </w:pPr>
            <w:r>
              <w:rPr>
                <w:rFonts w:hint="eastAsia" w:ascii="宋体" w:hAnsi="宋体" w:cs="宋体"/>
                <w:sz w:val="24"/>
              </w:rPr>
              <w:t>TKE</w:t>
            </w:r>
          </w:p>
        </w:tc>
        <w:tc>
          <w:tcPr>
            <w:tcW w:w="1066" w:type="dxa"/>
            <w:vAlign w:val="center"/>
          </w:tcPr>
          <w:p w14:paraId="31189FC2">
            <w:pPr>
              <w:jc w:val="center"/>
              <w:rPr>
                <w:rFonts w:ascii="宋体" w:hAnsi="宋体" w:cs="宋体"/>
                <w:sz w:val="24"/>
              </w:rPr>
            </w:pPr>
          </w:p>
        </w:tc>
      </w:tr>
      <w:tr w14:paraId="5AB5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vAlign w:val="center"/>
          </w:tcPr>
          <w:p w14:paraId="0F14B440">
            <w:pPr>
              <w:rPr>
                <w:rFonts w:ascii="宋体" w:hAnsi="宋体" w:cs="宋体"/>
                <w:sz w:val="24"/>
              </w:rPr>
            </w:pPr>
          </w:p>
        </w:tc>
        <w:tc>
          <w:tcPr>
            <w:tcW w:w="1197" w:type="dxa"/>
            <w:vAlign w:val="center"/>
          </w:tcPr>
          <w:p w14:paraId="540D79A6">
            <w:pPr>
              <w:jc w:val="center"/>
              <w:rPr>
                <w:rFonts w:ascii="宋体" w:hAnsi="宋体" w:cs="宋体"/>
                <w:sz w:val="24"/>
              </w:rPr>
            </w:pPr>
            <w:r>
              <w:rPr>
                <w:rFonts w:hint="eastAsia" w:ascii="宋体" w:hAnsi="宋体" w:cs="宋体"/>
                <w:sz w:val="24"/>
              </w:rPr>
              <w:t>L11梯</w:t>
            </w:r>
          </w:p>
        </w:tc>
        <w:tc>
          <w:tcPr>
            <w:tcW w:w="1032" w:type="dxa"/>
            <w:vAlign w:val="center"/>
          </w:tcPr>
          <w:p w14:paraId="37658C3D">
            <w:pPr>
              <w:jc w:val="center"/>
              <w:rPr>
                <w:rFonts w:ascii="宋体" w:hAnsi="宋体" w:cs="宋体"/>
                <w:sz w:val="24"/>
              </w:rPr>
            </w:pPr>
            <w:r>
              <w:rPr>
                <w:rFonts w:hint="eastAsia" w:ascii="宋体" w:hAnsi="宋体" w:cs="宋体"/>
                <w:sz w:val="24"/>
              </w:rPr>
              <w:t>4层4站</w:t>
            </w:r>
          </w:p>
        </w:tc>
        <w:tc>
          <w:tcPr>
            <w:tcW w:w="1056" w:type="dxa"/>
            <w:vAlign w:val="center"/>
          </w:tcPr>
          <w:p w14:paraId="01BE40A8">
            <w:pPr>
              <w:jc w:val="center"/>
              <w:rPr>
                <w:rFonts w:ascii="宋体" w:hAnsi="宋体" w:cs="宋体"/>
                <w:sz w:val="24"/>
              </w:rPr>
            </w:pPr>
            <w:r>
              <w:rPr>
                <w:rFonts w:hint="eastAsia" w:ascii="宋体" w:hAnsi="宋体" w:cs="宋体"/>
                <w:sz w:val="24"/>
              </w:rPr>
              <w:t>1.60m/s</w:t>
            </w:r>
          </w:p>
        </w:tc>
        <w:tc>
          <w:tcPr>
            <w:tcW w:w="1210" w:type="dxa"/>
            <w:vAlign w:val="center"/>
          </w:tcPr>
          <w:p w14:paraId="269B9725">
            <w:pPr>
              <w:jc w:val="center"/>
              <w:rPr>
                <w:rFonts w:ascii="宋体" w:hAnsi="宋体" w:cs="宋体"/>
                <w:sz w:val="24"/>
              </w:rPr>
            </w:pPr>
            <w:r>
              <w:rPr>
                <w:rFonts w:hint="eastAsia" w:ascii="宋体" w:hAnsi="宋体" w:cs="宋体"/>
                <w:sz w:val="24"/>
              </w:rPr>
              <w:t>1000kg</w:t>
            </w:r>
          </w:p>
        </w:tc>
        <w:tc>
          <w:tcPr>
            <w:tcW w:w="1117" w:type="dxa"/>
            <w:vAlign w:val="center"/>
          </w:tcPr>
          <w:p w14:paraId="0147DA2A">
            <w:pPr>
              <w:jc w:val="center"/>
              <w:rPr>
                <w:rFonts w:ascii="宋体" w:hAnsi="宋体" w:cs="宋体"/>
                <w:sz w:val="24"/>
              </w:rPr>
            </w:pPr>
            <w:r>
              <w:rPr>
                <w:rFonts w:hint="eastAsia" w:ascii="宋体" w:hAnsi="宋体" w:cs="宋体"/>
                <w:sz w:val="24"/>
              </w:rPr>
              <w:t>1台</w:t>
            </w:r>
          </w:p>
        </w:tc>
        <w:tc>
          <w:tcPr>
            <w:tcW w:w="1300" w:type="dxa"/>
            <w:vAlign w:val="center"/>
          </w:tcPr>
          <w:p w14:paraId="719CC52A">
            <w:pPr>
              <w:jc w:val="center"/>
              <w:rPr>
                <w:rFonts w:ascii="宋体" w:hAnsi="宋体" w:cs="宋体"/>
                <w:sz w:val="24"/>
              </w:rPr>
            </w:pPr>
            <w:r>
              <w:rPr>
                <w:rFonts w:hint="eastAsia" w:ascii="宋体" w:hAnsi="宋体" w:cs="宋体"/>
                <w:sz w:val="24"/>
              </w:rPr>
              <w:t>TKE</w:t>
            </w:r>
          </w:p>
        </w:tc>
        <w:tc>
          <w:tcPr>
            <w:tcW w:w="1066" w:type="dxa"/>
            <w:vAlign w:val="center"/>
          </w:tcPr>
          <w:p w14:paraId="4BB87298">
            <w:pPr>
              <w:jc w:val="center"/>
              <w:rPr>
                <w:rFonts w:ascii="宋体" w:hAnsi="宋体" w:cs="宋体"/>
                <w:sz w:val="24"/>
              </w:rPr>
            </w:pPr>
          </w:p>
        </w:tc>
      </w:tr>
      <w:tr w14:paraId="080A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1" w:type="dxa"/>
            <w:vMerge w:val="continue"/>
          </w:tcPr>
          <w:p w14:paraId="59773E61">
            <w:pPr>
              <w:rPr>
                <w:rFonts w:ascii="宋体" w:hAnsi="宋体" w:cs="宋体"/>
                <w:sz w:val="24"/>
              </w:rPr>
            </w:pPr>
          </w:p>
        </w:tc>
        <w:tc>
          <w:tcPr>
            <w:tcW w:w="1197" w:type="dxa"/>
            <w:vAlign w:val="center"/>
          </w:tcPr>
          <w:p w14:paraId="22E9BD1D">
            <w:pPr>
              <w:jc w:val="center"/>
              <w:rPr>
                <w:rFonts w:ascii="宋体" w:hAnsi="宋体" w:cs="宋体"/>
                <w:sz w:val="24"/>
              </w:rPr>
            </w:pPr>
            <w:r>
              <w:rPr>
                <w:rFonts w:hint="eastAsia" w:ascii="宋体" w:hAnsi="宋体" w:cs="宋体"/>
                <w:sz w:val="24"/>
              </w:rPr>
              <w:t>1#客梯</w:t>
            </w:r>
          </w:p>
        </w:tc>
        <w:tc>
          <w:tcPr>
            <w:tcW w:w="1032" w:type="dxa"/>
            <w:vAlign w:val="center"/>
          </w:tcPr>
          <w:p w14:paraId="4D157D28">
            <w:pPr>
              <w:jc w:val="center"/>
              <w:rPr>
                <w:rFonts w:ascii="宋体" w:hAnsi="宋体" w:cs="宋体"/>
                <w:sz w:val="24"/>
              </w:rPr>
            </w:pPr>
            <w:r>
              <w:rPr>
                <w:rFonts w:hint="eastAsia" w:ascii="宋体" w:hAnsi="宋体" w:cs="宋体"/>
                <w:sz w:val="24"/>
              </w:rPr>
              <w:t>4层4站</w:t>
            </w:r>
          </w:p>
        </w:tc>
        <w:tc>
          <w:tcPr>
            <w:tcW w:w="1056" w:type="dxa"/>
            <w:vAlign w:val="center"/>
          </w:tcPr>
          <w:p w14:paraId="1CC7816D">
            <w:pPr>
              <w:jc w:val="center"/>
              <w:rPr>
                <w:rFonts w:ascii="宋体" w:hAnsi="宋体" w:cs="宋体"/>
                <w:sz w:val="24"/>
              </w:rPr>
            </w:pPr>
            <w:r>
              <w:rPr>
                <w:rFonts w:hint="eastAsia" w:ascii="宋体" w:hAnsi="宋体" w:cs="宋体"/>
                <w:sz w:val="24"/>
              </w:rPr>
              <w:t>1.60m/s</w:t>
            </w:r>
          </w:p>
        </w:tc>
        <w:tc>
          <w:tcPr>
            <w:tcW w:w="1210" w:type="dxa"/>
            <w:vAlign w:val="center"/>
          </w:tcPr>
          <w:p w14:paraId="4C865133">
            <w:pPr>
              <w:jc w:val="center"/>
              <w:rPr>
                <w:rFonts w:ascii="宋体" w:hAnsi="宋体" w:cs="宋体"/>
                <w:sz w:val="24"/>
              </w:rPr>
            </w:pPr>
            <w:r>
              <w:rPr>
                <w:rFonts w:hint="eastAsia" w:ascii="宋体" w:hAnsi="宋体" w:cs="宋体"/>
                <w:sz w:val="24"/>
              </w:rPr>
              <w:t>1600kg</w:t>
            </w:r>
          </w:p>
        </w:tc>
        <w:tc>
          <w:tcPr>
            <w:tcW w:w="1117" w:type="dxa"/>
            <w:vAlign w:val="center"/>
          </w:tcPr>
          <w:p w14:paraId="3F8FEC27">
            <w:pPr>
              <w:jc w:val="center"/>
              <w:rPr>
                <w:rFonts w:ascii="宋体" w:hAnsi="宋体" w:cs="宋体"/>
                <w:sz w:val="24"/>
              </w:rPr>
            </w:pPr>
            <w:r>
              <w:rPr>
                <w:rFonts w:hint="eastAsia" w:ascii="宋体" w:hAnsi="宋体" w:cs="宋体"/>
                <w:sz w:val="24"/>
              </w:rPr>
              <w:t>1台</w:t>
            </w:r>
          </w:p>
        </w:tc>
        <w:tc>
          <w:tcPr>
            <w:tcW w:w="1300" w:type="dxa"/>
            <w:vAlign w:val="center"/>
          </w:tcPr>
          <w:p w14:paraId="40C69FCE">
            <w:pPr>
              <w:jc w:val="center"/>
              <w:rPr>
                <w:rFonts w:ascii="宋体" w:hAnsi="宋体" w:cs="宋体"/>
                <w:sz w:val="24"/>
              </w:rPr>
            </w:pPr>
            <w:r>
              <w:rPr>
                <w:rFonts w:hint="eastAsia" w:ascii="宋体" w:hAnsi="宋体" w:cs="宋体"/>
                <w:sz w:val="24"/>
              </w:rPr>
              <w:t>通力</w:t>
            </w:r>
          </w:p>
        </w:tc>
        <w:tc>
          <w:tcPr>
            <w:tcW w:w="1066" w:type="dxa"/>
          </w:tcPr>
          <w:p w14:paraId="6A0D74C4">
            <w:pPr>
              <w:rPr>
                <w:rFonts w:ascii="宋体" w:hAnsi="宋体" w:cs="宋体"/>
                <w:sz w:val="24"/>
              </w:rPr>
            </w:pPr>
          </w:p>
        </w:tc>
      </w:tr>
      <w:tr w14:paraId="19B4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tcPr>
          <w:p w14:paraId="5E552E5D">
            <w:pPr>
              <w:rPr>
                <w:rFonts w:ascii="宋体" w:hAnsi="宋体" w:cs="宋体"/>
                <w:sz w:val="24"/>
              </w:rPr>
            </w:pPr>
          </w:p>
        </w:tc>
        <w:tc>
          <w:tcPr>
            <w:tcW w:w="1197" w:type="dxa"/>
            <w:vAlign w:val="center"/>
          </w:tcPr>
          <w:p w14:paraId="59B65D5E">
            <w:pPr>
              <w:jc w:val="center"/>
              <w:rPr>
                <w:rFonts w:ascii="宋体" w:hAnsi="宋体" w:cs="宋体"/>
                <w:sz w:val="24"/>
              </w:rPr>
            </w:pPr>
            <w:r>
              <w:rPr>
                <w:rFonts w:hint="eastAsia" w:ascii="宋体" w:hAnsi="宋体" w:cs="宋体"/>
                <w:sz w:val="24"/>
              </w:rPr>
              <w:t>2#客梯</w:t>
            </w:r>
          </w:p>
        </w:tc>
        <w:tc>
          <w:tcPr>
            <w:tcW w:w="1032" w:type="dxa"/>
            <w:vAlign w:val="center"/>
          </w:tcPr>
          <w:p w14:paraId="4A3CD9EF">
            <w:pPr>
              <w:jc w:val="center"/>
              <w:rPr>
                <w:rFonts w:ascii="宋体" w:hAnsi="宋体" w:cs="宋体"/>
                <w:sz w:val="24"/>
              </w:rPr>
            </w:pPr>
            <w:r>
              <w:rPr>
                <w:rFonts w:hint="eastAsia" w:ascii="宋体" w:hAnsi="宋体" w:cs="宋体"/>
                <w:sz w:val="24"/>
              </w:rPr>
              <w:t>4层4站</w:t>
            </w:r>
          </w:p>
        </w:tc>
        <w:tc>
          <w:tcPr>
            <w:tcW w:w="1056" w:type="dxa"/>
            <w:vAlign w:val="center"/>
          </w:tcPr>
          <w:p w14:paraId="1A2EB646">
            <w:pPr>
              <w:jc w:val="center"/>
              <w:rPr>
                <w:rFonts w:ascii="宋体" w:hAnsi="宋体" w:cs="宋体"/>
                <w:sz w:val="24"/>
              </w:rPr>
            </w:pPr>
            <w:r>
              <w:rPr>
                <w:rFonts w:hint="eastAsia" w:ascii="宋体" w:hAnsi="宋体" w:cs="宋体"/>
                <w:sz w:val="24"/>
              </w:rPr>
              <w:t>1.60m/s</w:t>
            </w:r>
          </w:p>
        </w:tc>
        <w:tc>
          <w:tcPr>
            <w:tcW w:w="1210" w:type="dxa"/>
            <w:vAlign w:val="center"/>
          </w:tcPr>
          <w:p w14:paraId="28AE4438">
            <w:pPr>
              <w:jc w:val="center"/>
              <w:rPr>
                <w:rFonts w:ascii="宋体" w:hAnsi="宋体" w:cs="宋体"/>
                <w:sz w:val="24"/>
              </w:rPr>
            </w:pPr>
            <w:r>
              <w:rPr>
                <w:rFonts w:hint="eastAsia" w:ascii="宋体" w:hAnsi="宋体" w:cs="宋体"/>
                <w:sz w:val="24"/>
              </w:rPr>
              <w:t>1600kg</w:t>
            </w:r>
          </w:p>
        </w:tc>
        <w:tc>
          <w:tcPr>
            <w:tcW w:w="1117" w:type="dxa"/>
            <w:vAlign w:val="center"/>
          </w:tcPr>
          <w:p w14:paraId="37B70C39">
            <w:pPr>
              <w:jc w:val="center"/>
              <w:rPr>
                <w:rFonts w:ascii="宋体" w:hAnsi="宋体" w:cs="宋体"/>
                <w:sz w:val="24"/>
              </w:rPr>
            </w:pPr>
            <w:r>
              <w:rPr>
                <w:rFonts w:hint="eastAsia" w:ascii="宋体" w:hAnsi="宋体" w:cs="宋体"/>
                <w:sz w:val="24"/>
              </w:rPr>
              <w:t>1台</w:t>
            </w:r>
          </w:p>
        </w:tc>
        <w:tc>
          <w:tcPr>
            <w:tcW w:w="1300" w:type="dxa"/>
            <w:vAlign w:val="center"/>
          </w:tcPr>
          <w:p w14:paraId="40FC8F82">
            <w:pPr>
              <w:jc w:val="center"/>
              <w:rPr>
                <w:rFonts w:ascii="宋体" w:hAnsi="宋体" w:cs="宋体"/>
                <w:sz w:val="24"/>
              </w:rPr>
            </w:pPr>
            <w:r>
              <w:rPr>
                <w:rFonts w:hint="eastAsia" w:ascii="宋体" w:hAnsi="宋体" w:cs="宋体"/>
                <w:sz w:val="24"/>
              </w:rPr>
              <w:t>通力</w:t>
            </w:r>
          </w:p>
        </w:tc>
        <w:tc>
          <w:tcPr>
            <w:tcW w:w="1066" w:type="dxa"/>
          </w:tcPr>
          <w:p w14:paraId="4B1D632B">
            <w:pPr>
              <w:rPr>
                <w:rFonts w:ascii="宋体" w:hAnsi="宋体" w:cs="宋体"/>
                <w:sz w:val="24"/>
              </w:rPr>
            </w:pPr>
          </w:p>
        </w:tc>
      </w:tr>
      <w:tr w14:paraId="15A7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tcPr>
          <w:p w14:paraId="05716A92">
            <w:pPr>
              <w:rPr>
                <w:rFonts w:ascii="宋体" w:hAnsi="宋体" w:cs="宋体"/>
                <w:sz w:val="24"/>
              </w:rPr>
            </w:pPr>
          </w:p>
        </w:tc>
        <w:tc>
          <w:tcPr>
            <w:tcW w:w="1197" w:type="dxa"/>
            <w:vAlign w:val="center"/>
          </w:tcPr>
          <w:p w14:paraId="75E1F5D2">
            <w:pPr>
              <w:jc w:val="center"/>
              <w:rPr>
                <w:rFonts w:ascii="宋体" w:hAnsi="宋体" w:cs="宋体"/>
                <w:sz w:val="24"/>
              </w:rPr>
            </w:pPr>
            <w:r>
              <w:rPr>
                <w:rFonts w:hint="eastAsia" w:ascii="宋体" w:hAnsi="宋体" w:cs="宋体"/>
                <w:sz w:val="24"/>
              </w:rPr>
              <w:t>3#梯</w:t>
            </w:r>
          </w:p>
        </w:tc>
        <w:tc>
          <w:tcPr>
            <w:tcW w:w="1032" w:type="dxa"/>
            <w:vAlign w:val="center"/>
          </w:tcPr>
          <w:p w14:paraId="0766BF4E">
            <w:pPr>
              <w:jc w:val="center"/>
              <w:rPr>
                <w:rFonts w:ascii="宋体" w:hAnsi="宋体" w:cs="宋体"/>
                <w:sz w:val="24"/>
              </w:rPr>
            </w:pPr>
            <w:r>
              <w:rPr>
                <w:rFonts w:hint="eastAsia" w:ascii="宋体" w:hAnsi="宋体" w:cs="宋体"/>
                <w:sz w:val="24"/>
              </w:rPr>
              <w:t>4层4站</w:t>
            </w:r>
          </w:p>
        </w:tc>
        <w:tc>
          <w:tcPr>
            <w:tcW w:w="1056" w:type="dxa"/>
            <w:vAlign w:val="center"/>
          </w:tcPr>
          <w:p w14:paraId="6D9CF36F">
            <w:pPr>
              <w:jc w:val="center"/>
              <w:rPr>
                <w:rFonts w:ascii="宋体" w:hAnsi="宋体" w:cs="宋体"/>
                <w:sz w:val="24"/>
              </w:rPr>
            </w:pPr>
            <w:r>
              <w:rPr>
                <w:rFonts w:hint="eastAsia" w:ascii="宋体" w:hAnsi="宋体" w:cs="宋体"/>
                <w:sz w:val="24"/>
              </w:rPr>
              <w:t>1.60m/s</w:t>
            </w:r>
          </w:p>
        </w:tc>
        <w:tc>
          <w:tcPr>
            <w:tcW w:w="1210" w:type="dxa"/>
            <w:vAlign w:val="center"/>
          </w:tcPr>
          <w:p w14:paraId="0E36C60A">
            <w:pPr>
              <w:jc w:val="center"/>
              <w:rPr>
                <w:rFonts w:ascii="宋体" w:hAnsi="宋体" w:cs="宋体"/>
                <w:sz w:val="24"/>
              </w:rPr>
            </w:pPr>
            <w:r>
              <w:rPr>
                <w:rFonts w:hint="eastAsia" w:ascii="宋体" w:hAnsi="宋体" w:cs="宋体"/>
                <w:sz w:val="24"/>
              </w:rPr>
              <w:t>800kg</w:t>
            </w:r>
          </w:p>
        </w:tc>
        <w:tc>
          <w:tcPr>
            <w:tcW w:w="1117" w:type="dxa"/>
            <w:vAlign w:val="center"/>
          </w:tcPr>
          <w:p w14:paraId="1C42DA54">
            <w:pPr>
              <w:jc w:val="center"/>
              <w:rPr>
                <w:rFonts w:ascii="宋体" w:hAnsi="宋体" w:cs="宋体"/>
                <w:sz w:val="24"/>
              </w:rPr>
            </w:pPr>
            <w:r>
              <w:rPr>
                <w:rFonts w:hint="eastAsia" w:ascii="宋体" w:hAnsi="宋体" w:cs="宋体"/>
                <w:sz w:val="24"/>
              </w:rPr>
              <w:t>1台</w:t>
            </w:r>
          </w:p>
        </w:tc>
        <w:tc>
          <w:tcPr>
            <w:tcW w:w="1300" w:type="dxa"/>
            <w:vAlign w:val="center"/>
          </w:tcPr>
          <w:p w14:paraId="22EFED73">
            <w:pPr>
              <w:jc w:val="center"/>
              <w:rPr>
                <w:rFonts w:ascii="宋体" w:hAnsi="宋体" w:cs="宋体"/>
                <w:sz w:val="24"/>
              </w:rPr>
            </w:pPr>
            <w:r>
              <w:rPr>
                <w:rFonts w:hint="eastAsia" w:ascii="宋体" w:hAnsi="宋体" w:cs="宋体"/>
                <w:sz w:val="24"/>
              </w:rPr>
              <w:t>通力</w:t>
            </w:r>
          </w:p>
        </w:tc>
        <w:tc>
          <w:tcPr>
            <w:tcW w:w="1066" w:type="dxa"/>
          </w:tcPr>
          <w:p w14:paraId="3A0EFAE9">
            <w:pPr>
              <w:rPr>
                <w:rFonts w:ascii="宋体" w:hAnsi="宋体" w:cs="宋体"/>
                <w:sz w:val="24"/>
              </w:rPr>
            </w:pPr>
          </w:p>
        </w:tc>
      </w:tr>
      <w:tr w14:paraId="07CE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1" w:type="dxa"/>
            <w:vMerge w:val="continue"/>
          </w:tcPr>
          <w:p w14:paraId="2A16BB41">
            <w:pPr>
              <w:rPr>
                <w:rFonts w:ascii="宋体" w:hAnsi="宋体" w:cs="宋体"/>
                <w:sz w:val="24"/>
              </w:rPr>
            </w:pPr>
          </w:p>
        </w:tc>
        <w:tc>
          <w:tcPr>
            <w:tcW w:w="1197" w:type="dxa"/>
            <w:vAlign w:val="center"/>
          </w:tcPr>
          <w:p w14:paraId="09AFB6A8">
            <w:pPr>
              <w:jc w:val="center"/>
              <w:rPr>
                <w:rFonts w:ascii="宋体" w:hAnsi="宋体" w:cs="宋体"/>
                <w:sz w:val="24"/>
              </w:rPr>
            </w:pPr>
            <w:r>
              <w:rPr>
                <w:rFonts w:hint="eastAsia" w:ascii="宋体" w:hAnsi="宋体" w:cs="宋体"/>
                <w:sz w:val="24"/>
              </w:rPr>
              <w:t>4#消防梯</w:t>
            </w:r>
          </w:p>
        </w:tc>
        <w:tc>
          <w:tcPr>
            <w:tcW w:w="1032" w:type="dxa"/>
            <w:vAlign w:val="center"/>
          </w:tcPr>
          <w:p w14:paraId="79DC508E">
            <w:pPr>
              <w:jc w:val="center"/>
              <w:rPr>
                <w:rFonts w:ascii="宋体" w:hAnsi="宋体" w:cs="宋体"/>
                <w:sz w:val="24"/>
              </w:rPr>
            </w:pPr>
            <w:r>
              <w:rPr>
                <w:rFonts w:hint="eastAsia" w:ascii="宋体" w:hAnsi="宋体" w:cs="宋体"/>
                <w:sz w:val="24"/>
              </w:rPr>
              <w:t>4层4站</w:t>
            </w:r>
          </w:p>
        </w:tc>
        <w:tc>
          <w:tcPr>
            <w:tcW w:w="1056" w:type="dxa"/>
            <w:vAlign w:val="center"/>
          </w:tcPr>
          <w:p w14:paraId="1BEE0EE4">
            <w:pPr>
              <w:jc w:val="center"/>
              <w:rPr>
                <w:rFonts w:ascii="宋体" w:hAnsi="宋体" w:cs="宋体"/>
                <w:sz w:val="24"/>
              </w:rPr>
            </w:pPr>
            <w:r>
              <w:rPr>
                <w:rFonts w:hint="eastAsia" w:ascii="宋体" w:hAnsi="宋体" w:cs="宋体"/>
                <w:sz w:val="24"/>
              </w:rPr>
              <w:t>1.60m/s</w:t>
            </w:r>
          </w:p>
        </w:tc>
        <w:tc>
          <w:tcPr>
            <w:tcW w:w="1210" w:type="dxa"/>
            <w:vAlign w:val="center"/>
          </w:tcPr>
          <w:p w14:paraId="5E53F360">
            <w:pPr>
              <w:jc w:val="center"/>
              <w:rPr>
                <w:rFonts w:ascii="宋体" w:hAnsi="宋体" w:cs="宋体"/>
                <w:sz w:val="24"/>
              </w:rPr>
            </w:pPr>
            <w:r>
              <w:rPr>
                <w:rFonts w:hint="eastAsia" w:ascii="宋体" w:hAnsi="宋体" w:cs="宋体"/>
                <w:sz w:val="24"/>
              </w:rPr>
              <w:t>800kg</w:t>
            </w:r>
          </w:p>
        </w:tc>
        <w:tc>
          <w:tcPr>
            <w:tcW w:w="1117" w:type="dxa"/>
            <w:vAlign w:val="center"/>
          </w:tcPr>
          <w:p w14:paraId="06ECAA32">
            <w:pPr>
              <w:jc w:val="center"/>
              <w:rPr>
                <w:rFonts w:ascii="宋体" w:hAnsi="宋体" w:cs="宋体"/>
                <w:sz w:val="24"/>
              </w:rPr>
            </w:pPr>
            <w:r>
              <w:rPr>
                <w:rFonts w:hint="eastAsia" w:ascii="宋体" w:hAnsi="宋体" w:cs="宋体"/>
                <w:sz w:val="24"/>
              </w:rPr>
              <w:t>1台</w:t>
            </w:r>
          </w:p>
        </w:tc>
        <w:tc>
          <w:tcPr>
            <w:tcW w:w="1300" w:type="dxa"/>
            <w:vAlign w:val="center"/>
          </w:tcPr>
          <w:p w14:paraId="19348C8D">
            <w:pPr>
              <w:jc w:val="center"/>
              <w:rPr>
                <w:rFonts w:ascii="宋体" w:hAnsi="宋体" w:cs="宋体"/>
                <w:sz w:val="24"/>
              </w:rPr>
            </w:pPr>
            <w:r>
              <w:rPr>
                <w:rFonts w:hint="eastAsia" w:ascii="宋体" w:hAnsi="宋体" w:cs="宋体"/>
                <w:sz w:val="24"/>
              </w:rPr>
              <w:t>通力</w:t>
            </w:r>
          </w:p>
        </w:tc>
        <w:tc>
          <w:tcPr>
            <w:tcW w:w="1066" w:type="dxa"/>
          </w:tcPr>
          <w:p w14:paraId="3841B7E3">
            <w:pPr>
              <w:rPr>
                <w:rFonts w:ascii="宋体" w:hAnsi="宋体" w:cs="宋体"/>
                <w:sz w:val="24"/>
              </w:rPr>
            </w:pPr>
          </w:p>
        </w:tc>
      </w:tr>
      <w:tr w14:paraId="1159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tcPr>
          <w:p w14:paraId="00B495E9">
            <w:pPr>
              <w:rPr>
                <w:rFonts w:ascii="宋体" w:hAnsi="宋体" w:cs="宋体"/>
                <w:sz w:val="24"/>
              </w:rPr>
            </w:pPr>
          </w:p>
        </w:tc>
        <w:tc>
          <w:tcPr>
            <w:tcW w:w="1197" w:type="dxa"/>
            <w:vAlign w:val="center"/>
          </w:tcPr>
          <w:p w14:paraId="69766932">
            <w:pPr>
              <w:jc w:val="center"/>
              <w:rPr>
                <w:rFonts w:ascii="宋体" w:hAnsi="宋体" w:cs="宋体"/>
                <w:sz w:val="24"/>
              </w:rPr>
            </w:pPr>
            <w:r>
              <w:rPr>
                <w:rFonts w:hint="eastAsia" w:ascii="宋体" w:hAnsi="宋体" w:cs="宋体"/>
                <w:sz w:val="24"/>
              </w:rPr>
              <w:t>5#梯</w:t>
            </w:r>
          </w:p>
        </w:tc>
        <w:tc>
          <w:tcPr>
            <w:tcW w:w="1032" w:type="dxa"/>
            <w:vAlign w:val="center"/>
          </w:tcPr>
          <w:p w14:paraId="55F3C711">
            <w:pPr>
              <w:jc w:val="center"/>
              <w:rPr>
                <w:rFonts w:ascii="宋体" w:hAnsi="宋体" w:cs="宋体"/>
                <w:sz w:val="24"/>
              </w:rPr>
            </w:pPr>
            <w:r>
              <w:rPr>
                <w:rFonts w:hint="eastAsia" w:ascii="宋体" w:hAnsi="宋体" w:cs="宋体"/>
                <w:sz w:val="24"/>
              </w:rPr>
              <w:t>3层3站</w:t>
            </w:r>
          </w:p>
        </w:tc>
        <w:tc>
          <w:tcPr>
            <w:tcW w:w="1056" w:type="dxa"/>
            <w:vAlign w:val="center"/>
          </w:tcPr>
          <w:p w14:paraId="20B1A8C3">
            <w:pPr>
              <w:jc w:val="center"/>
              <w:rPr>
                <w:rFonts w:ascii="宋体" w:hAnsi="宋体" w:cs="宋体"/>
                <w:sz w:val="24"/>
              </w:rPr>
            </w:pPr>
            <w:r>
              <w:rPr>
                <w:rFonts w:hint="eastAsia" w:ascii="宋体" w:hAnsi="宋体" w:cs="宋体"/>
                <w:sz w:val="24"/>
              </w:rPr>
              <w:t>1.60m/s</w:t>
            </w:r>
          </w:p>
        </w:tc>
        <w:tc>
          <w:tcPr>
            <w:tcW w:w="1210" w:type="dxa"/>
            <w:vAlign w:val="center"/>
          </w:tcPr>
          <w:p w14:paraId="7B9EBD42">
            <w:pPr>
              <w:jc w:val="center"/>
              <w:rPr>
                <w:rFonts w:ascii="宋体" w:hAnsi="宋体" w:cs="宋体"/>
                <w:sz w:val="24"/>
              </w:rPr>
            </w:pPr>
            <w:r>
              <w:rPr>
                <w:rFonts w:hint="eastAsia" w:ascii="宋体" w:hAnsi="宋体" w:cs="宋体"/>
                <w:sz w:val="24"/>
              </w:rPr>
              <w:t>1600kg</w:t>
            </w:r>
          </w:p>
        </w:tc>
        <w:tc>
          <w:tcPr>
            <w:tcW w:w="1117" w:type="dxa"/>
            <w:vAlign w:val="center"/>
          </w:tcPr>
          <w:p w14:paraId="27A1CA01">
            <w:pPr>
              <w:jc w:val="center"/>
              <w:rPr>
                <w:rFonts w:ascii="宋体" w:hAnsi="宋体" w:cs="宋体"/>
                <w:sz w:val="24"/>
              </w:rPr>
            </w:pPr>
            <w:r>
              <w:rPr>
                <w:rFonts w:hint="eastAsia" w:ascii="宋体" w:hAnsi="宋体" w:cs="宋体"/>
                <w:sz w:val="24"/>
              </w:rPr>
              <w:t>1台</w:t>
            </w:r>
          </w:p>
        </w:tc>
        <w:tc>
          <w:tcPr>
            <w:tcW w:w="1300" w:type="dxa"/>
            <w:vAlign w:val="center"/>
          </w:tcPr>
          <w:p w14:paraId="71251BFF">
            <w:pPr>
              <w:jc w:val="center"/>
              <w:rPr>
                <w:rFonts w:ascii="宋体" w:hAnsi="宋体" w:cs="宋体"/>
                <w:sz w:val="24"/>
              </w:rPr>
            </w:pPr>
            <w:r>
              <w:rPr>
                <w:rFonts w:hint="eastAsia" w:ascii="宋体" w:hAnsi="宋体" w:cs="宋体"/>
                <w:sz w:val="24"/>
              </w:rPr>
              <w:t>通力</w:t>
            </w:r>
          </w:p>
        </w:tc>
        <w:tc>
          <w:tcPr>
            <w:tcW w:w="1066" w:type="dxa"/>
          </w:tcPr>
          <w:p w14:paraId="048B7E85">
            <w:pPr>
              <w:rPr>
                <w:rFonts w:ascii="宋体" w:hAnsi="宋体" w:cs="宋体"/>
                <w:sz w:val="24"/>
              </w:rPr>
            </w:pPr>
          </w:p>
        </w:tc>
      </w:tr>
      <w:tr w14:paraId="311C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1" w:type="dxa"/>
            <w:vMerge w:val="continue"/>
          </w:tcPr>
          <w:p w14:paraId="1370E018">
            <w:pPr>
              <w:rPr>
                <w:rFonts w:ascii="宋体" w:hAnsi="宋体" w:cs="宋体"/>
                <w:sz w:val="24"/>
              </w:rPr>
            </w:pPr>
          </w:p>
        </w:tc>
        <w:tc>
          <w:tcPr>
            <w:tcW w:w="1197" w:type="dxa"/>
            <w:vAlign w:val="center"/>
          </w:tcPr>
          <w:p w14:paraId="0FB74E90">
            <w:pPr>
              <w:jc w:val="center"/>
              <w:rPr>
                <w:rFonts w:ascii="宋体" w:hAnsi="宋体" w:cs="宋体"/>
                <w:sz w:val="24"/>
              </w:rPr>
            </w:pPr>
            <w:r>
              <w:rPr>
                <w:rFonts w:hint="eastAsia" w:ascii="宋体" w:hAnsi="宋体" w:cs="宋体"/>
                <w:sz w:val="24"/>
              </w:rPr>
              <w:t>大楼南梯</w:t>
            </w:r>
          </w:p>
        </w:tc>
        <w:tc>
          <w:tcPr>
            <w:tcW w:w="1032" w:type="dxa"/>
            <w:vAlign w:val="center"/>
          </w:tcPr>
          <w:p w14:paraId="7940AF0C">
            <w:pPr>
              <w:jc w:val="center"/>
              <w:rPr>
                <w:rFonts w:ascii="宋体" w:hAnsi="宋体" w:cs="宋体"/>
                <w:sz w:val="24"/>
              </w:rPr>
            </w:pPr>
            <w:r>
              <w:rPr>
                <w:rFonts w:hint="eastAsia" w:ascii="宋体" w:hAnsi="宋体" w:cs="宋体"/>
                <w:sz w:val="24"/>
              </w:rPr>
              <w:t>9层9站</w:t>
            </w:r>
          </w:p>
        </w:tc>
        <w:tc>
          <w:tcPr>
            <w:tcW w:w="1056" w:type="dxa"/>
            <w:vAlign w:val="center"/>
          </w:tcPr>
          <w:p w14:paraId="76B87297">
            <w:pPr>
              <w:jc w:val="center"/>
              <w:rPr>
                <w:rFonts w:ascii="宋体" w:hAnsi="宋体" w:cs="宋体"/>
                <w:sz w:val="24"/>
              </w:rPr>
            </w:pPr>
            <w:r>
              <w:rPr>
                <w:rFonts w:hint="eastAsia" w:ascii="宋体" w:hAnsi="宋体" w:cs="宋体"/>
                <w:sz w:val="24"/>
              </w:rPr>
              <w:t>1.75m/s</w:t>
            </w:r>
          </w:p>
        </w:tc>
        <w:tc>
          <w:tcPr>
            <w:tcW w:w="1210" w:type="dxa"/>
            <w:vAlign w:val="center"/>
          </w:tcPr>
          <w:p w14:paraId="03DDC402">
            <w:pPr>
              <w:jc w:val="center"/>
              <w:rPr>
                <w:rFonts w:ascii="宋体" w:hAnsi="宋体" w:cs="宋体"/>
                <w:sz w:val="24"/>
              </w:rPr>
            </w:pPr>
            <w:r>
              <w:rPr>
                <w:rFonts w:hint="eastAsia" w:ascii="宋体" w:hAnsi="宋体" w:cs="宋体"/>
                <w:sz w:val="24"/>
              </w:rPr>
              <w:t>1600kg</w:t>
            </w:r>
          </w:p>
        </w:tc>
        <w:tc>
          <w:tcPr>
            <w:tcW w:w="1117" w:type="dxa"/>
            <w:vAlign w:val="center"/>
          </w:tcPr>
          <w:p w14:paraId="6B46F410">
            <w:pPr>
              <w:jc w:val="center"/>
              <w:rPr>
                <w:rFonts w:ascii="宋体" w:hAnsi="宋体" w:cs="宋体"/>
                <w:sz w:val="24"/>
              </w:rPr>
            </w:pPr>
            <w:r>
              <w:rPr>
                <w:rFonts w:hint="eastAsia" w:ascii="宋体" w:hAnsi="宋体" w:cs="宋体"/>
                <w:sz w:val="24"/>
              </w:rPr>
              <w:t>1台</w:t>
            </w:r>
          </w:p>
        </w:tc>
        <w:tc>
          <w:tcPr>
            <w:tcW w:w="1300" w:type="dxa"/>
            <w:vAlign w:val="center"/>
          </w:tcPr>
          <w:p w14:paraId="04C35DC2">
            <w:pPr>
              <w:jc w:val="center"/>
              <w:rPr>
                <w:rFonts w:ascii="宋体" w:hAnsi="宋体" w:cs="宋体"/>
                <w:sz w:val="24"/>
              </w:rPr>
            </w:pPr>
            <w:r>
              <w:rPr>
                <w:rFonts w:hint="eastAsia" w:ascii="宋体" w:hAnsi="宋体" w:cs="宋体"/>
                <w:sz w:val="24"/>
              </w:rPr>
              <w:t>中威法奥</w:t>
            </w:r>
          </w:p>
        </w:tc>
        <w:tc>
          <w:tcPr>
            <w:tcW w:w="1066" w:type="dxa"/>
          </w:tcPr>
          <w:p w14:paraId="23B309ED">
            <w:pPr>
              <w:rPr>
                <w:rFonts w:ascii="宋体" w:hAnsi="宋体" w:cs="宋体"/>
                <w:sz w:val="24"/>
              </w:rPr>
            </w:pPr>
          </w:p>
        </w:tc>
      </w:tr>
      <w:tr w14:paraId="4A38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1" w:type="dxa"/>
            <w:vMerge w:val="continue"/>
          </w:tcPr>
          <w:p w14:paraId="1AADD05A">
            <w:pPr>
              <w:rPr>
                <w:rFonts w:ascii="宋体" w:hAnsi="宋体" w:cs="宋体"/>
                <w:sz w:val="24"/>
              </w:rPr>
            </w:pPr>
          </w:p>
        </w:tc>
        <w:tc>
          <w:tcPr>
            <w:tcW w:w="1197" w:type="dxa"/>
            <w:vAlign w:val="center"/>
          </w:tcPr>
          <w:p w14:paraId="526530AF">
            <w:pPr>
              <w:jc w:val="center"/>
              <w:rPr>
                <w:rFonts w:ascii="宋体" w:hAnsi="宋体" w:cs="宋体"/>
                <w:sz w:val="24"/>
              </w:rPr>
            </w:pPr>
            <w:r>
              <w:rPr>
                <w:rFonts w:hint="eastAsia" w:ascii="宋体" w:hAnsi="宋体" w:cs="宋体"/>
                <w:sz w:val="24"/>
              </w:rPr>
              <w:t>大楼北梯</w:t>
            </w:r>
          </w:p>
        </w:tc>
        <w:tc>
          <w:tcPr>
            <w:tcW w:w="1032" w:type="dxa"/>
            <w:vAlign w:val="center"/>
          </w:tcPr>
          <w:p w14:paraId="21481ECD">
            <w:pPr>
              <w:jc w:val="center"/>
              <w:rPr>
                <w:rFonts w:ascii="宋体" w:hAnsi="宋体" w:cs="宋体"/>
                <w:sz w:val="24"/>
              </w:rPr>
            </w:pPr>
            <w:r>
              <w:rPr>
                <w:rFonts w:hint="eastAsia" w:ascii="宋体" w:hAnsi="宋体" w:cs="宋体"/>
                <w:sz w:val="24"/>
              </w:rPr>
              <w:t>10层10站</w:t>
            </w:r>
          </w:p>
        </w:tc>
        <w:tc>
          <w:tcPr>
            <w:tcW w:w="1056" w:type="dxa"/>
            <w:vAlign w:val="center"/>
          </w:tcPr>
          <w:p w14:paraId="353FF106">
            <w:pPr>
              <w:jc w:val="center"/>
              <w:rPr>
                <w:rFonts w:ascii="宋体" w:hAnsi="宋体" w:cs="宋体"/>
                <w:sz w:val="24"/>
              </w:rPr>
            </w:pPr>
            <w:r>
              <w:rPr>
                <w:rFonts w:hint="eastAsia" w:ascii="宋体" w:hAnsi="宋体" w:cs="宋体"/>
                <w:sz w:val="24"/>
              </w:rPr>
              <w:t>1.75m/s</w:t>
            </w:r>
          </w:p>
        </w:tc>
        <w:tc>
          <w:tcPr>
            <w:tcW w:w="1210" w:type="dxa"/>
            <w:vAlign w:val="center"/>
          </w:tcPr>
          <w:p w14:paraId="7F41BDB2">
            <w:pPr>
              <w:jc w:val="center"/>
              <w:rPr>
                <w:rFonts w:ascii="宋体" w:hAnsi="宋体" w:cs="宋体"/>
                <w:sz w:val="24"/>
              </w:rPr>
            </w:pPr>
            <w:r>
              <w:rPr>
                <w:rFonts w:hint="eastAsia" w:ascii="宋体" w:hAnsi="宋体" w:cs="宋体"/>
                <w:sz w:val="24"/>
              </w:rPr>
              <w:t>1600kg</w:t>
            </w:r>
          </w:p>
        </w:tc>
        <w:tc>
          <w:tcPr>
            <w:tcW w:w="1117" w:type="dxa"/>
            <w:vAlign w:val="center"/>
          </w:tcPr>
          <w:p w14:paraId="0E5DEAD2">
            <w:pPr>
              <w:jc w:val="center"/>
              <w:rPr>
                <w:rFonts w:ascii="宋体" w:hAnsi="宋体" w:cs="宋体"/>
                <w:sz w:val="24"/>
              </w:rPr>
            </w:pPr>
            <w:r>
              <w:rPr>
                <w:rFonts w:hint="eastAsia" w:ascii="宋体" w:hAnsi="宋体" w:cs="宋体"/>
                <w:sz w:val="24"/>
              </w:rPr>
              <w:t>1台</w:t>
            </w:r>
          </w:p>
        </w:tc>
        <w:tc>
          <w:tcPr>
            <w:tcW w:w="1300" w:type="dxa"/>
            <w:vAlign w:val="center"/>
          </w:tcPr>
          <w:p w14:paraId="03C32FFA">
            <w:pPr>
              <w:jc w:val="center"/>
              <w:rPr>
                <w:rFonts w:ascii="宋体" w:hAnsi="宋体" w:cs="宋体"/>
                <w:sz w:val="24"/>
              </w:rPr>
            </w:pPr>
            <w:r>
              <w:rPr>
                <w:rFonts w:hint="eastAsia" w:ascii="宋体" w:hAnsi="宋体" w:cs="宋体"/>
                <w:sz w:val="24"/>
              </w:rPr>
              <w:t>中威法奥</w:t>
            </w:r>
          </w:p>
        </w:tc>
        <w:tc>
          <w:tcPr>
            <w:tcW w:w="1066" w:type="dxa"/>
          </w:tcPr>
          <w:p w14:paraId="477C7555">
            <w:pPr>
              <w:rPr>
                <w:rFonts w:ascii="宋体" w:hAnsi="宋体" w:cs="宋体"/>
                <w:sz w:val="24"/>
              </w:rPr>
            </w:pPr>
          </w:p>
        </w:tc>
      </w:tr>
    </w:tbl>
    <w:p w14:paraId="7BA6B16E">
      <w:pPr>
        <w:snapToGrid w:val="0"/>
        <w:spacing w:line="440" w:lineRule="exact"/>
        <w:ind w:firstLine="482" w:firstLineChars="200"/>
        <w:rPr>
          <w:b/>
          <w:bCs/>
          <w:color w:val="0000FF"/>
          <w:sz w:val="24"/>
        </w:rPr>
      </w:pPr>
      <w:r>
        <w:rPr>
          <w:rFonts w:hint="eastAsia"/>
          <w:b/>
          <w:bCs/>
          <w:color w:val="0000FF"/>
          <w:sz w:val="24"/>
        </w:rPr>
        <w:t>注：东院区门诊楼4台通力电梯、后勤楼1台通力电梯、老精神科楼2台中威法奥电梯，一共7台电梯维保将于2023年8月14日到期，西区11台蒂升电梯将于2025年5月21日到期。同时老精神科楼即将改造，2台中威法奥电梯可能于今年年底停止使用（帮助业主完成报废手续），以上电梯的维保费用按实际维保时间结算。</w:t>
      </w:r>
    </w:p>
    <w:p w14:paraId="2A20B06D">
      <w:pPr>
        <w:snapToGrid w:val="0"/>
        <w:spacing w:line="440" w:lineRule="exact"/>
        <w:ind w:firstLine="482" w:firstLineChars="200"/>
        <w:rPr>
          <w:b/>
          <w:bCs/>
          <w:color w:val="0000FF"/>
          <w:sz w:val="24"/>
        </w:rPr>
      </w:pPr>
    </w:p>
    <w:p w14:paraId="7111CF9E">
      <w:pPr>
        <w:snapToGrid w:val="0"/>
        <w:spacing w:line="440" w:lineRule="exact"/>
        <w:ind w:firstLine="482" w:firstLineChars="200"/>
        <w:rPr>
          <w:b/>
          <w:bCs/>
          <w:color w:val="0000FF"/>
          <w:sz w:val="24"/>
        </w:rPr>
      </w:pPr>
    </w:p>
    <w:p w14:paraId="251B02B5">
      <w:pPr>
        <w:snapToGrid w:val="0"/>
        <w:spacing w:line="440" w:lineRule="exact"/>
        <w:ind w:firstLine="482" w:firstLineChars="200"/>
        <w:rPr>
          <w:b/>
          <w:bCs/>
          <w:color w:val="0000FF"/>
          <w:sz w:val="24"/>
        </w:rPr>
      </w:pPr>
    </w:p>
    <w:p w14:paraId="56B0F016">
      <w:pPr>
        <w:snapToGrid w:val="0"/>
        <w:spacing w:line="440" w:lineRule="exact"/>
        <w:ind w:firstLine="482" w:firstLineChars="200"/>
        <w:rPr>
          <w:b/>
          <w:bCs/>
          <w:color w:val="0000FF"/>
          <w:sz w:val="24"/>
        </w:rPr>
      </w:pPr>
    </w:p>
    <w:p w14:paraId="69994E68">
      <w:pPr>
        <w:snapToGrid w:val="0"/>
        <w:spacing w:line="440" w:lineRule="exact"/>
        <w:ind w:firstLine="482" w:firstLineChars="200"/>
        <w:rPr>
          <w:b/>
          <w:bCs/>
          <w:color w:val="0000FF"/>
          <w:sz w:val="24"/>
        </w:rPr>
      </w:pPr>
    </w:p>
    <w:p w14:paraId="74F5818A">
      <w:pPr>
        <w:snapToGrid w:val="0"/>
        <w:spacing w:line="440" w:lineRule="exact"/>
        <w:ind w:firstLine="482" w:firstLineChars="200"/>
        <w:rPr>
          <w:b/>
          <w:bCs/>
          <w:color w:val="0000FF"/>
          <w:sz w:val="24"/>
        </w:rPr>
      </w:pPr>
    </w:p>
    <w:p w14:paraId="6DD129A4">
      <w:pPr>
        <w:snapToGrid w:val="0"/>
        <w:spacing w:line="440" w:lineRule="exact"/>
        <w:ind w:firstLine="482" w:firstLineChars="200"/>
        <w:rPr>
          <w:b/>
          <w:bCs/>
          <w:color w:val="0000FF"/>
          <w:sz w:val="24"/>
        </w:rPr>
      </w:pPr>
    </w:p>
    <w:p w14:paraId="6473033B">
      <w:pPr>
        <w:snapToGrid w:val="0"/>
        <w:spacing w:line="440" w:lineRule="exact"/>
        <w:ind w:firstLine="482" w:firstLineChars="200"/>
        <w:rPr>
          <w:b/>
          <w:bCs/>
          <w:color w:val="0000FF"/>
          <w:sz w:val="24"/>
        </w:rPr>
      </w:pPr>
    </w:p>
    <w:p w14:paraId="1A7022A0">
      <w:pPr>
        <w:snapToGrid w:val="0"/>
        <w:spacing w:line="440" w:lineRule="exact"/>
        <w:ind w:firstLine="482" w:firstLineChars="200"/>
        <w:rPr>
          <w:b/>
          <w:bCs/>
          <w:color w:val="0000FF"/>
          <w:sz w:val="24"/>
        </w:rPr>
      </w:pPr>
    </w:p>
    <w:p w14:paraId="1D27C256">
      <w:pPr>
        <w:snapToGrid w:val="0"/>
        <w:spacing w:line="440" w:lineRule="exact"/>
        <w:ind w:firstLine="482" w:firstLineChars="200"/>
        <w:rPr>
          <w:b/>
          <w:bCs/>
          <w:color w:val="0000FF"/>
          <w:sz w:val="24"/>
        </w:rPr>
      </w:pPr>
    </w:p>
    <w:p w14:paraId="6466A105">
      <w:pPr>
        <w:snapToGrid w:val="0"/>
        <w:spacing w:line="440" w:lineRule="exact"/>
        <w:ind w:firstLine="482" w:firstLineChars="200"/>
        <w:rPr>
          <w:b/>
          <w:bCs/>
          <w:color w:val="0000FF"/>
          <w:sz w:val="24"/>
        </w:rPr>
      </w:pPr>
    </w:p>
    <w:p w14:paraId="40B76EBA">
      <w:pPr>
        <w:snapToGrid w:val="0"/>
        <w:spacing w:line="440" w:lineRule="exact"/>
        <w:ind w:firstLine="482" w:firstLineChars="200"/>
        <w:rPr>
          <w:b/>
          <w:bCs/>
          <w:color w:val="0000FF"/>
          <w:sz w:val="24"/>
        </w:rPr>
      </w:pPr>
    </w:p>
    <w:p w14:paraId="0EDE216B">
      <w:pPr>
        <w:snapToGrid w:val="0"/>
        <w:spacing w:line="440" w:lineRule="exact"/>
        <w:ind w:firstLine="482" w:firstLineChars="200"/>
        <w:rPr>
          <w:b/>
          <w:bCs/>
          <w:color w:val="0000FF"/>
          <w:sz w:val="24"/>
        </w:rPr>
      </w:pPr>
    </w:p>
    <w:p w14:paraId="4EAD692D">
      <w:pPr>
        <w:snapToGrid w:val="0"/>
        <w:spacing w:line="440" w:lineRule="exact"/>
        <w:ind w:firstLine="482" w:firstLineChars="200"/>
        <w:rPr>
          <w:b/>
          <w:bCs/>
          <w:color w:val="0000FF"/>
          <w:sz w:val="24"/>
        </w:rPr>
      </w:pPr>
    </w:p>
    <w:p w14:paraId="77CAD536">
      <w:pPr>
        <w:snapToGrid w:val="0"/>
        <w:spacing w:line="440" w:lineRule="exact"/>
        <w:ind w:firstLine="482" w:firstLineChars="200"/>
        <w:rPr>
          <w:b/>
          <w:bCs/>
          <w:color w:val="0000FF"/>
          <w:sz w:val="24"/>
        </w:rPr>
      </w:pPr>
    </w:p>
    <w:p w14:paraId="1668639C">
      <w:pPr>
        <w:snapToGrid w:val="0"/>
        <w:spacing w:line="440" w:lineRule="exact"/>
        <w:ind w:firstLine="482" w:firstLineChars="200"/>
        <w:rPr>
          <w:b/>
          <w:bCs/>
          <w:color w:val="0000FF"/>
          <w:sz w:val="24"/>
        </w:rPr>
      </w:pPr>
    </w:p>
    <w:p w14:paraId="7B82126A">
      <w:pPr>
        <w:snapToGrid w:val="0"/>
        <w:spacing w:line="440" w:lineRule="exact"/>
        <w:ind w:firstLine="482" w:firstLineChars="200"/>
        <w:rPr>
          <w:b/>
          <w:bCs/>
          <w:color w:val="0000FF"/>
          <w:sz w:val="24"/>
        </w:rPr>
      </w:pPr>
    </w:p>
    <w:p w14:paraId="3312054C">
      <w:pPr>
        <w:snapToGrid w:val="0"/>
        <w:spacing w:line="440" w:lineRule="exact"/>
        <w:ind w:firstLine="482" w:firstLineChars="200"/>
        <w:rPr>
          <w:b/>
          <w:bCs/>
          <w:color w:val="0000FF"/>
          <w:sz w:val="24"/>
        </w:rPr>
      </w:pPr>
    </w:p>
    <w:p w14:paraId="09DECB2F">
      <w:pPr>
        <w:snapToGrid w:val="0"/>
        <w:spacing w:line="440" w:lineRule="exact"/>
        <w:ind w:firstLine="482" w:firstLineChars="200"/>
        <w:rPr>
          <w:b/>
          <w:bCs/>
          <w:color w:val="0000FF"/>
          <w:sz w:val="24"/>
        </w:rPr>
      </w:pPr>
    </w:p>
    <w:p w14:paraId="4345A956">
      <w:pPr>
        <w:snapToGrid w:val="0"/>
        <w:spacing w:line="440" w:lineRule="exact"/>
        <w:ind w:firstLine="482" w:firstLineChars="200"/>
        <w:rPr>
          <w:b/>
          <w:bCs/>
          <w:color w:val="0000FF"/>
          <w:sz w:val="24"/>
        </w:rPr>
      </w:pPr>
    </w:p>
    <w:p w14:paraId="04262675">
      <w:pPr>
        <w:snapToGrid w:val="0"/>
        <w:spacing w:line="440" w:lineRule="exact"/>
        <w:ind w:firstLine="482" w:firstLineChars="200"/>
        <w:rPr>
          <w:b/>
          <w:bCs/>
          <w:color w:val="0000FF"/>
          <w:sz w:val="24"/>
        </w:rPr>
      </w:pPr>
    </w:p>
    <w:p w14:paraId="6BEB2E25">
      <w:pPr>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三、电梯定期维保养项目内容及要求</w:t>
      </w:r>
    </w:p>
    <w:p w14:paraId="5DF139AE">
      <w:pPr>
        <w:jc w:val="center"/>
        <w:outlineLvl w:val="1"/>
        <w:rPr>
          <w:b/>
          <w:sz w:val="28"/>
          <w:szCs w:val="28"/>
        </w:rPr>
      </w:pPr>
      <w:bookmarkStart w:id="558" w:name="_Toc25547_WPSOffice_Level2"/>
      <w:bookmarkStart w:id="559" w:name="_Toc30914"/>
      <w:bookmarkStart w:id="560" w:name="_Toc17291_WPSOffice_Level2"/>
      <w:bookmarkStart w:id="561" w:name="_Toc12885_WPSOffice_Level2"/>
      <w:bookmarkStart w:id="562" w:name="_Toc31411"/>
      <w:bookmarkStart w:id="563" w:name="_Toc9795_WPSOffice_Level2"/>
      <w:r>
        <w:rPr>
          <w:b/>
          <w:sz w:val="28"/>
          <w:szCs w:val="28"/>
        </w:rPr>
        <w:t>表 A-1 半月维护保养项目(内容)和要求</w:t>
      </w:r>
      <w:bookmarkEnd w:id="558"/>
      <w:bookmarkEnd w:id="559"/>
      <w:bookmarkEnd w:id="560"/>
      <w:bookmarkEnd w:id="561"/>
      <w:bookmarkEnd w:id="562"/>
      <w:bookmarkEnd w:id="563"/>
    </w:p>
    <w:p w14:paraId="30B71015">
      <w:r>
        <w:t xml:space="preserve"> </w:t>
      </w: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4134"/>
        <w:gridCol w:w="4509"/>
      </w:tblGrid>
      <w:tr w14:paraId="5D1F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AEFE8CD">
            <w:r>
              <w:t>序号</w:t>
            </w:r>
          </w:p>
        </w:tc>
        <w:tc>
          <w:tcPr>
            <w:tcW w:w="4134" w:type="dxa"/>
          </w:tcPr>
          <w:p w14:paraId="4271F83C">
            <w:r>
              <w:t>维护保养项目(内容)</w:t>
            </w:r>
          </w:p>
        </w:tc>
        <w:tc>
          <w:tcPr>
            <w:tcW w:w="4509" w:type="dxa"/>
          </w:tcPr>
          <w:p w14:paraId="59CEB9AD">
            <w:r>
              <w:t>维护保养基本要求</w:t>
            </w:r>
          </w:p>
        </w:tc>
      </w:tr>
      <w:tr w14:paraId="2A483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6069C790">
            <w:r>
              <w:t>1</w:t>
            </w:r>
          </w:p>
        </w:tc>
        <w:tc>
          <w:tcPr>
            <w:tcW w:w="4134" w:type="dxa"/>
          </w:tcPr>
          <w:p w14:paraId="3389294D">
            <w:r>
              <w:t xml:space="preserve">机房、滑轮间环境 </w:t>
            </w:r>
          </w:p>
        </w:tc>
        <w:tc>
          <w:tcPr>
            <w:tcW w:w="4509" w:type="dxa"/>
          </w:tcPr>
          <w:p w14:paraId="06E5DECD">
            <w:r>
              <w:t>清洁</w:t>
            </w:r>
            <w:r>
              <w:rPr>
                <w:rFonts w:hint="eastAsia"/>
              </w:rPr>
              <w:t>,</w:t>
            </w:r>
            <w:r>
              <w:t>门窗完好，照明正常</w:t>
            </w:r>
          </w:p>
        </w:tc>
      </w:tr>
      <w:tr w14:paraId="0A762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1B59B1E5">
            <w:r>
              <w:t>2</w:t>
            </w:r>
          </w:p>
        </w:tc>
        <w:tc>
          <w:tcPr>
            <w:tcW w:w="4134" w:type="dxa"/>
          </w:tcPr>
          <w:p w14:paraId="58F7CA99">
            <w:r>
              <w:t xml:space="preserve">手动紧急操作装置 </w:t>
            </w:r>
          </w:p>
        </w:tc>
        <w:tc>
          <w:tcPr>
            <w:tcW w:w="4509" w:type="dxa"/>
          </w:tcPr>
          <w:p w14:paraId="220DDBC2">
            <w:r>
              <w:t>齐全</w:t>
            </w:r>
            <w:r>
              <w:rPr>
                <w:rFonts w:hint="eastAsia"/>
              </w:rPr>
              <w:t>,</w:t>
            </w:r>
            <w:r>
              <w:t>在指定位置</w:t>
            </w:r>
          </w:p>
        </w:tc>
      </w:tr>
      <w:tr w14:paraId="7064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A1ED2B4">
            <w:r>
              <w:t>3</w:t>
            </w:r>
          </w:p>
        </w:tc>
        <w:tc>
          <w:tcPr>
            <w:tcW w:w="4134" w:type="dxa"/>
          </w:tcPr>
          <w:p w14:paraId="611FF3F4">
            <w:r>
              <w:t>驱动主机</w:t>
            </w:r>
          </w:p>
        </w:tc>
        <w:tc>
          <w:tcPr>
            <w:tcW w:w="4509" w:type="dxa"/>
          </w:tcPr>
          <w:p w14:paraId="38BD40B7">
            <w:r>
              <w:t>运行时无异常振动和异常声响</w:t>
            </w:r>
          </w:p>
        </w:tc>
      </w:tr>
      <w:tr w14:paraId="32AE5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9F24750">
            <w:r>
              <w:t>4</w:t>
            </w:r>
          </w:p>
        </w:tc>
        <w:tc>
          <w:tcPr>
            <w:tcW w:w="4134" w:type="dxa"/>
          </w:tcPr>
          <w:p w14:paraId="2B694B29">
            <w:r>
              <w:t>制动器各销轴部位</w:t>
            </w:r>
          </w:p>
        </w:tc>
        <w:tc>
          <w:tcPr>
            <w:tcW w:w="4509" w:type="dxa"/>
          </w:tcPr>
          <w:p w14:paraId="22F1C061">
            <w:r>
              <w:t>动作灵活</w:t>
            </w:r>
          </w:p>
        </w:tc>
      </w:tr>
      <w:tr w14:paraId="288BA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17" w:type="dxa"/>
          </w:tcPr>
          <w:p w14:paraId="2A024C33">
            <w:r>
              <w:t>5</w:t>
            </w:r>
          </w:p>
        </w:tc>
        <w:tc>
          <w:tcPr>
            <w:tcW w:w="4134" w:type="dxa"/>
          </w:tcPr>
          <w:p w14:paraId="5F0FFF17">
            <w:r>
              <w:t>制动器间隙</w:t>
            </w:r>
          </w:p>
        </w:tc>
        <w:tc>
          <w:tcPr>
            <w:tcW w:w="4509" w:type="dxa"/>
          </w:tcPr>
          <w:p w14:paraId="5BEBA1DE">
            <w:r>
              <w:t>打开时制动衬与制动轮不应发生摩擦，间隙 值符合制造单位要求</w:t>
            </w:r>
          </w:p>
        </w:tc>
      </w:tr>
      <w:tr w14:paraId="1791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17" w:type="dxa"/>
          </w:tcPr>
          <w:p w14:paraId="63432EF2">
            <w:r>
              <w:t>6</w:t>
            </w:r>
          </w:p>
        </w:tc>
        <w:tc>
          <w:tcPr>
            <w:tcW w:w="4134" w:type="dxa"/>
          </w:tcPr>
          <w:p w14:paraId="1C1A793A">
            <w:r>
              <w:t>制动器作为轿厢意外移动保护装置制停子系统时的自监测</w:t>
            </w:r>
          </w:p>
        </w:tc>
        <w:tc>
          <w:tcPr>
            <w:tcW w:w="4509" w:type="dxa"/>
          </w:tcPr>
          <w:p w14:paraId="488C452B">
            <w:r>
              <w:t>制动力人工方式检测符合使用维护说明书要 求；制动力自监测系统有记录</w:t>
            </w:r>
          </w:p>
        </w:tc>
      </w:tr>
      <w:tr w14:paraId="4120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252591B7">
            <w:r>
              <w:t>7</w:t>
            </w:r>
          </w:p>
        </w:tc>
        <w:tc>
          <w:tcPr>
            <w:tcW w:w="4134" w:type="dxa"/>
          </w:tcPr>
          <w:p w14:paraId="5DF76B09">
            <w:r>
              <w:t xml:space="preserve">编码器 </w:t>
            </w:r>
          </w:p>
        </w:tc>
        <w:tc>
          <w:tcPr>
            <w:tcW w:w="4509" w:type="dxa"/>
          </w:tcPr>
          <w:p w14:paraId="252D8CD0">
            <w:r>
              <w:t>清洁，安装牢固</w:t>
            </w:r>
          </w:p>
        </w:tc>
      </w:tr>
      <w:tr w14:paraId="11F52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0539F32F">
            <w:r>
              <w:t>8</w:t>
            </w:r>
          </w:p>
        </w:tc>
        <w:tc>
          <w:tcPr>
            <w:tcW w:w="4134" w:type="dxa"/>
          </w:tcPr>
          <w:p w14:paraId="7AC26097">
            <w:r>
              <w:t xml:space="preserve">限速器各销轴部位 </w:t>
            </w:r>
          </w:p>
        </w:tc>
        <w:tc>
          <w:tcPr>
            <w:tcW w:w="4509" w:type="dxa"/>
          </w:tcPr>
          <w:p w14:paraId="36BCE4C3">
            <w:r>
              <w:t>润滑</w:t>
            </w:r>
            <w:r>
              <w:rPr>
                <w:rFonts w:hint="eastAsia"/>
              </w:rPr>
              <w:t>,</w:t>
            </w:r>
            <w:r>
              <w:t>转动灵活；电气开关正常</w:t>
            </w:r>
          </w:p>
        </w:tc>
      </w:tr>
      <w:tr w14:paraId="16AF8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4C1D91A">
            <w:r>
              <w:t>9</w:t>
            </w:r>
          </w:p>
        </w:tc>
        <w:tc>
          <w:tcPr>
            <w:tcW w:w="4134" w:type="dxa"/>
          </w:tcPr>
          <w:p w14:paraId="5F1E14B1">
            <w:r>
              <w:t>层门和轿门旁路装置</w:t>
            </w:r>
          </w:p>
        </w:tc>
        <w:tc>
          <w:tcPr>
            <w:tcW w:w="4509" w:type="dxa"/>
          </w:tcPr>
          <w:p w14:paraId="58F796FF">
            <w:r>
              <w:t>工作正常</w:t>
            </w:r>
          </w:p>
        </w:tc>
      </w:tr>
      <w:tr w14:paraId="2FBD6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5F83FF03">
            <w:r>
              <w:t>10</w:t>
            </w:r>
          </w:p>
        </w:tc>
        <w:tc>
          <w:tcPr>
            <w:tcW w:w="4134" w:type="dxa"/>
          </w:tcPr>
          <w:p w14:paraId="31F43D00">
            <w:r>
              <w:t>紧急电动运行</w:t>
            </w:r>
          </w:p>
        </w:tc>
        <w:tc>
          <w:tcPr>
            <w:tcW w:w="4509" w:type="dxa"/>
          </w:tcPr>
          <w:p w14:paraId="47BA702B">
            <w:r>
              <w:t>工作正常</w:t>
            </w:r>
          </w:p>
        </w:tc>
      </w:tr>
      <w:tr w14:paraId="685E5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3CDAF8C4">
            <w:r>
              <w:t>11</w:t>
            </w:r>
          </w:p>
        </w:tc>
        <w:tc>
          <w:tcPr>
            <w:tcW w:w="4134" w:type="dxa"/>
          </w:tcPr>
          <w:p w14:paraId="6EA24F8F">
            <w:r>
              <w:t>轿顶</w:t>
            </w:r>
          </w:p>
        </w:tc>
        <w:tc>
          <w:tcPr>
            <w:tcW w:w="4509" w:type="dxa"/>
          </w:tcPr>
          <w:p w14:paraId="3FAD42DE">
            <w:r>
              <w:t>清洁</w:t>
            </w:r>
            <w:r>
              <w:rPr>
                <w:rFonts w:hint="eastAsia"/>
              </w:rPr>
              <w:t>,</w:t>
            </w:r>
            <w:r>
              <w:t>防护栏安全可靠</w:t>
            </w:r>
          </w:p>
        </w:tc>
      </w:tr>
      <w:tr w14:paraId="76A7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355BE13D">
            <w:r>
              <w:t>12</w:t>
            </w:r>
          </w:p>
        </w:tc>
        <w:tc>
          <w:tcPr>
            <w:tcW w:w="4134" w:type="dxa"/>
          </w:tcPr>
          <w:p w14:paraId="7BE94B06">
            <w:r>
              <w:t>轿顶检修开关、停止装置</w:t>
            </w:r>
          </w:p>
        </w:tc>
        <w:tc>
          <w:tcPr>
            <w:tcW w:w="4509" w:type="dxa"/>
          </w:tcPr>
          <w:p w14:paraId="3BFD23C9">
            <w:r>
              <w:t>工作正常</w:t>
            </w:r>
          </w:p>
        </w:tc>
      </w:tr>
      <w:tr w14:paraId="68293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6535824C">
            <w:r>
              <w:t>13</w:t>
            </w:r>
          </w:p>
        </w:tc>
        <w:tc>
          <w:tcPr>
            <w:tcW w:w="4134" w:type="dxa"/>
          </w:tcPr>
          <w:p w14:paraId="53998EDB">
            <w:r>
              <w:t>导靴上油杯</w:t>
            </w:r>
          </w:p>
        </w:tc>
        <w:tc>
          <w:tcPr>
            <w:tcW w:w="4509" w:type="dxa"/>
          </w:tcPr>
          <w:p w14:paraId="28E7708B">
            <w:r>
              <w:t>吸油毛毡齐全，油量适宜，油杯无泄漏</w:t>
            </w:r>
          </w:p>
        </w:tc>
      </w:tr>
      <w:tr w14:paraId="1A74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59343EB2">
            <w:r>
              <w:t>14</w:t>
            </w:r>
          </w:p>
        </w:tc>
        <w:tc>
          <w:tcPr>
            <w:tcW w:w="4134" w:type="dxa"/>
          </w:tcPr>
          <w:p w14:paraId="518AB811">
            <w:r>
              <w:t>对重/平衡重块及其压板</w:t>
            </w:r>
          </w:p>
        </w:tc>
        <w:tc>
          <w:tcPr>
            <w:tcW w:w="4509" w:type="dxa"/>
          </w:tcPr>
          <w:p w14:paraId="22C6D340">
            <w:r>
              <w:t>对重/平衡重块无松动，压板紧固</w:t>
            </w:r>
          </w:p>
        </w:tc>
      </w:tr>
      <w:tr w14:paraId="7A13E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66433F19">
            <w:r>
              <w:t>15</w:t>
            </w:r>
          </w:p>
        </w:tc>
        <w:tc>
          <w:tcPr>
            <w:tcW w:w="4134" w:type="dxa"/>
          </w:tcPr>
          <w:p w14:paraId="611F49E5">
            <w:r>
              <w:t>井道照明</w:t>
            </w:r>
          </w:p>
        </w:tc>
        <w:tc>
          <w:tcPr>
            <w:tcW w:w="4509" w:type="dxa"/>
          </w:tcPr>
          <w:p w14:paraId="010A8506">
            <w:r>
              <w:t>齐全，正常</w:t>
            </w:r>
          </w:p>
        </w:tc>
      </w:tr>
      <w:tr w14:paraId="77424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2822ECB4">
            <w:r>
              <w:t>16</w:t>
            </w:r>
          </w:p>
        </w:tc>
        <w:tc>
          <w:tcPr>
            <w:tcW w:w="4134" w:type="dxa"/>
          </w:tcPr>
          <w:p w14:paraId="7F7A8C2A">
            <w:r>
              <w:t>轿厢照明、风扇、应急照明</w:t>
            </w:r>
          </w:p>
        </w:tc>
        <w:tc>
          <w:tcPr>
            <w:tcW w:w="4509" w:type="dxa"/>
          </w:tcPr>
          <w:p w14:paraId="6CE9FE59">
            <w:r>
              <w:t>工作正常</w:t>
            </w:r>
          </w:p>
        </w:tc>
      </w:tr>
      <w:tr w14:paraId="058C3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17911E29">
            <w:r>
              <w:t>17</w:t>
            </w:r>
          </w:p>
        </w:tc>
        <w:tc>
          <w:tcPr>
            <w:tcW w:w="4134" w:type="dxa"/>
          </w:tcPr>
          <w:p w14:paraId="4951E70A">
            <w:r>
              <w:t>轿厢检修开关、停止装置</w:t>
            </w:r>
          </w:p>
        </w:tc>
        <w:tc>
          <w:tcPr>
            <w:tcW w:w="4509" w:type="dxa"/>
          </w:tcPr>
          <w:p w14:paraId="72B80CC8">
            <w:r>
              <w:t>工作正常</w:t>
            </w:r>
          </w:p>
        </w:tc>
      </w:tr>
      <w:tr w14:paraId="0AED6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1FBCA94B">
            <w:r>
              <w:t>18</w:t>
            </w:r>
          </w:p>
        </w:tc>
        <w:tc>
          <w:tcPr>
            <w:tcW w:w="4134" w:type="dxa"/>
          </w:tcPr>
          <w:p w14:paraId="1AE07FB6">
            <w:r>
              <w:t>轿内报警装置、对讲系统</w:t>
            </w:r>
          </w:p>
        </w:tc>
        <w:tc>
          <w:tcPr>
            <w:tcW w:w="4509" w:type="dxa"/>
          </w:tcPr>
          <w:p w14:paraId="1FF1B762">
            <w:r>
              <w:t>工作正常</w:t>
            </w:r>
          </w:p>
        </w:tc>
      </w:tr>
      <w:tr w14:paraId="6178E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0978720D">
            <w:r>
              <w:t>19</w:t>
            </w:r>
          </w:p>
        </w:tc>
        <w:tc>
          <w:tcPr>
            <w:tcW w:w="4134" w:type="dxa"/>
          </w:tcPr>
          <w:p w14:paraId="5C264E30">
            <w:r>
              <w:t>轿内显示、指令按钮、IC 卡系统</w:t>
            </w:r>
          </w:p>
        </w:tc>
        <w:tc>
          <w:tcPr>
            <w:tcW w:w="4509" w:type="dxa"/>
          </w:tcPr>
          <w:p w14:paraId="3161F594">
            <w:r>
              <w:t>齐全，有效</w:t>
            </w:r>
          </w:p>
        </w:tc>
      </w:tr>
      <w:tr w14:paraId="45C69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17" w:type="dxa"/>
          </w:tcPr>
          <w:p w14:paraId="5CEB0F5B">
            <w:r>
              <w:t>20</w:t>
            </w:r>
          </w:p>
        </w:tc>
        <w:tc>
          <w:tcPr>
            <w:tcW w:w="4134" w:type="dxa"/>
          </w:tcPr>
          <w:p w14:paraId="629A5F68">
            <w:r>
              <w:t>轿门防撞击保护装置(安全触 板，光幕、光电等)</w:t>
            </w:r>
          </w:p>
        </w:tc>
        <w:tc>
          <w:tcPr>
            <w:tcW w:w="4509" w:type="dxa"/>
          </w:tcPr>
          <w:p w14:paraId="55611B1F">
            <w:r>
              <w:t>功能有效</w:t>
            </w:r>
          </w:p>
        </w:tc>
      </w:tr>
      <w:tr w14:paraId="0D487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299B3F67">
            <w:r>
              <w:t>21</w:t>
            </w:r>
          </w:p>
        </w:tc>
        <w:tc>
          <w:tcPr>
            <w:tcW w:w="4134" w:type="dxa"/>
          </w:tcPr>
          <w:p w14:paraId="26C30829">
            <w:r>
              <w:t xml:space="preserve">轿门门锁电气触点 </w:t>
            </w:r>
          </w:p>
        </w:tc>
        <w:tc>
          <w:tcPr>
            <w:tcW w:w="4509" w:type="dxa"/>
          </w:tcPr>
          <w:p w14:paraId="2ED6EC2B">
            <w:r>
              <w:t>清洁</w:t>
            </w:r>
            <w:r>
              <w:rPr>
                <w:rFonts w:hint="eastAsia"/>
              </w:rPr>
              <w:t>,</w:t>
            </w:r>
            <w:r>
              <w:t>触点接触良好，接线可靠</w:t>
            </w:r>
          </w:p>
        </w:tc>
      </w:tr>
      <w:tr w14:paraId="7989A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1CE638AB">
            <w:r>
              <w:t>22</w:t>
            </w:r>
          </w:p>
        </w:tc>
        <w:tc>
          <w:tcPr>
            <w:tcW w:w="4134" w:type="dxa"/>
          </w:tcPr>
          <w:p w14:paraId="303413D2">
            <w:r>
              <w:t>轿门运行</w:t>
            </w:r>
          </w:p>
        </w:tc>
        <w:tc>
          <w:tcPr>
            <w:tcW w:w="4509" w:type="dxa"/>
          </w:tcPr>
          <w:p w14:paraId="63BCBEA9">
            <w:r>
              <w:t>开启和关闭工作正常</w:t>
            </w:r>
          </w:p>
        </w:tc>
      </w:tr>
      <w:tr w14:paraId="7A531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052BCA0">
            <w:r>
              <w:t>23</w:t>
            </w:r>
          </w:p>
        </w:tc>
        <w:tc>
          <w:tcPr>
            <w:tcW w:w="4134" w:type="dxa"/>
          </w:tcPr>
          <w:p w14:paraId="63AC5A7C">
            <w:r>
              <w:t>轿厢平层准确度</w:t>
            </w:r>
          </w:p>
        </w:tc>
        <w:tc>
          <w:tcPr>
            <w:tcW w:w="4509" w:type="dxa"/>
          </w:tcPr>
          <w:p w14:paraId="4FF02B59">
            <w:r>
              <w:t>符合标准值</w:t>
            </w:r>
          </w:p>
        </w:tc>
      </w:tr>
      <w:tr w14:paraId="1E73B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74AA4DC0">
            <w:r>
              <w:t>24</w:t>
            </w:r>
          </w:p>
        </w:tc>
        <w:tc>
          <w:tcPr>
            <w:tcW w:w="4134" w:type="dxa"/>
          </w:tcPr>
          <w:p w14:paraId="3223D5C3">
            <w:r>
              <w:t>层站召唤、层楼显示</w:t>
            </w:r>
          </w:p>
        </w:tc>
        <w:tc>
          <w:tcPr>
            <w:tcW w:w="4509" w:type="dxa"/>
          </w:tcPr>
          <w:p w14:paraId="47E2B0AC">
            <w:r>
              <w:t>齐全，有效</w:t>
            </w:r>
          </w:p>
        </w:tc>
      </w:tr>
      <w:tr w14:paraId="45D7B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08DAD99A">
            <w:r>
              <w:t>25</w:t>
            </w:r>
          </w:p>
        </w:tc>
        <w:tc>
          <w:tcPr>
            <w:tcW w:w="4134" w:type="dxa"/>
          </w:tcPr>
          <w:p w14:paraId="4A174855">
            <w:r>
              <w:t>层门地坎</w:t>
            </w:r>
          </w:p>
        </w:tc>
        <w:tc>
          <w:tcPr>
            <w:tcW w:w="4509" w:type="dxa"/>
          </w:tcPr>
          <w:p w14:paraId="0667612E">
            <w:r>
              <w:t>清洁</w:t>
            </w:r>
          </w:p>
        </w:tc>
      </w:tr>
      <w:tr w14:paraId="0683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14DEF4F5">
            <w:r>
              <w:t>26</w:t>
            </w:r>
          </w:p>
        </w:tc>
        <w:tc>
          <w:tcPr>
            <w:tcW w:w="4134" w:type="dxa"/>
          </w:tcPr>
          <w:p w14:paraId="374672FC">
            <w:r>
              <w:t>层门自动关门装置</w:t>
            </w:r>
          </w:p>
        </w:tc>
        <w:tc>
          <w:tcPr>
            <w:tcW w:w="4509" w:type="dxa"/>
          </w:tcPr>
          <w:p w14:paraId="79B1E67E">
            <w:r>
              <w:t>正常</w:t>
            </w:r>
          </w:p>
        </w:tc>
      </w:tr>
      <w:tr w14:paraId="12CDF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17" w:type="dxa"/>
          </w:tcPr>
          <w:p w14:paraId="3F0E49EA">
            <w:r>
              <w:t>27</w:t>
            </w:r>
          </w:p>
        </w:tc>
        <w:tc>
          <w:tcPr>
            <w:tcW w:w="4134" w:type="dxa"/>
          </w:tcPr>
          <w:p w14:paraId="41835193">
            <w:r>
              <w:t>层门门锁自动复位</w:t>
            </w:r>
          </w:p>
        </w:tc>
        <w:tc>
          <w:tcPr>
            <w:tcW w:w="4509" w:type="dxa"/>
          </w:tcPr>
          <w:p w14:paraId="053AB162">
            <w:r>
              <w:t>用层门钥匙打开手动开锁装置释放后，层门门 锁能自动复位</w:t>
            </w:r>
          </w:p>
        </w:tc>
      </w:tr>
      <w:tr w14:paraId="218A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7AB8BCC9">
            <w:r>
              <w:t>28</w:t>
            </w:r>
          </w:p>
        </w:tc>
        <w:tc>
          <w:tcPr>
            <w:tcW w:w="4134" w:type="dxa"/>
          </w:tcPr>
          <w:p w14:paraId="6DCE39B6">
            <w:r>
              <w:t>层门门锁电气触点 清洁</w:t>
            </w:r>
          </w:p>
        </w:tc>
        <w:tc>
          <w:tcPr>
            <w:tcW w:w="4509" w:type="dxa"/>
          </w:tcPr>
          <w:p w14:paraId="65311BD5">
            <w:r>
              <w:t>触点接触良好，接线可靠</w:t>
            </w:r>
          </w:p>
        </w:tc>
      </w:tr>
      <w:tr w14:paraId="3E59E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C02ABA0">
            <w:r>
              <w:t>29</w:t>
            </w:r>
          </w:p>
        </w:tc>
        <w:tc>
          <w:tcPr>
            <w:tcW w:w="4134" w:type="dxa"/>
          </w:tcPr>
          <w:p w14:paraId="16F54E0C">
            <w:r>
              <w:t xml:space="preserve">  层门锁紧元件啮合长度</w:t>
            </w:r>
          </w:p>
        </w:tc>
        <w:tc>
          <w:tcPr>
            <w:tcW w:w="4509" w:type="dxa"/>
          </w:tcPr>
          <w:p w14:paraId="5BF0A948">
            <w:r>
              <w:t>不小于 7mm</w:t>
            </w:r>
          </w:p>
        </w:tc>
      </w:tr>
      <w:tr w14:paraId="05CDA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6DA62FEF">
            <w:r>
              <w:t>30</w:t>
            </w:r>
          </w:p>
        </w:tc>
        <w:tc>
          <w:tcPr>
            <w:tcW w:w="4134" w:type="dxa"/>
          </w:tcPr>
          <w:p w14:paraId="457630E7">
            <w:r>
              <w:t>底坑环境</w:t>
            </w:r>
          </w:p>
        </w:tc>
        <w:tc>
          <w:tcPr>
            <w:tcW w:w="4509" w:type="dxa"/>
          </w:tcPr>
          <w:p w14:paraId="19BE7B24">
            <w:r>
              <w:t>清洁</w:t>
            </w:r>
            <w:r>
              <w:rPr>
                <w:rFonts w:hint="eastAsia"/>
              </w:rPr>
              <w:t>,</w:t>
            </w:r>
            <w:r>
              <w:t>无渗水、积水，照明正常</w:t>
            </w:r>
          </w:p>
        </w:tc>
      </w:tr>
      <w:tr w14:paraId="338AD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917" w:type="dxa"/>
          </w:tcPr>
          <w:p w14:paraId="34B91CD9">
            <w:r>
              <w:t>31</w:t>
            </w:r>
          </w:p>
        </w:tc>
        <w:tc>
          <w:tcPr>
            <w:tcW w:w="4134" w:type="dxa"/>
          </w:tcPr>
          <w:p w14:paraId="451131EA">
            <w:r>
              <w:t>底坑停止装置</w:t>
            </w:r>
          </w:p>
        </w:tc>
        <w:tc>
          <w:tcPr>
            <w:tcW w:w="4509" w:type="dxa"/>
          </w:tcPr>
          <w:p w14:paraId="71280C36">
            <w:r>
              <w:t>工作正常</w:t>
            </w:r>
          </w:p>
        </w:tc>
      </w:tr>
    </w:tbl>
    <w:p w14:paraId="73554C58"/>
    <w:p w14:paraId="7DC457B3">
      <w:pPr>
        <w:jc w:val="center"/>
        <w:outlineLvl w:val="1"/>
        <w:rPr>
          <w:b/>
          <w:sz w:val="28"/>
          <w:szCs w:val="28"/>
        </w:rPr>
      </w:pPr>
      <w:bookmarkStart w:id="564" w:name="_Toc3206_WPSOffice_Level2"/>
      <w:bookmarkStart w:id="565" w:name="_Toc28330_WPSOffice_Level2"/>
      <w:bookmarkStart w:id="566" w:name="_Toc22931_WPSOffice_Level2"/>
      <w:bookmarkStart w:id="567" w:name="_Toc22541"/>
      <w:bookmarkStart w:id="568" w:name="_Toc25040"/>
      <w:bookmarkStart w:id="569" w:name="_Toc30515_WPSOffice_Level2"/>
    </w:p>
    <w:p w14:paraId="0AB49D30">
      <w:pPr>
        <w:jc w:val="center"/>
        <w:outlineLvl w:val="1"/>
        <w:rPr>
          <w:b/>
          <w:sz w:val="28"/>
          <w:szCs w:val="28"/>
        </w:rPr>
      </w:pPr>
      <w:r>
        <w:rPr>
          <w:b/>
          <w:sz w:val="28"/>
          <w:szCs w:val="28"/>
        </w:rPr>
        <w:t>A-2 季度维护保养项目(内容)和要求</w:t>
      </w:r>
      <w:bookmarkEnd w:id="564"/>
      <w:bookmarkEnd w:id="565"/>
      <w:bookmarkEnd w:id="566"/>
      <w:bookmarkEnd w:id="567"/>
      <w:bookmarkEnd w:id="568"/>
      <w:bookmarkEnd w:id="569"/>
    </w:p>
    <w:p w14:paraId="7ED33B76">
      <w:pPr>
        <w:jc w:val="center"/>
      </w:pPr>
      <w:r>
        <w:rPr>
          <w:rFonts w:hint="eastAsia"/>
        </w:rPr>
        <w:t>（除符合A-1维护保养项目和要求外，还符合A-2的项目和内容）</w:t>
      </w:r>
    </w:p>
    <w:p w14:paraId="145189B3"/>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2993"/>
        <w:gridCol w:w="4344"/>
      </w:tblGrid>
      <w:tr w14:paraId="02153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932" w:type="dxa"/>
            <w:vAlign w:val="center"/>
          </w:tcPr>
          <w:p w14:paraId="5FA8B6C7">
            <w:pPr>
              <w:jc w:val="center"/>
              <w:rPr>
                <w:b/>
                <w:bCs/>
              </w:rPr>
            </w:pPr>
            <w:r>
              <w:rPr>
                <w:b/>
                <w:bCs/>
              </w:rPr>
              <w:t>序号</w:t>
            </w:r>
          </w:p>
        </w:tc>
        <w:tc>
          <w:tcPr>
            <w:tcW w:w="2993" w:type="dxa"/>
            <w:vAlign w:val="center"/>
          </w:tcPr>
          <w:p w14:paraId="37845914">
            <w:pPr>
              <w:rPr>
                <w:b/>
                <w:bCs/>
              </w:rPr>
            </w:pPr>
            <w:r>
              <w:rPr>
                <w:b/>
                <w:bCs/>
              </w:rPr>
              <w:t>维护保养项目(内容)</w:t>
            </w:r>
          </w:p>
        </w:tc>
        <w:tc>
          <w:tcPr>
            <w:tcW w:w="4344" w:type="dxa"/>
            <w:vAlign w:val="center"/>
          </w:tcPr>
          <w:p w14:paraId="078069D5">
            <w:pPr>
              <w:rPr>
                <w:b/>
                <w:bCs/>
              </w:rPr>
            </w:pPr>
            <w:r>
              <w:rPr>
                <w:b/>
                <w:bCs/>
              </w:rPr>
              <w:t>维护保养基本要求</w:t>
            </w:r>
          </w:p>
        </w:tc>
      </w:tr>
      <w:tr w14:paraId="235C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932" w:type="dxa"/>
            <w:vAlign w:val="center"/>
          </w:tcPr>
          <w:p w14:paraId="563D811F">
            <w:pPr>
              <w:jc w:val="center"/>
            </w:pPr>
            <w:r>
              <w:t>1</w:t>
            </w:r>
          </w:p>
        </w:tc>
        <w:tc>
          <w:tcPr>
            <w:tcW w:w="2993" w:type="dxa"/>
            <w:vAlign w:val="center"/>
          </w:tcPr>
          <w:p w14:paraId="4458AC9B">
            <w:r>
              <w:t>减速机润滑油</w:t>
            </w:r>
          </w:p>
        </w:tc>
        <w:tc>
          <w:tcPr>
            <w:tcW w:w="4344" w:type="dxa"/>
            <w:vAlign w:val="center"/>
          </w:tcPr>
          <w:p w14:paraId="3F6F5932">
            <w:r>
              <w:t>油量适宜，除蜗杆伸出端外均无渗漏</w:t>
            </w:r>
          </w:p>
        </w:tc>
      </w:tr>
      <w:tr w14:paraId="21EE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932" w:type="dxa"/>
            <w:vAlign w:val="center"/>
          </w:tcPr>
          <w:p w14:paraId="294B9BC9">
            <w:pPr>
              <w:jc w:val="center"/>
            </w:pPr>
            <w:r>
              <w:t>2</w:t>
            </w:r>
          </w:p>
        </w:tc>
        <w:tc>
          <w:tcPr>
            <w:tcW w:w="2993" w:type="dxa"/>
            <w:vAlign w:val="center"/>
          </w:tcPr>
          <w:p w14:paraId="36276E15">
            <w:r>
              <w:t>制动衬</w:t>
            </w:r>
          </w:p>
        </w:tc>
        <w:tc>
          <w:tcPr>
            <w:tcW w:w="4344" w:type="dxa"/>
            <w:vAlign w:val="center"/>
          </w:tcPr>
          <w:p w14:paraId="77FE2FA1">
            <w:r>
              <w:t>清洁</w:t>
            </w:r>
            <w:r>
              <w:rPr>
                <w:rFonts w:hint="eastAsia"/>
              </w:rPr>
              <w:t>,</w:t>
            </w:r>
            <w:r>
              <w:t>磨损量不超过制造单位要求</w:t>
            </w:r>
          </w:p>
        </w:tc>
      </w:tr>
      <w:tr w14:paraId="5DF3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932" w:type="dxa"/>
            <w:vAlign w:val="center"/>
          </w:tcPr>
          <w:p w14:paraId="1B501D95">
            <w:pPr>
              <w:jc w:val="center"/>
            </w:pPr>
            <w:r>
              <w:t>3</w:t>
            </w:r>
          </w:p>
        </w:tc>
        <w:tc>
          <w:tcPr>
            <w:tcW w:w="2993" w:type="dxa"/>
            <w:vAlign w:val="center"/>
          </w:tcPr>
          <w:p w14:paraId="50541884">
            <w:r>
              <w:t>编码器</w:t>
            </w:r>
          </w:p>
        </w:tc>
        <w:tc>
          <w:tcPr>
            <w:tcW w:w="4344" w:type="dxa"/>
            <w:vAlign w:val="center"/>
          </w:tcPr>
          <w:p w14:paraId="33035B04">
            <w:r>
              <w:t>工作正常</w:t>
            </w:r>
          </w:p>
        </w:tc>
      </w:tr>
      <w:tr w14:paraId="41FDD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932" w:type="dxa"/>
            <w:vAlign w:val="center"/>
          </w:tcPr>
          <w:p w14:paraId="1FC32194">
            <w:pPr>
              <w:jc w:val="center"/>
            </w:pPr>
            <w:r>
              <w:t>4</w:t>
            </w:r>
          </w:p>
        </w:tc>
        <w:tc>
          <w:tcPr>
            <w:tcW w:w="2993" w:type="dxa"/>
            <w:vAlign w:val="center"/>
          </w:tcPr>
          <w:p w14:paraId="0498B6B0">
            <w:r>
              <w:t>选层器动静触点</w:t>
            </w:r>
          </w:p>
        </w:tc>
        <w:tc>
          <w:tcPr>
            <w:tcW w:w="4344" w:type="dxa"/>
            <w:vAlign w:val="center"/>
          </w:tcPr>
          <w:p w14:paraId="25A0A501">
            <w:r>
              <w:t>清洁，无烧蚀</w:t>
            </w:r>
          </w:p>
        </w:tc>
      </w:tr>
      <w:tr w14:paraId="423C1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932" w:type="dxa"/>
            <w:vAlign w:val="center"/>
          </w:tcPr>
          <w:p w14:paraId="4008AB46">
            <w:pPr>
              <w:jc w:val="center"/>
            </w:pPr>
            <w:r>
              <w:t>5</w:t>
            </w:r>
          </w:p>
        </w:tc>
        <w:tc>
          <w:tcPr>
            <w:tcW w:w="2993" w:type="dxa"/>
            <w:vAlign w:val="center"/>
          </w:tcPr>
          <w:p w14:paraId="50F83F4E">
            <w:r>
              <w:t>曳引轮槽、悬挂装置</w:t>
            </w:r>
          </w:p>
        </w:tc>
        <w:tc>
          <w:tcPr>
            <w:tcW w:w="4344" w:type="dxa"/>
            <w:vAlign w:val="center"/>
          </w:tcPr>
          <w:p w14:paraId="26543974">
            <w:r>
              <w:t>清洁，钢丝绳无严重油腻，张力均匀，符合 制造单位要求</w:t>
            </w:r>
          </w:p>
        </w:tc>
      </w:tr>
      <w:tr w14:paraId="5E51B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932" w:type="dxa"/>
            <w:vAlign w:val="center"/>
          </w:tcPr>
          <w:p w14:paraId="4B70CAE2">
            <w:pPr>
              <w:jc w:val="center"/>
            </w:pPr>
            <w:r>
              <w:t>6</w:t>
            </w:r>
          </w:p>
        </w:tc>
        <w:tc>
          <w:tcPr>
            <w:tcW w:w="2993" w:type="dxa"/>
            <w:vAlign w:val="center"/>
          </w:tcPr>
          <w:p w14:paraId="2CC82752">
            <w:r>
              <w:t>限速器轮槽、限速器钢丝绳</w:t>
            </w:r>
          </w:p>
        </w:tc>
        <w:tc>
          <w:tcPr>
            <w:tcW w:w="4344" w:type="dxa"/>
            <w:vAlign w:val="center"/>
          </w:tcPr>
          <w:p w14:paraId="1D0A429B">
            <w:r>
              <w:t>清洁，无严重油腻</w:t>
            </w:r>
          </w:p>
        </w:tc>
      </w:tr>
      <w:tr w14:paraId="69FC2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932" w:type="dxa"/>
            <w:vAlign w:val="center"/>
          </w:tcPr>
          <w:p w14:paraId="291E2869">
            <w:pPr>
              <w:jc w:val="center"/>
            </w:pPr>
            <w:r>
              <w:t>7</w:t>
            </w:r>
          </w:p>
        </w:tc>
        <w:tc>
          <w:tcPr>
            <w:tcW w:w="2993" w:type="dxa"/>
            <w:vAlign w:val="center"/>
          </w:tcPr>
          <w:p w14:paraId="715DA4A9">
            <w:r>
              <w:t>靴衬、滚轮</w:t>
            </w:r>
          </w:p>
        </w:tc>
        <w:tc>
          <w:tcPr>
            <w:tcW w:w="4344" w:type="dxa"/>
            <w:vAlign w:val="center"/>
          </w:tcPr>
          <w:p w14:paraId="63E9A52D">
            <w:r>
              <w:t>清洁，磨损量不超过制造单位要求</w:t>
            </w:r>
          </w:p>
        </w:tc>
      </w:tr>
      <w:tr w14:paraId="72074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932" w:type="dxa"/>
            <w:vAlign w:val="center"/>
          </w:tcPr>
          <w:p w14:paraId="1B902A49">
            <w:pPr>
              <w:jc w:val="center"/>
            </w:pPr>
            <w:r>
              <w:t>8</w:t>
            </w:r>
          </w:p>
        </w:tc>
        <w:tc>
          <w:tcPr>
            <w:tcW w:w="2993" w:type="dxa"/>
            <w:vAlign w:val="center"/>
          </w:tcPr>
          <w:p w14:paraId="35422C3F">
            <w:r>
              <w:t>验证轿门关闭的电气安全装置</w:t>
            </w:r>
          </w:p>
        </w:tc>
        <w:tc>
          <w:tcPr>
            <w:tcW w:w="4344" w:type="dxa"/>
            <w:vAlign w:val="center"/>
          </w:tcPr>
          <w:p w14:paraId="686EACE3">
            <w:r>
              <w:t>工作正常</w:t>
            </w:r>
          </w:p>
        </w:tc>
      </w:tr>
      <w:tr w14:paraId="5E844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932" w:type="dxa"/>
            <w:vAlign w:val="center"/>
          </w:tcPr>
          <w:p w14:paraId="1DBFD2F3">
            <w:pPr>
              <w:jc w:val="center"/>
            </w:pPr>
            <w:r>
              <w:t>9</w:t>
            </w:r>
          </w:p>
        </w:tc>
        <w:tc>
          <w:tcPr>
            <w:tcW w:w="2993" w:type="dxa"/>
            <w:vAlign w:val="center"/>
          </w:tcPr>
          <w:p w14:paraId="431F90FE">
            <w:r>
              <w:t>层门、轿门系统中传动钢丝绳、 链条、传动带</w:t>
            </w:r>
          </w:p>
        </w:tc>
        <w:tc>
          <w:tcPr>
            <w:tcW w:w="4344" w:type="dxa"/>
            <w:vAlign w:val="center"/>
          </w:tcPr>
          <w:p w14:paraId="6B48D22B">
            <w:r>
              <w:t>按照制造单位要求进行清洁、调整</w:t>
            </w:r>
          </w:p>
        </w:tc>
      </w:tr>
      <w:tr w14:paraId="4938A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932" w:type="dxa"/>
            <w:vAlign w:val="center"/>
          </w:tcPr>
          <w:p w14:paraId="428DCBCB">
            <w:pPr>
              <w:jc w:val="center"/>
            </w:pPr>
            <w:r>
              <w:t>10</w:t>
            </w:r>
          </w:p>
        </w:tc>
        <w:tc>
          <w:tcPr>
            <w:tcW w:w="2993" w:type="dxa"/>
            <w:vAlign w:val="center"/>
          </w:tcPr>
          <w:p w14:paraId="4CB942B9">
            <w:r>
              <w:t>层门门导靴</w:t>
            </w:r>
          </w:p>
        </w:tc>
        <w:tc>
          <w:tcPr>
            <w:tcW w:w="4344" w:type="dxa"/>
            <w:vAlign w:val="center"/>
          </w:tcPr>
          <w:p w14:paraId="2C12B5A0">
            <w:r>
              <w:t>磨损量不超过制造单位要求</w:t>
            </w:r>
          </w:p>
        </w:tc>
      </w:tr>
      <w:tr w14:paraId="7E32A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932" w:type="dxa"/>
            <w:vAlign w:val="center"/>
          </w:tcPr>
          <w:p w14:paraId="36B872C4">
            <w:pPr>
              <w:jc w:val="center"/>
            </w:pPr>
            <w:r>
              <w:t>11</w:t>
            </w:r>
          </w:p>
        </w:tc>
        <w:tc>
          <w:tcPr>
            <w:tcW w:w="2993" w:type="dxa"/>
            <w:vAlign w:val="center"/>
          </w:tcPr>
          <w:p w14:paraId="5B14BB24">
            <w:r>
              <w:t>消防开关</w:t>
            </w:r>
          </w:p>
        </w:tc>
        <w:tc>
          <w:tcPr>
            <w:tcW w:w="4344" w:type="dxa"/>
            <w:vAlign w:val="center"/>
          </w:tcPr>
          <w:p w14:paraId="19521881">
            <w:r>
              <w:t>工作正常，功能有效</w:t>
            </w:r>
          </w:p>
        </w:tc>
      </w:tr>
      <w:tr w14:paraId="686BE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932" w:type="dxa"/>
            <w:vAlign w:val="center"/>
          </w:tcPr>
          <w:p w14:paraId="4231C350">
            <w:pPr>
              <w:jc w:val="center"/>
            </w:pPr>
            <w:r>
              <w:t>12</w:t>
            </w:r>
          </w:p>
        </w:tc>
        <w:tc>
          <w:tcPr>
            <w:tcW w:w="2993" w:type="dxa"/>
            <w:vAlign w:val="center"/>
          </w:tcPr>
          <w:p w14:paraId="7028C4C8">
            <w:r>
              <w:t>耗能缓冲器</w:t>
            </w:r>
          </w:p>
        </w:tc>
        <w:tc>
          <w:tcPr>
            <w:tcW w:w="4344" w:type="dxa"/>
            <w:vAlign w:val="center"/>
          </w:tcPr>
          <w:p w14:paraId="1B7C97D7">
            <w:r>
              <w:t>电气安全装置功能有效，油量适宜，柱塞无 锈蚀</w:t>
            </w:r>
          </w:p>
        </w:tc>
      </w:tr>
      <w:tr w14:paraId="6B9E6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2" w:type="dxa"/>
            <w:vAlign w:val="center"/>
          </w:tcPr>
          <w:p w14:paraId="6BB73A00">
            <w:pPr>
              <w:jc w:val="center"/>
            </w:pPr>
            <w:r>
              <w:t>13</w:t>
            </w:r>
          </w:p>
        </w:tc>
        <w:tc>
          <w:tcPr>
            <w:tcW w:w="2993" w:type="dxa"/>
            <w:vAlign w:val="center"/>
          </w:tcPr>
          <w:p w14:paraId="33FE3690">
            <w:r>
              <w:t>限速器张紧轮装置和电气安全装置</w:t>
            </w:r>
          </w:p>
        </w:tc>
        <w:tc>
          <w:tcPr>
            <w:tcW w:w="4344" w:type="dxa"/>
            <w:vAlign w:val="center"/>
          </w:tcPr>
          <w:p w14:paraId="009F6C12">
            <w:r>
              <w:t>工作正常</w:t>
            </w:r>
          </w:p>
        </w:tc>
      </w:tr>
    </w:tbl>
    <w:p w14:paraId="58B901F7">
      <w:pPr>
        <w:pStyle w:val="33"/>
      </w:pPr>
    </w:p>
    <w:p w14:paraId="13F80810">
      <w:pPr>
        <w:jc w:val="center"/>
        <w:outlineLvl w:val="1"/>
        <w:rPr>
          <w:b/>
          <w:sz w:val="28"/>
          <w:szCs w:val="28"/>
        </w:rPr>
      </w:pPr>
      <w:bookmarkStart w:id="570" w:name="_Toc19221_WPSOffice_Level2"/>
      <w:bookmarkStart w:id="571" w:name="_Toc19343"/>
      <w:bookmarkStart w:id="572" w:name="_Toc15906_WPSOffice_Level2"/>
      <w:bookmarkStart w:id="573" w:name="_Toc19875"/>
      <w:bookmarkStart w:id="574" w:name="_Toc24659_WPSOffice_Level2"/>
      <w:bookmarkStart w:id="575" w:name="_Toc20972_WPSOffice_Level2"/>
    </w:p>
    <w:p w14:paraId="403EBFA9">
      <w:pPr>
        <w:jc w:val="center"/>
        <w:outlineLvl w:val="1"/>
        <w:rPr>
          <w:b/>
          <w:sz w:val="28"/>
          <w:szCs w:val="28"/>
        </w:rPr>
      </w:pPr>
      <w:r>
        <w:rPr>
          <w:b/>
          <w:sz w:val="28"/>
          <w:szCs w:val="28"/>
        </w:rPr>
        <w:t>A</w:t>
      </w:r>
      <w:r>
        <w:rPr>
          <w:rFonts w:hint="eastAsia"/>
          <w:b/>
          <w:sz w:val="28"/>
          <w:szCs w:val="28"/>
        </w:rPr>
        <w:t>-3</w:t>
      </w:r>
      <w:r>
        <w:rPr>
          <w:b/>
          <w:sz w:val="28"/>
          <w:szCs w:val="28"/>
        </w:rPr>
        <w:t xml:space="preserve"> 半年维护保养的项目(内容)和要求</w:t>
      </w:r>
      <w:bookmarkEnd w:id="570"/>
      <w:bookmarkEnd w:id="571"/>
      <w:bookmarkEnd w:id="572"/>
      <w:bookmarkEnd w:id="573"/>
      <w:bookmarkEnd w:id="574"/>
      <w:bookmarkEnd w:id="575"/>
    </w:p>
    <w:p w14:paraId="7EB5C315">
      <w:pPr>
        <w:jc w:val="center"/>
      </w:pPr>
      <w:r>
        <w:rPr>
          <w:rFonts w:hint="eastAsia"/>
        </w:rPr>
        <w:t>（</w:t>
      </w:r>
      <w:r>
        <w:t>除符合 A</w:t>
      </w:r>
      <w:r>
        <w:rPr>
          <w:rFonts w:hint="eastAsia"/>
        </w:rPr>
        <w:t>-</w:t>
      </w:r>
      <w:r>
        <w:t>2 季度维护保养的项目(内容)和要求 外，还应当符合表 A-3 的项目(内容)和要求。</w:t>
      </w:r>
      <w:r>
        <w:rPr>
          <w:rFonts w:hint="eastAsia"/>
        </w:rPr>
        <w:t>）</w:t>
      </w:r>
    </w:p>
    <w:p w14:paraId="215CFBC2"/>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
        <w:gridCol w:w="3959"/>
        <w:gridCol w:w="4648"/>
      </w:tblGrid>
      <w:tr w14:paraId="56EEA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5A5E0F82">
            <w:pPr>
              <w:jc w:val="left"/>
              <w:rPr>
                <w:b/>
                <w:bCs/>
              </w:rPr>
            </w:pPr>
            <w:r>
              <w:rPr>
                <w:b/>
                <w:bCs/>
              </w:rPr>
              <w:t>序号</w:t>
            </w:r>
          </w:p>
        </w:tc>
        <w:tc>
          <w:tcPr>
            <w:tcW w:w="3959" w:type="dxa"/>
            <w:vAlign w:val="center"/>
          </w:tcPr>
          <w:p w14:paraId="6AEE41F5">
            <w:pPr>
              <w:jc w:val="left"/>
              <w:rPr>
                <w:b/>
                <w:bCs/>
              </w:rPr>
            </w:pPr>
            <w:r>
              <w:rPr>
                <w:b/>
                <w:bCs/>
              </w:rPr>
              <w:t>维护保养项目(内容)</w:t>
            </w:r>
          </w:p>
        </w:tc>
        <w:tc>
          <w:tcPr>
            <w:tcW w:w="4648" w:type="dxa"/>
            <w:vAlign w:val="center"/>
          </w:tcPr>
          <w:p w14:paraId="0471DDC0">
            <w:pPr>
              <w:jc w:val="left"/>
              <w:rPr>
                <w:b/>
                <w:bCs/>
              </w:rPr>
            </w:pPr>
            <w:r>
              <w:rPr>
                <w:b/>
                <w:bCs/>
              </w:rPr>
              <w:t>维护保养基本要求</w:t>
            </w:r>
          </w:p>
        </w:tc>
      </w:tr>
      <w:tr w14:paraId="7C4C3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13" w:type="dxa"/>
            <w:vAlign w:val="center"/>
          </w:tcPr>
          <w:p w14:paraId="151169FE">
            <w:pPr>
              <w:jc w:val="center"/>
            </w:pPr>
            <w:r>
              <w:t>1</w:t>
            </w:r>
          </w:p>
        </w:tc>
        <w:tc>
          <w:tcPr>
            <w:tcW w:w="3959" w:type="dxa"/>
            <w:vAlign w:val="center"/>
          </w:tcPr>
          <w:p w14:paraId="62AD6E1A">
            <w:r>
              <w:t>电动机与减速机联轴器</w:t>
            </w:r>
          </w:p>
        </w:tc>
        <w:tc>
          <w:tcPr>
            <w:tcW w:w="4648" w:type="dxa"/>
            <w:vAlign w:val="center"/>
          </w:tcPr>
          <w:p w14:paraId="4893A959">
            <w:r>
              <w:t>连接无松动，弹性元件外观良好，无老化等现象</w:t>
            </w:r>
          </w:p>
        </w:tc>
      </w:tr>
      <w:tr w14:paraId="0DC4D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7EE7CB50">
            <w:pPr>
              <w:jc w:val="center"/>
            </w:pPr>
            <w:r>
              <w:t>2</w:t>
            </w:r>
          </w:p>
        </w:tc>
        <w:tc>
          <w:tcPr>
            <w:tcW w:w="3959" w:type="dxa"/>
            <w:vAlign w:val="center"/>
          </w:tcPr>
          <w:p w14:paraId="5CCEFF21">
            <w:r>
              <w:t>驱动轮、导向轮轴承部</w:t>
            </w:r>
          </w:p>
        </w:tc>
        <w:tc>
          <w:tcPr>
            <w:tcW w:w="4648" w:type="dxa"/>
            <w:vAlign w:val="center"/>
          </w:tcPr>
          <w:p w14:paraId="3EADF1F6">
            <w:r>
              <w:t>无异常声响，无振动，润滑良好</w:t>
            </w:r>
          </w:p>
        </w:tc>
      </w:tr>
      <w:tr w14:paraId="373C4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7E6E0C50">
            <w:pPr>
              <w:jc w:val="center"/>
            </w:pPr>
            <w:r>
              <w:t>3</w:t>
            </w:r>
          </w:p>
        </w:tc>
        <w:tc>
          <w:tcPr>
            <w:tcW w:w="3959" w:type="dxa"/>
            <w:vAlign w:val="center"/>
          </w:tcPr>
          <w:p w14:paraId="651FA94E">
            <w:r>
              <w:t>曳引轮槽</w:t>
            </w:r>
          </w:p>
        </w:tc>
        <w:tc>
          <w:tcPr>
            <w:tcW w:w="4648" w:type="dxa"/>
            <w:vAlign w:val="center"/>
          </w:tcPr>
          <w:p w14:paraId="73A11905">
            <w:r>
              <w:t>磨损量不超过制造单位要求</w:t>
            </w:r>
          </w:p>
        </w:tc>
      </w:tr>
      <w:tr w14:paraId="68EE8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7E337211">
            <w:pPr>
              <w:jc w:val="center"/>
            </w:pPr>
            <w:r>
              <w:t>4</w:t>
            </w:r>
          </w:p>
        </w:tc>
        <w:tc>
          <w:tcPr>
            <w:tcW w:w="3959" w:type="dxa"/>
            <w:vAlign w:val="center"/>
          </w:tcPr>
          <w:p w14:paraId="67954220">
            <w:r>
              <w:t>制动器动作状态监测装置</w:t>
            </w:r>
          </w:p>
        </w:tc>
        <w:tc>
          <w:tcPr>
            <w:tcW w:w="4648" w:type="dxa"/>
            <w:vAlign w:val="center"/>
          </w:tcPr>
          <w:p w14:paraId="1DE78E30">
            <w:r>
              <w:t>工作正常，制动器动作可靠</w:t>
            </w:r>
          </w:p>
        </w:tc>
      </w:tr>
      <w:tr w14:paraId="74C7E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76AD3A19">
            <w:pPr>
              <w:jc w:val="center"/>
            </w:pPr>
            <w:r>
              <w:t>5</w:t>
            </w:r>
          </w:p>
        </w:tc>
        <w:tc>
          <w:tcPr>
            <w:tcW w:w="3959" w:type="dxa"/>
            <w:vAlign w:val="center"/>
          </w:tcPr>
          <w:p w14:paraId="1B2767ED">
            <w:r>
              <w:t>控制柜内各接线端子</w:t>
            </w:r>
          </w:p>
        </w:tc>
        <w:tc>
          <w:tcPr>
            <w:tcW w:w="4648" w:type="dxa"/>
            <w:vAlign w:val="center"/>
          </w:tcPr>
          <w:p w14:paraId="4D0D092C">
            <w:r>
              <w:t>各接线紧固、整齐，线号齐全清晰</w:t>
            </w:r>
          </w:p>
        </w:tc>
      </w:tr>
      <w:tr w14:paraId="61467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5708ECF3">
            <w:pPr>
              <w:jc w:val="center"/>
            </w:pPr>
            <w:r>
              <w:t>6</w:t>
            </w:r>
          </w:p>
        </w:tc>
        <w:tc>
          <w:tcPr>
            <w:tcW w:w="3959" w:type="dxa"/>
            <w:vAlign w:val="center"/>
          </w:tcPr>
          <w:p w14:paraId="25B77648">
            <w:r>
              <w:t>控制柜各仪表</w:t>
            </w:r>
          </w:p>
        </w:tc>
        <w:tc>
          <w:tcPr>
            <w:tcW w:w="4648" w:type="dxa"/>
            <w:vAlign w:val="center"/>
          </w:tcPr>
          <w:p w14:paraId="5DE7858B">
            <w:r>
              <w:t>显示正常</w:t>
            </w:r>
          </w:p>
        </w:tc>
      </w:tr>
      <w:tr w14:paraId="52C2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581078D2">
            <w:pPr>
              <w:jc w:val="center"/>
            </w:pPr>
            <w:r>
              <w:t>7</w:t>
            </w:r>
          </w:p>
        </w:tc>
        <w:tc>
          <w:tcPr>
            <w:tcW w:w="3959" w:type="dxa"/>
            <w:vAlign w:val="center"/>
          </w:tcPr>
          <w:p w14:paraId="77D9DE17">
            <w:r>
              <w:t>井道、对重、轿顶各反绳轮轴承部</w:t>
            </w:r>
          </w:p>
        </w:tc>
        <w:tc>
          <w:tcPr>
            <w:tcW w:w="4648" w:type="dxa"/>
            <w:vAlign w:val="center"/>
          </w:tcPr>
          <w:p w14:paraId="6E31DCE9">
            <w:r>
              <w:t>无异常声响，无振动，润滑良好</w:t>
            </w:r>
          </w:p>
        </w:tc>
      </w:tr>
      <w:tr w14:paraId="126A0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2B9864F5">
            <w:pPr>
              <w:jc w:val="center"/>
            </w:pPr>
            <w:r>
              <w:t>8</w:t>
            </w:r>
          </w:p>
        </w:tc>
        <w:tc>
          <w:tcPr>
            <w:tcW w:w="3959" w:type="dxa"/>
            <w:vAlign w:val="center"/>
          </w:tcPr>
          <w:p w14:paraId="54E5D961">
            <w:r>
              <w:t>悬挂装置、补偿绳</w:t>
            </w:r>
          </w:p>
        </w:tc>
        <w:tc>
          <w:tcPr>
            <w:tcW w:w="4648" w:type="dxa"/>
            <w:vAlign w:val="center"/>
          </w:tcPr>
          <w:p w14:paraId="13CF3C77">
            <w:r>
              <w:t>磨损量、断丝数不超过要求</w:t>
            </w:r>
          </w:p>
        </w:tc>
      </w:tr>
      <w:tr w14:paraId="2EA44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55150677">
            <w:pPr>
              <w:jc w:val="center"/>
            </w:pPr>
            <w:r>
              <w:t>9</w:t>
            </w:r>
          </w:p>
        </w:tc>
        <w:tc>
          <w:tcPr>
            <w:tcW w:w="3959" w:type="dxa"/>
            <w:vAlign w:val="center"/>
          </w:tcPr>
          <w:p w14:paraId="5CFAD810">
            <w:r>
              <w:t>绳头组合</w:t>
            </w:r>
          </w:p>
        </w:tc>
        <w:tc>
          <w:tcPr>
            <w:tcW w:w="4648" w:type="dxa"/>
            <w:vAlign w:val="center"/>
          </w:tcPr>
          <w:p w14:paraId="27CA6454">
            <w:r>
              <w:t>螺母无松动</w:t>
            </w:r>
          </w:p>
        </w:tc>
      </w:tr>
      <w:tr w14:paraId="43CA7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16709172">
            <w:pPr>
              <w:jc w:val="center"/>
            </w:pPr>
            <w:r>
              <w:t>10</w:t>
            </w:r>
          </w:p>
        </w:tc>
        <w:tc>
          <w:tcPr>
            <w:tcW w:w="3959" w:type="dxa"/>
            <w:vAlign w:val="center"/>
          </w:tcPr>
          <w:p w14:paraId="2391D91E">
            <w:r>
              <w:t>限速器钢丝绳</w:t>
            </w:r>
          </w:p>
        </w:tc>
        <w:tc>
          <w:tcPr>
            <w:tcW w:w="4648" w:type="dxa"/>
            <w:vAlign w:val="center"/>
          </w:tcPr>
          <w:p w14:paraId="3DBD719D">
            <w:r>
              <w:t>磨损量、断丝数不超过制造单位要求</w:t>
            </w:r>
          </w:p>
        </w:tc>
      </w:tr>
      <w:tr w14:paraId="29DFC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4F00C83A">
            <w:pPr>
              <w:jc w:val="center"/>
            </w:pPr>
            <w:r>
              <w:t>11</w:t>
            </w:r>
          </w:p>
        </w:tc>
        <w:tc>
          <w:tcPr>
            <w:tcW w:w="3959" w:type="dxa"/>
            <w:vAlign w:val="center"/>
          </w:tcPr>
          <w:p w14:paraId="589CB5AD">
            <w:r>
              <w:t>层门、轿门门扇</w:t>
            </w:r>
          </w:p>
        </w:tc>
        <w:tc>
          <w:tcPr>
            <w:tcW w:w="4648" w:type="dxa"/>
            <w:vAlign w:val="center"/>
          </w:tcPr>
          <w:p w14:paraId="49C2B0A4">
            <w:r>
              <w:t>门扇各相关间隙符合标准值</w:t>
            </w:r>
          </w:p>
        </w:tc>
      </w:tr>
      <w:tr w14:paraId="0186F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3B7C59C9">
            <w:pPr>
              <w:jc w:val="center"/>
            </w:pPr>
            <w:r>
              <w:t>12</w:t>
            </w:r>
          </w:p>
        </w:tc>
        <w:tc>
          <w:tcPr>
            <w:tcW w:w="3959" w:type="dxa"/>
            <w:vAlign w:val="center"/>
          </w:tcPr>
          <w:p w14:paraId="5370B7EA">
            <w:r>
              <w:t>轿门开门限制装置</w:t>
            </w:r>
          </w:p>
        </w:tc>
        <w:tc>
          <w:tcPr>
            <w:tcW w:w="4648" w:type="dxa"/>
            <w:vAlign w:val="center"/>
          </w:tcPr>
          <w:p w14:paraId="005ED633">
            <w:r>
              <w:t>工作正常</w:t>
            </w:r>
          </w:p>
        </w:tc>
      </w:tr>
      <w:tr w14:paraId="44FF9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256F25BB">
            <w:pPr>
              <w:jc w:val="center"/>
            </w:pPr>
            <w:r>
              <w:t>13</w:t>
            </w:r>
          </w:p>
        </w:tc>
        <w:tc>
          <w:tcPr>
            <w:tcW w:w="3959" w:type="dxa"/>
            <w:vAlign w:val="center"/>
          </w:tcPr>
          <w:p w14:paraId="6BCCC402">
            <w:r>
              <w:t>对重缓冲距离</w:t>
            </w:r>
          </w:p>
        </w:tc>
        <w:tc>
          <w:tcPr>
            <w:tcW w:w="4648" w:type="dxa"/>
            <w:vAlign w:val="center"/>
          </w:tcPr>
          <w:p w14:paraId="6D42CB0A">
            <w:r>
              <w:t>符合标准值</w:t>
            </w:r>
          </w:p>
        </w:tc>
      </w:tr>
      <w:tr w14:paraId="2BFC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3" w:type="dxa"/>
            <w:vAlign w:val="center"/>
          </w:tcPr>
          <w:p w14:paraId="57652408">
            <w:pPr>
              <w:jc w:val="center"/>
            </w:pPr>
            <w:r>
              <w:t>14</w:t>
            </w:r>
          </w:p>
        </w:tc>
        <w:tc>
          <w:tcPr>
            <w:tcW w:w="3959" w:type="dxa"/>
            <w:vAlign w:val="center"/>
          </w:tcPr>
          <w:p w14:paraId="5D5E481E">
            <w:r>
              <w:t>补偿链(绳)与轿厢、对重</w:t>
            </w:r>
          </w:p>
        </w:tc>
        <w:tc>
          <w:tcPr>
            <w:tcW w:w="4648" w:type="dxa"/>
            <w:vAlign w:val="center"/>
          </w:tcPr>
          <w:p w14:paraId="61DB9EE8">
            <w:r>
              <w:t>接 合处 固定，无松动</w:t>
            </w:r>
          </w:p>
        </w:tc>
      </w:tr>
      <w:tr w14:paraId="24999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913" w:type="dxa"/>
            <w:vAlign w:val="center"/>
          </w:tcPr>
          <w:p w14:paraId="2582B12C">
            <w:pPr>
              <w:jc w:val="center"/>
            </w:pPr>
            <w:r>
              <w:t>15</w:t>
            </w:r>
          </w:p>
        </w:tc>
        <w:tc>
          <w:tcPr>
            <w:tcW w:w="3959" w:type="dxa"/>
            <w:vAlign w:val="center"/>
          </w:tcPr>
          <w:p w14:paraId="0C4E6AF1">
            <w:r>
              <w:t>上、下极限开关</w:t>
            </w:r>
          </w:p>
        </w:tc>
        <w:tc>
          <w:tcPr>
            <w:tcW w:w="4648" w:type="dxa"/>
            <w:vAlign w:val="center"/>
          </w:tcPr>
          <w:p w14:paraId="14389983">
            <w:r>
              <w:t>工作正常</w:t>
            </w:r>
          </w:p>
        </w:tc>
      </w:tr>
    </w:tbl>
    <w:p w14:paraId="19608ADE">
      <w:pPr>
        <w:ind w:firstLine="1124" w:firstLineChars="400"/>
        <w:outlineLvl w:val="1"/>
        <w:rPr>
          <w:b/>
          <w:sz w:val="28"/>
          <w:szCs w:val="28"/>
        </w:rPr>
      </w:pPr>
      <w:bookmarkStart w:id="576" w:name="_Toc24099"/>
      <w:bookmarkStart w:id="577" w:name="_Toc1028"/>
      <w:bookmarkStart w:id="578" w:name="_Toc32299_WPSOffice_Level2"/>
      <w:bookmarkStart w:id="579" w:name="_Toc20831_WPSOffice_Level2"/>
      <w:bookmarkStart w:id="580" w:name="_Toc24953_WPSOffice_Level2"/>
      <w:bookmarkStart w:id="581" w:name="_Toc20470_WPSOffice_Level2"/>
    </w:p>
    <w:p w14:paraId="3AE463CE">
      <w:pPr>
        <w:pStyle w:val="49"/>
      </w:pPr>
    </w:p>
    <w:p w14:paraId="79673A1C">
      <w:pPr>
        <w:jc w:val="center"/>
        <w:outlineLvl w:val="1"/>
        <w:rPr>
          <w:b/>
          <w:sz w:val="28"/>
          <w:szCs w:val="28"/>
        </w:rPr>
      </w:pPr>
      <w:r>
        <w:rPr>
          <w:b/>
          <w:sz w:val="28"/>
          <w:szCs w:val="28"/>
        </w:rPr>
        <w:t>表 A-4 年度维护保养项目(内容)和要求</w:t>
      </w:r>
      <w:bookmarkEnd w:id="576"/>
      <w:bookmarkEnd w:id="577"/>
      <w:bookmarkEnd w:id="578"/>
      <w:bookmarkEnd w:id="579"/>
      <w:bookmarkEnd w:id="580"/>
      <w:bookmarkEnd w:id="581"/>
    </w:p>
    <w:p w14:paraId="31152886">
      <w:pPr>
        <w:jc w:val="center"/>
      </w:pPr>
      <w:r>
        <w:rPr>
          <w:rFonts w:hint="eastAsia"/>
        </w:rPr>
        <w:t>（</w:t>
      </w:r>
      <w:r>
        <w:t>除符合</w:t>
      </w:r>
      <w:r>
        <w:rPr>
          <w:rFonts w:hint="eastAsia"/>
        </w:rPr>
        <w:t>表</w:t>
      </w:r>
      <w:r>
        <w:t xml:space="preserve"> A</w:t>
      </w:r>
      <w:r>
        <w:rPr>
          <w:rFonts w:hint="eastAsia"/>
        </w:rPr>
        <w:t>-</w:t>
      </w:r>
      <w:r>
        <w:t>2</w:t>
      </w:r>
      <w:r>
        <w:rPr>
          <w:rFonts w:hint="eastAsia"/>
        </w:rPr>
        <w:t>、A-3</w:t>
      </w:r>
      <w:r>
        <w:t>维护保养的项目(内容)和要求 外，还应当符合表 A-</w:t>
      </w:r>
      <w:r>
        <w:rPr>
          <w:rFonts w:hint="eastAsia"/>
        </w:rPr>
        <w:t>4</w:t>
      </w:r>
      <w:r>
        <w:t xml:space="preserve"> 的项目(内容)和要求。</w:t>
      </w:r>
      <w:r>
        <w:rPr>
          <w:rFonts w:hint="eastAsia"/>
        </w:rPr>
        <w:t>）</w:t>
      </w:r>
    </w:p>
    <w:tbl>
      <w:tblPr>
        <w:tblStyle w:val="5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3926"/>
        <w:gridCol w:w="4609"/>
      </w:tblGrid>
      <w:tr w14:paraId="37231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1915D011">
            <w:pPr>
              <w:jc w:val="center"/>
              <w:rPr>
                <w:b/>
                <w:bCs/>
              </w:rPr>
            </w:pPr>
            <w:r>
              <w:rPr>
                <w:b/>
                <w:bCs/>
              </w:rPr>
              <w:t>序号</w:t>
            </w:r>
          </w:p>
        </w:tc>
        <w:tc>
          <w:tcPr>
            <w:tcW w:w="3926" w:type="dxa"/>
            <w:vAlign w:val="center"/>
          </w:tcPr>
          <w:p w14:paraId="02CB3A7F">
            <w:pPr>
              <w:rPr>
                <w:b/>
                <w:bCs/>
              </w:rPr>
            </w:pPr>
            <w:r>
              <w:rPr>
                <w:b/>
                <w:bCs/>
              </w:rPr>
              <w:t>维护保养项目(内容)</w:t>
            </w:r>
          </w:p>
        </w:tc>
        <w:tc>
          <w:tcPr>
            <w:tcW w:w="4609" w:type="dxa"/>
            <w:vAlign w:val="center"/>
          </w:tcPr>
          <w:p w14:paraId="5BE6B076">
            <w:pPr>
              <w:rPr>
                <w:b/>
                <w:bCs/>
              </w:rPr>
            </w:pPr>
            <w:r>
              <w:rPr>
                <w:b/>
                <w:bCs/>
              </w:rPr>
              <w:t>维护保养基本要求</w:t>
            </w:r>
          </w:p>
        </w:tc>
      </w:tr>
      <w:tr w14:paraId="416C1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905" w:type="dxa"/>
            <w:vAlign w:val="center"/>
          </w:tcPr>
          <w:p w14:paraId="31CE30C6">
            <w:pPr>
              <w:jc w:val="center"/>
            </w:pPr>
            <w:r>
              <w:t>1</w:t>
            </w:r>
          </w:p>
        </w:tc>
        <w:tc>
          <w:tcPr>
            <w:tcW w:w="3926" w:type="dxa"/>
            <w:vAlign w:val="center"/>
          </w:tcPr>
          <w:p w14:paraId="064F54DB">
            <w:r>
              <w:t>减速机润滑油</w:t>
            </w:r>
          </w:p>
        </w:tc>
        <w:tc>
          <w:tcPr>
            <w:tcW w:w="4609" w:type="dxa"/>
            <w:vAlign w:val="center"/>
          </w:tcPr>
          <w:p w14:paraId="7FE11F2B">
            <w:r>
              <w:t>按照制造单位要求适时更换，保证油质符合 要求</w:t>
            </w:r>
          </w:p>
        </w:tc>
      </w:tr>
      <w:tr w14:paraId="36EE7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5EA897A1">
            <w:pPr>
              <w:jc w:val="center"/>
            </w:pPr>
            <w:r>
              <w:t>2</w:t>
            </w:r>
          </w:p>
        </w:tc>
        <w:tc>
          <w:tcPr>
            <w:tcW w:w="3926" w:type="dxa"/>
            <w:vAlign w:val="center"/>
          </w:tcPr>
          <w:p w14:paraId="3B76C9C7">
            <w:r>
              <w:t>控制柜接触器、继电器触点</w:t>
            </w:r>
          </w:p>
        </w:tc>
        <w:tc>
          <w:tcPr>
            <w:tcW w:w="4609" w:type="dxa"/>
            <w:vAlign w:val="center"/>
          </w:tcPr>
          <w:p w14:paraId="4C4C9155">
            <w:r>
              <w:t>接触良好</w:t>
            </w:r>
          </w:p>
        </w:tc>
      </w:tr>
      <w:tr w14:paraId="7210B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905" w:type="dxa"/>
            <w:vAlign w:val="center"/>
          </w:tcPr>
          <w:p w14:paraId="1FC6B299">
            <w:pPr>
              <w:jc w:val="center"/>
            </w:pPr>
            <w:r>
              <w:t>3</w:t>
            </w:r>
          </w:p>
        </w:tc>
        <w:tc>
          <w:tcPr>
            <w:tcW w:w="3926" w:type="dxa"/>
            <w:vAlign w:val="center"/>
          </w:tcPr>
          <w:p w14:paraId="01DC492F">
            <w:r>
              <w:t>制动器铁芯(柱塞)</w:t>
            </w:r>
          </w:p>
        </w:tc>
        <w:tc>
          <w:tcPr>
            <w:tcW w:w="4609" w:type="dxa"/>
            <w:vAlign w:val="center"/>
          </w:tcPr>
          <w:p w14:paraId="3E2E122D">
            <w:r>
              <w:t>进行清洁、润滑、检查，磨损量不超过制造 单位要求</w:t>
            </w:r>
          </w:p>
        </w:tc>
      </w:tr>
      <w:tr w14:paraId="3E31D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05" w:type="dxa"/>
            <w:vAlign w:val="center"/>
          </w:tcPr>
          <w:p w14:paraId="5EF0B7F6">
            <w:pPr>
              <w:jc w:val="center"/>
            </w:pPr>
            <w:r>
              <w:t>4</w:t>
            </w:r>
          </w:p>
        </w:tc>
        <w:tc>
          <w:tcPr>
            <w:tcW w:w="3926" w:type="dxa"/>
            <w:vAlign w:val="center"/>
          </w:tcPr>
          <w:p w14:paraId="31D46633">
            <w:r>
              <w:t>制动器制动能力</w:t>
            </w:r>
          </w:p>
        </w:tc>
        <w:tc>
          <w:tcPr>
            <w:tcW w:w="4609" w:type="dxa"/>
            <w:vAlign w:val="center"/>
          </w:tcPr>
          <w:p w14:paraId="74ECE481">
            <w:r>
              <w:t>符合制造单位要求，保持有足够的制动力， 必要时进行轿厢装载 125%额定载重量的制 动试验</w:t>
            </w:r>
          </w:p>
        </w:tc>
      </w:tr>
      <w:tr w14:paraId="714A9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464D32CD">
            <w:pPr>
              <w:jc w:val="center"/>
            </w:pPr>
            <w:r>
              <w:t>5</w:t>
            </w:r>
          </w:p>
        </w:tc>
        <w:tc>
          <w:tcPr>
            <w:tcW w:w="3926" w:type="dxa"/>
            <w:vAlign w:val="center"/>
          </w:tcPr>
          <w:p w14:paraId="2E5DEC2D">
            <w:r>
              <w:t>导电回路绝缘性能测试</w:t>
            </w:r>
          </w:p>
        </w:tc>
        <w:tc>
          <w:tcPr>
            <w:tcW w:w="4609" w:type="dxa"/>
            <w:vAlign w:val="center"/>
          </w:tcPr>
          <w:p w14:paraId="4D686B0D">
            <w:r>
              <w:t>符合标准</w:t>
            </w:r>
          </w:p>
        </w:tc>
      </w:tr>
      <w:tr w14:paraId="44678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4" w:hRule="atLeast"/>
        </w:trPr>
        <w:tc>
          <w:tcPr>
            <w:tcW w:w="905" w:type="dxa"/>
            <w:vAlign w:val="center"/>
          </w:tcPr>
          <w:p w14:paraId="4A384965">
            <w:pPr>
              <w:jc w:val="center"/>
            </w:pPr>
            <w:r>
              <w:t>6</w:t>
            </w:r>
          </w:p>
        </w:tc>
        <w:tc>
          <w:tcPr>
            <w:tcW w:w="3926" w:type="dxa"/>
            <w:vAlign w:val="center"/>
          </w:tcPr>
          <w:p w14:paraId="688681F3">
            <w:r>
              <w:t>限速器安全钳联动试验(对于使 用年限不超过 15 年的限速器，每 2 年进行一次限速器动作速度校 验；对于使用年限超过 15 年的限 速器，每年进行一次限速器动作 速度校验)</w:t>
            </w:r>
          </w:p>
        </w:tc>
        <w:tc>
          <w:tcPr>
            <w:tcW w:w="4609" w:type="dxa"/>
            <w:vAlign w:val="center"/>
          </w:tcPr>
          <w:p w14:paraId="5CF64AC4">
            <w:r>
              <w:t>工作正常</w:t>
            </w:r>
          </w:p>
        </w:tc>
      </w:tr>
      <w:tr w14:paraId="3B48F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21727D5F">
            <w:pPr>
              <w:jc w:val="center"/>
            </w:pPr>
            <w:r>
              <w:t>7</w:t>
            </w:r>
          </w:p>
        </w:tc>
        <w:tc>
          <w:tcPr>
            <w:tcW w:w="3926" w:type="dxa"/>
            <w:vAlign w:val="center"/>
          </w:tcPr>
          <w:p w14:paraId="6CEE1B02">
            <w:r>
              <w:t>上行超速保护装置动作试验</w:t>
            </w:r>
          </w:p>
        </w:tc>
        <w:tc>
          <w:tcPr>
            <w:tcW w:w="4609" w:type="dxa"/>
            <w:vAlign w:val="center"/>
          </w:tcPr>
          <w:p w14:paraId="6B3F3A70">
            <w:r>
              <w:t>工作正常</w:t>
            </w:r>
          </w:p>
        </w:tc>
      </w:tr>
      <w:tr w14:paraId="7E2C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6D497F90">
            <w:pPr>
              <w:jc w:val="center"/>
            </w:pPr>
            <w:r>
              <w:t>8</w:t>
            </w:r>
          </w:p>
        </w:tc>
        <w:tc>
          <w:tcPr>
            <w:tcW w:w="3926" w:type="dxa"/>
            <w:vAlign w:val="center"/>
          </w:tcPr>
          <w:p w14:paraId="7BC8B7F6">
            <w:r>
              <w:t>轿厢意外移动保护装置动作试验</w:t>
            </w:r>
          </w:p>
        </w:tc>
        <w:tc>
          <w:tcPr>
            <w:tcW w:w="4609" w:type="dxa"/>
            <w:vAlign w:val="center"/>
          </w:tcPr>
          <w:p w14:paraId="21845EBF">
            <w:r>
              <w:t>工作正常</w:t>
            </w:r>
          </w:p>
        </w:tc>
      </w:tr>
      <w:tr w14:paraId="57E2E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905" w:type="dxa"/>
            <w:vAlign w:val="center"/>
          </w:tcPr>
          <w:p w14:paraId="1A1DD47C">
            <w:pPr>
              <w:jc w:val="center"/>
            </w:pPr>
            <w:r>
              <w:t>9</w:t>
            </w:r>
          </w:p>
        </w:tc>
        <w:tc>
          <w:tcPr>
            <w:tcW w:w="3926" w:type="dxa"/>
            <w:vAlign w:val="center"/>
          </w:tcPr>
          <w:p w14:paraId="629DC4C0">
            <w:r>
              <w:t>轿顶、轿厢架、轿门及其附件安装螺栓</w:t>
            </w:r>
          </w:p>
        </w:tc>
        <w:tc>
          <w:tcPr>
            <w:tcW w:w="4609" w:type="dxa"/>
            <w:vAlign w:val="center"/>
          </w:tcPr>
          <w:p w14:paraId="6C6FE1C0">
            <w:r>
              <w:t>紧固</w:t>
            </w:r>
          </w:p>
        </w:tc>
      </w:tr>
      <w:tr w14:paraId="445D6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1974AAE4">
            <w:pPr>
              <w:jc w:val="center"/>
            </w:pPr>
            <w:r>
              <w:t>10</w:t>
            </w:r>
          </w:p>
        </w:tc>
        <w:tc>
          <w:tcPr>
            <w:tcW w:w="3926" w:type="dxa"/>
            <w:vAlign w:val="center"/>
          </w:tcPr>
          <w:p w14:paraId="779F2890">
            <w:r>
              <w:t xml:space="preserve">轿厢和对重/平衡重的导轨支架 </w:t>
            </w:r>
          </w:p>
        </w:tc>
        <w:tc>
          <w:tcPr>
            <w:tcW w:w="4609" w:type="dxa"/>
            <w:vAlign w:val="center"/>
          </w:tcPr>
          <w:p w14:paraId="7B2E8DC5">
            <w:r>
              <w:t>固定</w:t>
            </w:r>
            <w:r>
              <w:rPr>
                <w:rFonts w:hint="eastAsia"/>
              </w:rPr>
              <w:t>,</w:t>
            </w:r>
            <w:r>
              <w:t>无松动</w:t>
            </w:r>
          </w:p>
        </w:tc>
      </w:tr>
      <w:tr w14:paraId="082AC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7E3B7706">
            <w:pPr>
              <w:jc w:val="center"/>
            </w:pPr>
            <w:r>
              <w:t>11</w:t>
            </w:r>
          </w:p>
        </w:tc>
        <w:tc>
          <w:tcPr>
            <w:tcW w:w="3926" w:type="dxa"/>
            <w:vAlign w:val="center"/>
          </w:tcPr>
          <w:p w14:paraId="449AA7FE">
            <w:r>
              <w:t>轿厢和对重/平衡重的导轨</w:t>
            </w:r>
          </w:p>
        </w:tc>
        <w:tc>
          <w:tcPr>
            <w:tcW w:w="4609" w:type="dxa"/>
            <w:vAlign w:val="center"/>
          </w:tcPr>
          <w:p w14:paraId="09D548D3">
            <w:r>
              <w:t>清洁，压板牢固</w:t>
            </w:r>
          </w:p>
        </w:tc>
      </w:tr>
      <w:tr w14:paraId="77F67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6A8B6202">
            <w:pPr>
              <w:jc w:val="center"/>
            </w:pPr>
            <w:r>
              <w:t>12</w:t>
            </w:r>
          </w:p>
        </w:tc>
        <w:tc>
          <w:tcPr>
            <w:tcW w:w="3926" w:type="dxa"/>
            <w:vAlign w:val="center"/>
          </w:tcPr>
          <w:p w14:paraId="2A405E33">
            <w:r>
              <w:t>随行电缆</w:t>
            </w:r>
          </w:p>
        </w:tc>
        <w:tc>
          <w:tcPr>
            <w:tcW w:w="4609" w:type="dxa"/>
            <w:vAlign w:val="center"/>
          </w:tcPr>
          <w:p w14:paraId="44444CD5">
            <w:r>
              <w:t>无损伤</w:t>
            </w:r>
          </w:p>
        </w:tc>
      </w:tr>
      <w:tr w14:paraId="5C8E4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39539D82">
            <w:pPr>
              <w:jc w:val="center"/>
            </w:pPr>
            <w:r>
              <w:t>13</w:t>
            </w:r>
          </w:p>
        </w:tc>
        <w:tc>
          <w:tcPr>
            <w:tcW w:w="3926" w:type="dxa"/>
            <w:vAlign w:val="center"/>
          </w:tcPr>
          <w:p w14:paraId="4B148FD4">
            <w:r>
              <w:t>层门装置和地坎</w:t>
            </w:r>
          </w:p>
        </w:tc>
        <w:tc>
          <w:tcPr>
            <w:tcW w:w="4609" w:type="dxa"/>
            <w:vAlign w:val="center"/>
          </w:tcPr>
          <w:p w14:paraId="4BBC859F">
            <w:r>
              <w:t>无影响正常使用的变形，各安装螺栓紧固</w:t>
            </w:r>
          </w:p>
        </w:tc>
      </w:tr>
      <w:tr w14:paraId="483D9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78C12C8C">
            <w:pPr>
              <w:jc w:val="center"/>
            </w:pPr>
            <w:r>
              <w:t>14</w:t>
            </w:r>
          </w:p>
        </w:tc>
        <w:tc>
          <w:tcPr>
            <w:tcW w:w="3926" w:type="dxa"/>
            <w:vAlign w:val="center"/>
          </w:tcPr>
          <w:p w14:paraId="005C8802">
            <w:r>
              <w:t>轿厢称重装置</w:t>
            </w:r>
          </w:p>
        </w:tc>
        <w:tc>
          <w:tcPr>
            <w:tcW w:w="4609" w:type="dxa"/>
            <w:vAlign w:val="center"/>
          </w:tcPr>
          <w:p w14:paraId="5AC20C5F">
            <w:r>
              <w:t>准确有效</w:t>
            </w:r>
          </w:p>
        </w:tc>
      </w:tr>
      <w:tr w14:paraId="10DA6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3C9B5DF2">
            <w:pPr>
              <w:jc w:val="center"/>
            </w:pPr>
            <w:r>
              <w:t>15</w:t>
            </w:r>
          </w:p>
        </w:tc>
        <w:tc>
          <w:tcPr>
            <w:tcW w:w="3926" w:type="dxa"/>
            <w:vAlign w:val="center"/>
          </w:tcPr>
          <w:p w14:paraId="74AE6554">
            <w:r>
              <w:t>安全钳钳座</w:t>
            </w:r>
          </w:p>
        </w:tc>
        <w:tc>
          <w:tcPr>
            <w:tcW w:w="4609" w:type="dxa"/>
            <w:vAlign w:val="center"/>
          </w:tcPr>
          <w:p w14:paraId="7D78FFE9">
            <w:r>
              <w:t>固定，无松动</w:t>
            </w:r>
          </w:p>
        </w:tc>
      </w:tr>
      <w:tr w14:paraId="346BF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5" w:type="dxa"/>
            <w:vAlign w:val="center"/>
          </w:tcPr>
          <w:p w14:paraId="38CBE884">
            <w:pPr>
              <w:jc w:val="center"/>
            </w:pPr>
            <w:r>
              <w:t>16</w:t>
            </w:r>
          </w:p>
        </w:tc>
        <w:tc>
          <w:tcPr>
            <w:tcW w:w="3926" w:type="dxa"/>
            <w:vAlign w:val="center"/>
          </w:tcPr>
          <w:p w14:paraId="3C0EC1E1">
            <w:r>
              <w:t>轿底各安装螺栓</w:t>
            </w:r>
          </w:p>
        </w:tc>
        <w:tc>
          <w:tcPr>
            <w:tcW w:w="4609" w:type="dxa"/>
            <w:vAlign w:val="center"/>
          </w:tcPr>
          <w:p w14:paraId="591D9254">
            <w:r>
              <w:t>紧固</w:t>
            </w:r>
          </w:p>
        </w:tc>
      </w:tr>
      <w:tr w14:paraId="2B6D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5" w:type="dxa"/>
            <w:vAlign w:val="center"/>
          </w:tcPr>
          <w:p w14:paraId="070AD71C">
            <w:pPr>
              <w:jc w:val="center"/>
            </w:pPr>
            <w:r>
              <w:t>17</w:t>
            </w:r>
          </w:p>
        </w:tc>
        <w:tc>
          <w:tcPr>
            <w:tcW w:w="3926" w:type="dxa"/>
            <w:vAlign w:val="center"/>
          </w:tcPr>
          <w:p w14:paraId="2737538C">
            <w:r>
              <w:t>缓冲器</w:t>
            </w:r>
          </w:p>
        </w:tc>
        <w:tc>
          <w:tcPr>
            <w:tcW w:w="4609" w:type="dxa"/>
            <w:vAlign w:val="center"/>
          </w:tcPr>
          <w:p w14:paraId="61C9F313">
            <w:r>
              <w:t>固定，无松动</w:t>
            </w:r>
          </w:p>
        </w:tc>
      </w:tr>
    </w:tbl>
    <w:p w14:paraId="7DF10C7D"/>
    <w:p w14:paraId="037FC4B9">
      <w:r>
        <w:t xml:space="preserve">   注 A-1：如果某些电梯没有表中的项目(内容)，如有的电梯不含有某种部件，项目(内容)可适当进行调整(下同)。 </w:t>
      </w:r>
    </w:p>
    <w:p w14:paraId="7C42F51B">
      <w:r>
        <w:t xml:space="preserve">注 A-2：维护保养项目(内容)和要求中对测试、试验有明确规定的，应当按照规定进行测试、 试验，没有明确规定的，一般为检查、调整、清洁和润滑(下同)。 </w:t>
      </w:r>
    </w:p>
    <w:p w14:paraId="6285A502">
      <w:r>
        <w:t xml:space="preserve">注 A-3：维护保养基本要求中，规定为“符合标准值”的，是指符合对应的国家标准、行业 标准和制造单位要求(下同)。 </w:t>
      </w:r>
    </w:p>
    <w:p w14:paraId="120F1066">
      <w:r>
        <w:t>注 A-4：维护保养基本要求中，规定为“制造单位要求”的，按照制造单位的要求，其他没 有明确“要求”的，应当为安全技术规范、标准或者制造单位等的要求(下同)。</w:t>
      </w:r>
    </w:p>
    <w:p w14:paraId="5E6541AD">
      <w:pPr>
        <w:pStyle w:val="49"/>
        <w:tabs>
          <w:tab w:val="left" w:pos="1176"/>
        </w:tabs>
        <w:ind w:firstLine="0" w:firstLineChars="0"/>
      </w:pPr>
    </w:p>
    <w:p w14:paraId="1833586A">
      <w:pPr>
        <w:jc w:val="center"/>
        <w:rPr>
          <w:rFonts w:ascii="微软雅黑" w:hAnsi="微软雅黑" w:eastAsia="微软雅黑" w:cs="微软雅黑"/>
          <w:b/>
          <w:bCs/>
          <w:sz w:val="28"/>
          <w:szCs w:val="28"/>
        </w:rPr>
      </w:pPr>
    </w:p>
    <w:p w14:paraId="3DD67187">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三、维保基本要求</w:t>
      </w:r>
    </w:p>
    <w:tbl>
      <w:tblPr>
        <w:tblStyle w:val="50"/>
        <w:tblW w:w="9778" w:type="dxa"/>
        <w:jc w:val="center"/>
        <w:tblLayout w:type="fixed"/>
        <w:tblCellMar>
          <w:top w:w="0" w:type="dxa"/>
          <w:left w:w="108" w:type="dxa"/>
          <w:bottom w:w="0" w:type="dxa"/>
          <w:right w:w="108" w:type="dxa"/>
        </w:tblCellMar>
      </w:tblPr>
      <w:tblGrid>
        <w:gridCol w:w="741"/>
        <w:gridCol w:w="823"/>
        <w:gridCol w:w="6660"/>
        <w:gridCol w:w="1554"/>
      </w:tblGrid>
      <w:tr w14:paraId="1BA52023">
        <w:tblPrEx>
          <w:tblCellMar>
            <w:top w:w="0" w:type="dxa"/>
            <w:left w:w="108" w:type="dxa"/>
            <w:bottom w:w="0" w:type="dxa"/>
            <w:right w:w="108" w:type="dxa"/>
          </w:tblCellMar>
        </w:tblPrEx>
        <w:trPr>
          <w:trHeight w:val="527"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5B79D31A">
            <w:pPr>
              <w:ind w:left="113" w:right="113"/>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基本要求</w:t>
            </w:r>
          </w:p>
        </w:tc>
        <w:tc>
          <w:tcPr>
            <w:tcW w:w="823" w:type="dxa"/>
            <w:tcBorders>
              <w:top w:val="single" w:color="auto" w:sz="4" w:space="0"/>
              <w:left w:val="nil"/>
              <w:bottom w:val="single" w:color="auto" w:sz="4" w:space="0"/>
              <w:right w:val="single" w:color="auto" w:sz="4" w:space="0"/>
            </w:tcBorders>
            <w:vAlign w:val="center"/>
          </w:tcPr>
          <w:p w14:paraId="1DAC4978">
            <w:pPr>
              <w:spacing w:before="31" w:beforeLines="10" w:line="240" w:lineRule="atLeas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6660" w:type="dxa"/>
            <w:tcBorders>
              <w:top w:val="single" w:color="auto" w:sz="4" w:space="0"/>
              <w:left w:val="nil"/>
              <w:bottom w:val="single" w:color="auto" w:sz="4" w:space="0"/>
              <w:right w:val="single" w:color="auto" w:sz="4" w:space="0"/>
            </w:tcBorders>
            <w:vAlign w:val="bottom"/>
          </w:tcPr>
          <w:p w14:paraId="72A38993">
            <w:pPr>
              <w:spacing w:before="31" w:beforeLines="10" w:line="240" w:lineRule="atLeas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 容</w:t>
            </w:r>
          </w:p>
        </w:tc>
        <w:tc>
          <w:tcPr>
            <w:tcW w:w="1554" w:type="dxa"/>
            <w:tcBorders>
              <w:top w:val="single" w:color="auto" w:sz="4" w:space="0"/>
              <w:left w:val="nil"/>
              <w:bottom w:val="single" w:color="auto" w:sz="4" w:space="0"/>
              <w:right w:val="single" w:color="auto" w:sz="4" w:space="0"/>
            </w:tcBorders>
            <w:vAlign w:val="bottom"/>
          </w:tcPr>
          <w:p w14:paraId="7890BA89">
            <w:pPr>
              <w:spacing w:before="31" w:beforeLines="10" w:line="240" w:lineRule="atLeas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备注</w:t>
            </w:r>
          </w:p>
        </w:tc>
      </w:tr>
      <w:tr w14:paraId="19D9A3D9">
        <w:tblPrEx>
          <w:tblCellMar>
            <w:top w:w="0" w:type="dxa"/>
            <w:left w:w="108" w:type="dxa"/>
            <w:bottom w:w="0" w:type="dxa"/>
            <w:right w:w="108" w:type="dxa"/>
          </w:tblCellMar>
        </w:tblPrEx>
        <w:trPr>
          <w:trHeight w:val="623"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6E7CF330">
            <w:pPr>
              <w:widowControl/>
              <w:jc w:val="center"/>
              <w:rPr>
                <w:rFonts w:asciiTheme="minorEastAsia" w:hAnsiTheme="minorEastAsia" w:eastAsiaTheme="minorEastAsia" w:cstheme="minorEastAsia"/>
              </w:rPr>
            </w:pPr>
          </w:p>
        </w:tc>
        <w:tc>
          <w:tcPr>
            <w:tcW w:w="823" w:type="dxa"/>
            <w:tcBorders>
              <w:top w:val="single" w:color="auto" w:sz="4" w:space="0"/>
              <w:left w:val="nil"/>
              <w:bottom w:val="single" w:color="auto" w:sz="4" w:space="0"/>
              <w:right w:val="single" w:color="auto" w:sz="4" w:space="0"/>
            </w:tcBorders>
            <w:vAlign w:val="center"/>
          </w:tcPr>
          <w:p w14:paraId="2B67F3DC">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660" w:type="dxa"/>
            <w:tcBorders>
              <w:top w:val="single" w:color="auto" w:sz="4" w:space="0"/>
              <w:left w:val="nil"/>
              <w:bottom w:val="single" w:color="auto" w:sz="4" w:space="0"/>
              <w:right w:val="single" w:color="auto" w:sz="4" w:space="0"/>
            </w:tcBorders>
            <w:vAlign w:val="center"/>
          </w:tcPr>
          <w:p w14:paraId="701E393B">
            <w:pPr>
              <w:spacing w:before="31" w:beforeLines="1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维保方式：全面维保。质量标准：优良且保证所有机组正常运行。</w:t>
            </w:r>
          </w:p>
        </w:tc>
        <w:tc>
          <w:tcPr>
            <w:tcW w:w="1554" w:type="dxa"/>
            <w:tcBorders>
              <w:top w:val="single" w:color="auto" w:sz="4" w:space="0"/>
              <w:left w:val="nil"/>
              <w:bottom w:val="single" w:color="auto" w:sz="4" w:space="0"/>
              <w:right w:val="single" w:color="auto" w:sz="4" w:space="0"/>
            </w:tcBorders>
            <w:vAlign w:val="center"/>
          </w:tcPr>
          <w:p w14:paraId="6724ADF8">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14:paraId="42B2CD52">
        <w:tblPrEx>
          <w:tblCellMar>
            <w:top w:w="0" w:type="dxa"/>
            <w:left w:w="108" w:type="dxa"/>
            <w:bottom w:w="0" w:type="dxa"/>
            <w:right w:w="108" w:type="dxa"/>
          </w:tblCellMar>
        </w:tblPrEx>
        <w:trPr>
          <w:trHeight w:val="875"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1500462">
            <w:pPr>
              <w:widowControl/>
              <w:jc w:val="center"/>
              <w:rPr>
                <w:rFonts w:asciiTheme="minorEastAsia" w:hAnsiTheme="minorEastAsia" w:eastAsiaTheme="minorEastAsia" w:cstheme="minorEastAsia"/>
              </w:rPr>
            </w:pPr>
          </w:p>
        </w:tc>
        <w:tc>
          <w:tcPr>
            <w:tcW w:w="823" w:type="dxa"/>
            <w:tcBorders>
              <w:top w:val="single" w:color="auto" w:sz="4" w:space="0"/>
              <w:left w:val="nil"/>
              <w:bottom w:val="single" w:color="auto" w:sz="4" w:space="0"/>
              <w:right w:val="single" w:color="auto" w:sz="4" w:space="0"/>
            </w:tcBorders>
            <w:vAlign w:val="center"/>
          </w:tcPr>
          <w:p w14:paraId="10158DE5">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6660" w:type="dxa"/>
            <w:tcBorders>
              <w:top w:val="single" w:color="auto" w:sz="4" w:space="0"/>
              <w:left w:val="nil"/>
              <w:bottom w:val="single" w:color="auto" w:sz="4" w:space="0"/>
              <w:right w:val="single" w:color="auto" w:sz="4" w:space="0"/>
            </w:tcBorders>
            <w:vAlign w:val="center"/>
          </w:tcPr>
          <w:p w14:paraId="2084B855">
            <w:pPr>
              <w:spacing w:before="31" w:beforeLines="1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协助招标人配合年检，因维保问题造成年检不通过，由维保单位负责复检费用。</w:t>
            </w:r>
          </w:p>
        </w:tc>
        <w:tc>
          <w:tcPr>
            <w:tcW w:w="1554" w:type="dxa"/>
            <w:tcBorders>
              <w:top w:val="single" w:color="auto" w:sz="4" w:space="0"/>
              <w:left w:val="nil"/>
              <w:bottom w:val="single" w:color="auto" w:sz="4" w:space="0"/>
              <w:right w:val="single" w:color="auto" w:sz="4" w:space="0"/>
            </w:tcBorders>
            <w:vAlign w:val="center"/>
          </w:tcPr>
          <w:p w14:paraId="19726226">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14:paraId="0022515F">
        <w:tblPrEx>
          <w:tblCellMar>
            <w:top w:w="0" w:type="dxa"/>
            <w:left w:w="108" w:type="dxa"/>
            <w:bottom w:w="0" w:type="dxa"/>
            <w:right w:w="108" w:type="dxa"/>
          </w:tblCellMar>
        </w:tblPrEx>
        <w:trPr>
          <w:trHeight w:val="575"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CCFCD34">
            <w:pPr>
              <w:widowControl/>
              <w:jc w:val="center"/>
              <w:rPr>
                <w:rFonts w:asciiTheme="minorEastAsia" w:hAnsiTheme="minorEastAsia" w:eastAsiaTheme="minorEastAsia" w:cstheme="minorEastAsia"/>
              </w:rPr>
            </w:pPr>
          </w:p>
        </w:tc>
        <w:tc>
          <w:tcPr>
            <w:tcW w:w="823" w:type="dxa"/>
            <w:tcBorders>
              <w:top w:val="single" w:color="auto" w:sz="4" w:space="0"/>
              <w:left w:val="nil"/>
              <w:bottom w:val="single" w:color="auto" w:sz="4" w:space="0"/>
              <w:right w:val="single" w:color="auto" w:sz="4" w:space="0"/>
            </w:tcBorders>
            <w:vAlign w:val="center"/>
          </w:tcPr>
          <w:p w14:paraId="6B4B572B">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6660" w:type="dxa"/>
            <w:tcBorders>
              <w:top w:val="single" w:color="auto" w:sz="4" w:space="0"/>
              <w:left w:val="nil"/>
              <w:bottom w:val="single" w:color="auto" w:sz="4" w:space="0"/>
              <w:right w:val="single" w:color="auto" w:sz="4" w:space="0"/>
            </w:tcBorders>
            <w:vAlign w:val="center"/>
          </w:tcPr>
          <w:p w14:paraId="42ADF0CC">
            <w:pPr>
              <w:spacing w:before="31" w:beforeLines="1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每月对每台电梯进行两次检查保养，保养符合行业安全运行标准。</w:t>
            </w:r>
          </w:p>
        </w:tc>
        <w:tc>
          <w:tcPr>
            <w:tcW w:w="1554" w:type="dxa"/>
            <w:tcBorders>
              <w:top w:val="single" w:color="auto" w:sz="4" w:space="0"/>
              <w:left w:val="nil"/>
              <w:bottom w:val="single" w:color="auto" w:sz="4" w:space="0"/>
              <w:right w:val="single" w:color="auto" w:sz="4" w:space="0"/>
            </w:tcBorders>
            <w:vAlign w:val="center"/>
          </w:tcPr>
          <w:p w14:paraId="21D6A6B7">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14:paraId="63DAB150">
        <w:tblPrEx>
          <w:tblCellMar>
            <w:top w:w="0" w:type="dxa"/>
            <w:left w:w="108" w:type="dxa"/>
            <w:bottom w:w="0" w:type="dxa"/>
            <w:right w:w="108" w:type="dxa"/>
          </w:tblCellMar>
        </w:tblPrEx>
        <w:trPr>
          <w:trHeight w:val="769"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0D13F1B">
            <w:pPr>
              <w:widowControl/>
              <w:jc w:val="center"/>
              <w:rPr>
                <w:rFonts w:asciiTheme="minorEastAsia" w:hAnsiTheme="minorEastAsia" w:eastAsiaTheme="minorEastAsia" w:cstheme="minorEastAsia"/>
              </w:rPr>
            </w:pPr>
          </w:p>
        </w:tc>
        <w:tc>
          <w:tcPr>
            <w:tcW w:w="823" w:type="dxa"/>
            <w:tcBorders>
              <w:top w:val="single" w:color="auto" w:sz="4" w:space="0"/>
              <w:left w:val="nil"/>
              <w:bottom w:val="single" w:color="auto" w:sz="4" w:space="0"/>
              <w:right w:val="single" w:color="auto" w:sz="4" w:space="0"/>
            </w:tcBorders>
            <w:vAlign w:val="center"/>
          </w:tcPr>
          <w:p w14:paraId="18DCA4F8">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6660" w:type="dxa"/>
            <w:tcBorders>
              <w:top w:val="single" w:color="auto" w:sz="4" w:space="0"/>
              <w:left w:val="nil"/>
              <w:bottom w:val="single" w:color="auto" w:sz="4" w:space="0"/>
              <w:right w:val="single" w:color="auto" w:sz="4" w:space="0"/>
            </w:tcBorders>
            <w:vAlign w:val="center"/>
          </w:tcPr>
          <w:p w14:paraId="7B3F4B7A">
            <w:pPr>
              <w:spacing w:before="31" w:beforeLines="1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保养完毕后，将保养单交物业部门签字认可。保养任务的完成与否，以保养单为准。</w:t>
            </w:r>
          </w:p>
        </w:tc>
        <w:tc>
          <w:tcPr>
            <w:tcW w:w="1554" w:type="dxa"/>
            <w:tcBorders>
              <w:top w:val="single" w:color="auto" w:sz="4" w:space="0"/>
              <w:left w:val="nil"/>
              <w:bottom w:val="single" w:color="auto" w:sz="4" w:space="0"/>
              <w:right w:val="single" w:color="auto" w:sz="4" w:space="0"/>
            </w:tcBorders>
            <w:vAlign w:val="center"/>
          </w:tcPr>
          <w:p w14:paraId="3BA16057">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14:paraId="3C80C2EC">
        <w:tblPrEx>
          <w:tblCellMar>
            <w:top w:w="0" w:type="dxa"/>
            <w:left w:w="108" w:type="dxa"/>
            <w:bottom w:w="0" w:type="dxa"/>
            <w:right w:w="108" w:type="dxa"/>
          </w:tblCellMar>
        </w:tblPrEx>
        <w:trPr>
          <w:trHeight w:val="623"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1EBC9B4">
            <w:pPr>
              <w:widowControl/>
              <w:jc w:val="center"/>
              <w:rPr>
                <w:rFonts w:asciiTheme="minorEastAsia" w:hAnsiTheme="minorEastAsia" w:eastAsiaTheme="minorEastAsia" w:cstheme="minorEastAsia"/>
              </w:rPr>
            </w:pPr>
          </w:p>
        </w:tc>
        <w:tc>
          <w:tcPr>
            <w:tcW w:w="823" w:type="dxa"/>
            <w:tcBorders>
              <w:top w:val="single" w:color="auto" w:sz="4" w:space="0"/>
              <w:left w:val="nil"/>
              <w:bottom w:val="single" w:color="auto" w:sz="4" w:space="0"/>
              <w:right w:val="single" w:color="auto" w:sz="4" w:space="0"/>
            </w:tcBorders>
            <w:vAlign w:val="center"/>
          </w:tcPr>
          <w:p w14:paraId="0664560D">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6660" w:type="dxa"/>
            <w:tcBorders>
              <w:top w:val="single" w:color="auto" w:sz="4" w:space="0"/>
              <w:left w:val="nil"/>
              <w:bottom w:val="single" w:color="auto" w:sz="4" w:space="0"/>
              <w:right w:val="single" w:color="auto" w:sz="4" w:space="0"/>
            </w:tcBorders>
            <w:vAlign w:val="center"/>
          </w:tcPr>
          <w:p w14:paraId="3F256B21">
            <w:pPr>
              <w:spacing w:before="31" w:beforeLines="1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保养时设置现场安全警示标志。</w:t>
            </w:r>
          </w:p>
        </w:tc>
        <w:tc>
          <w:tcPr>
            <w:tcW w:w="1554" w:type="dxa"/>
            <w:tcBorders>
              <w:top w:val="single" w:color="auto" w:sz="4" w:space="0"/>
              <w:left w:val="nil"/>
              <w:bottom w:val="single" w:color="auto" w:sz="4" w:space="0"/>
              <w:right w:val="single" w:color="auto" w:sz="4" w:space="0"/>
            </w:tcBorders>
            <w:vAlign w:val="center"/>
          </w:tcPr>
          <w:p w14:paraId="59BB2F7F">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14:paraId="7C0F93BC">
        <w:tblPrEx>
          <w:tblCellMar>
            <w:top w:w="0" w:type="dxa"/>
            <w:left w:w="108" w:type="dxa"/>
            <w:bottom w:w="0" w:type="dxa"/>
            <w:right w:w="108" w:type="dxa"/>
          </w:tblCellMar>
        </w:tblPrEx>
        <w:trPr>
          <w:trHeight w:val="633"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26E9E2F">
            <w:pPr>
              <w:widowControl/>
              <w:jc w:val="center"/>
              <w:rPr>
                <w:rFonts w:asciiTheme="minorEastAsia" w:hAnsiTheme="minorEastAsia" w:eastAsiaTheme="minorEastAsia" w:cstheme="minorEastAsia"/>
              </w:rPr>
            </w:pPr>
          </w:p>
        </w:tc>
        <w:tc>
          <w:tcPr>
            <w:tcW w:w="823" w:type="dxa"/>
            <w:tcBorders>
              <w:top w:val="single" w:color="auto" w:sz="4" w:space="0"/>
              <w:left w:val="nil"/>
              <w:bottom w:val="single" w:color="auto" w:sz="4" w:space="0"/>
              <w:right w:val="single" w:color="auto" w:sz="4" w:space="0"/>
            </w:tcBorders>
            <w:vAlign w:val="center"/>
          </w:tcPr>
          <w:p w14:paraId="0EE023F1">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6660" w:type="dxa"/>
            <w:tcBorders>
              <w:top w:val="single" w:color="auto" w:sz="4" w:space="0"/>
              <w:left w:val="nil"/>
              <w:bottom w:val="single" w:color="auto" w:sz="4" w:space="0"/>
              <w:right w:val="single" w:color="auto" w:sz="4" w:space="0"/>
            </w:tcBorders>
            <w:vAlign w:val="center"/>
          </w:tcPr>
          <w:p w14:paraId="76D60ED0">
            <w:pPr>
              <w:spacing w:before="31" w:beforeLines="1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电梯发生故障时，必须在20分钟内赶到现场解决问题</w:t>
            </w:r>
          </w:p>
        </w:tc>
        <w:tc>
          <w:tcPr>
            <w:tcW w:w="1554" w:type="dxa"/>
            <w:tcBorders>
              <w:top w:val="single" w:color="auto" w:sz="4" w:space="0"/>
              <w:left w:val="nil"/>
              <w:bottom w:val="single" w:color="auto" w:sz="4" w:space="0"/>
              <w:right w:val="single" w:color="auto" w:sz="4" w:space="0"/>
            </w:tcBorders>
            <w:vAlign w:val="center"/>
          </w:tcPr>
          <w:p w14:paraId="1A1D90D2">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14:paraId="72571443">
        <w:tblPrEx>
          <w:tblCellMar>
            <w:top w:w="0" w:type="dxa"/>
            <w:left w:w="108" w:type="dxa"/>
            <w:bottom w:w="0" w:type="dxa"/>
            <w:right w:w="108" w:type="dxa"/>
          </w:tblCellMar>
        </w:tblPrEx>
        <w:trPr>
          <w:trHeight w:val="767"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0C2C489">
            <w:pPr>
              <w:widowControl/>
              <w:jc w:val="center"/>
              <w:rPr>
                <w:rFonts w:asciiTheme="minorEastAsia" w:hAnsiTheme="minorEastAsia" w:eastAsiaTheme="minorEastAsia" w:cstheme="minorEastAsia"/>
              </w:rPr>
            </w:pPr>
          </w:p>
        </w:tc>
        <w:tc>
          <w:tcPr>
            <w:tcW w:w="823" w:type="dxa"/>
            <w:tcBorders>
              <w:top w:val="single" w:color="auto" w:sz="4" w:space="0"/>
              <w:left w:val="nil"/>
              <w:bottom w:val="single" w:color="auto" w:sz="4" w:space="0"/>
              <w:right w:val="single" w:color="auto" w:sz="4" w:space="0"/>
            </w:tcBorders>
            <w:vAlign w:val="center"/>
          </w:tcPr>
          <w:p w14:paraId="32A858A0">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6660" w:type="dxa"/>
            <w:tcBorders>
              <w:top w:val="single" w:color="auto" w:sz="4" w:space="0"/>
              <w:left w:val="nil"/>
              <w:bottom w:val="single" w:color="auto" w:sz="4" w:space="0"/>
              <w:right w:val="single" w:color="auto" w:sz="4" w:space="0"/>
            </w:tcBorders>
            <w:vAlign w:val="center"/>
          </w:tcPr>
          <w:p w14:paraId="53FEAD20">
            <w:pPr>
              <w:spacing w:before="31" w:beforeLines="1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一般修理：更换小部件或小故障修理，应在接到通知后30分钟内到场，并在120分钟内完成。</w:t>
            </w:r>
          </w:p>
        </w:tc>
        <w:tc>
          <w:tcPr>
            <w:tcW w:w="1554" w:type="dxa"/>
            <w:tcBorders>
              <w:top w:val="single" w:color="auto" w:sz="4" w:space="0"/>
              <w:left w:val="nil"/>
              <w:bottom w:val="single" w:color="auto" w:sz="4" w:space="0"/>
              <w:right w:val="single" w:color="auto" w:sz="4" w:space="0"/>
            </w:tcBorders>
            <w:vAlign w:val="center"/>
          </w:tcPr>
          <w:p w14:paraId="3DFBE542">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14:paraId="4C3FE32E">
        <w:tblPrEx>
          <w:tblCellMar>
            <w:top w:w="0" w:type="dxa"/>
            <w:left w:w="108" w:type="dxa"/>
            <w:bottom w:w="0" w:type="dxa"/>
            <w:right w:w="108" w:type="dxa"/>
          </w:tblCellMar>
        </w:tblPrEx>
        <w:trPr>
          <w:trHeight w:val="753"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B100A16">
            <w:pPr>
              <w:widowControl/>
              <w:jc w:val="center"/>
              <w:rPr>
                <w:rFonts w:asciiTheme="minorEastAsia" w:hAnsiTheme="minorEastAsia" w:eastAsiaTheme="minorEastAsia" w:cstheme="minorEastAsia"/>
              </w:rPr>
            </w:pPr>
          </w:p>
        </w:tc>
        <w:tc>
          <w:tcPr>
            <w:tcW w:w="823" w:type="dxa"/>
            <w:tcBorders>
              <w:top w:val="single" w:color="auto" w:sz="4" w:space="0"/>
              <w:left w:val="nil"/>
              <w:bottom w:val="single" w:color="auto" w:sz="4" w:space="0"/>
              <w:right w:val="single" w:color="auto" w:sz="4" w:space="0"/>
            </w:tcBorders>
            <w:vAlign w:val="center"/>
          </w:tcPr>
          <w:p w14:paraId="43A7F641">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6660" w:type="dxa"/>
            <w:tcBorders>
              <w:top w:val="single" w:color="auto" w:sz="4" w:space="0"/>
              <w:left w:val="nil"/>
              <w:bottom w:val="single" w:color="auto" w:sz="4" w:space="0"/>
              <w:right w:val="single" w:color="auto" w:sz="4" w:space="0"/>
            </w:tcBorders>
            <w:vAlign w:val="center"/>
          </w:tcPr>
          <w:p w14:paraId="6E5CC36F">
            <w:pPr>
              <w:spacing w:before="31" w:beforeLines="1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特殊修理：更换笨重、大部件或较复杂故障修理，应在接到通知后30分钟到场，并在2天内完成。</w:t>
            </w:r>
          </w:p>
        </w:tc>
        <w:tc>
          <w:tcPr>
            <w:tcW w:w="1554" w:type="dxa"/>
            <w:tcBorders>
              <w:top w:val="single" w:color="auto" w:sz="4" w:space="0"/>
              <w:left w:val="nil"/>
              <w:bottom w:val="single" w:color="auto" w:sz="4" w:space="0"/>
              <w:right w:val="single" w:color="auto" w:sz="4" w:space="0"/>
            </w:tcBorders>
            <w:vAlign w:val="center"/>
          </w:tcPr>
          <w:p w14:paraId="1E78EF4B">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14:paraId="681909E9">
        <w:tblPrEx>
          <w:tblCellMar>
            <w:top w:w="0" w:type="dxa"/>
            <w:left w:w="108" w:type="dxa"/>
            <w:bottom w:w="0" w:type="dxa"/>
            <w:right w:w="108" w:type="dxa"/>
          </w:tblCellMar>
        </w:tblPrEx>
        <w:trPr>
          <w:trHeight w:val="837"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79A515D">
            <w:pPr>
              <w:widowControl/>
              <w:jc w:val="center"/>
              <w:rPr>
                <w:rFonts w:asciiTheme="minorEastAsia" w:hAnsiTheme="minorEastAsia" w:eastAsiaTheme="minorEastAsia" w:cstheme="minorEastAsia"/>
              </w:rPr>
            </w:pPr>
          </w:p>
        </w:tc>
        <w:tc>
          <w:tcPr>
            <w:tcW w:w="823" w:type="dxa"/>
            <w:tcBorders>
              <w:top w:val="single" w:color="auto" w:sz="4" w:space="0"/>
              <w:left w:val="nil"/>
              <w:bottom w:val="single" w:color="auto" w:sz="4" w:space="0"/>
              <w:right w:val="single" w:color="auto" w:sz="4" w:space="0"/>
            </w:tcBorders>
            <w:vAlign w:val="center"/>
          </w:tcPr>
          <w:p w14:paraId="745F31CE">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6660" w:type="dxa"/>
            <w:tcBorders>
              <w:top w:val="single" w:color="auto" w:sz="4" w:space="0"/>
              <w:left w:val="nil"/>
              <w:bottom w:val="single" w:color="auto" w:sz="4" w:space="0"/>
              <w:right w:val="single" w:color="auto" w:sz="4" w:space="0"/>
            </w:tcBorders>
            <w:vAlign w:val="center"/>
          </w:tcPr>
          <w:p w14:paraId="4648D508">
            <w:pPr>
              <w:spacing w:before="31" w:beforeLines="1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提供24小时招修服务，在正常工作时间以外进行维保服务时，不加收其他费用。</w:t>
            </w:r>
          </w:p>
        </w:tc>
        <w:tc>
          <w:tcPr>
            <w:tcW w:w="1554" w:type="dxa"/>
            <w:tcBorders>
              <w:top w:val="single" w:color="auto" w:sz="4" w:space="0"/>
              <w:left w:val="nil"/>
              <w:bottom w:val="single" w:color="auto" w:sz="4" w:space="0"/>
              <w:right w:val="single" w:color="auto" w:sz="4" w:space="0"/>
            </w:tcBorders>
            <w:vAlign w:val="center"/>
          </w:tcPr>
          <w:p w14:paraId="687C8165">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14:paraId="1AC7A200">
        <w:tblPrEx>
          <w:tblCellMar>
            <w:top w:w="0" w:type="dxa"/>
            <w:left w:w="108" w:type="dxa"/>
            <w:bottom w:w="0" w:type="dxa"/>
            <w:right w:w="108" w:type="dxa"/>
          </w:tblCellMar>
        </w:tblPrEx>
        <w:trPr>
          <w:trHeight w:val="931"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17993B9">
            <w:pPr>
              <w:widowControl/>
              <w:jc w:val="center"/>
              <w:rPr>
                <w:rFonts w:asciiTheme="minorEastAsia" w:hAnsiTheme="minorEastAsia" w:eastAsiaTheme="minorEastAsia" w:cstheme="minorEastAsia"/>
              </w:rPr>
            </w:pPr>
          </w:p>
        </w:tc>
        <w:tc>
          <w:tcPr>
            <w:tcW w:w="823" w:type="dxa"/>
            <w:tcBorders>
              <w:top w:val="single" w:color="auto" w:sz="4" w:space="0"/>
              <w:left w:val="nil"/>
              <w:bottom w:val="single" w:color="auto" w:sz="4" w:space="0"/>
              <w:right w:val="single" w:color="auto" w:sz="4" w:space="0"/>
            </w:tcBorders>
            <w:vAlign w:val="center"/>
          </w:tcPr>
          <w:p w14:paraId="3793CA8B">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660" w:type="dxa"/>
            <w:tcBorders>
              <w:top w:val="single" w:color="auto" w:sz="4" w:space="0"/>
              <w:left w:val="nil"/>
              <w:bottom w:val="single" w:color="auto" w:sz="4" w:space="0"/>
              <w:right w:val="single" w:color="auto" w:sz="4" w:space="0"/>
            </w:tcBorders>
            <w:vAlign w:val="center"/>
          </w:tcPr>
          <w:p w14:paraId="41990BEB">
            <w:pPr>
              <w:spacing w:before="31" w:beforeLines="1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春节、国庆节等传统节假日期内，委派专门的维修技术人员到达现场进行节日保障。</w:t>
            </w:r>
          </w:p>
        </w:tc>
        <w:tc>
          <w:tcPr>
            <w:tcW w:w="1554" w:type="dxa"/>
            <w:tcBorders>
              <w:top w:val="single" w:color="auto" w:sz="4" w:space="0"/>
              <w:left w:val="nil"/>
              <w:bottom w:val="single" w:color="auto" w:sz="4" w:space="0"/>
              <w:right w:val="single" w:color="auto" w:sz="4" w:space="0"/>
            </w:tcBorders>
            <w:vAlign w:val="center"/>
          </w:tcPr>
          <w:p w14:paraId="4159EEAD">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14:paraId="6F05B012">
        <w:tblPrEx>
          <w:tblCellMar>
            <w:top w:w="0" w:type="dxa"/>
            <w:left w:w="108" w:type="dxa"/>
            <w:bottom w:w="0" w:type="dxa"/>
            <w:right w:w="108" w:type="dxa"/>
          </w:tblCellMar>
        </w:tblPrEx>
        <w:trPr>
          <w:trHeight w:val="822"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539D662">
            <w:pPr>
              <w:widowControl/>
              <w:jc w:val="center"/>
              <w:rPr>
                <w:rFonts w:asciiTheme="minorEastAsia" w:hAnsiTheme="minorEastAsia" w:eastAsiaTheme="minorEastAsia" w:cstheme="minorEastAsia"/>
              </w:rPr>
            </w:pPr>
          </w:p>
        </w:tc>
        <w:tc>
          <w:tcPr>
            <w:tcW w:w="823" w:type="dxa"/>
            <w:tcBorders>
              <w:top w:val="single" w:color="auto" w:sz="4" w:space="0"/>
              <w:left w:val="nil"/>
              <w:bottom w:val="single" w:color="auto" w:sz="4" w:space="0"/>
              <w:right w:val="single" w:color="auto" w:sz="4" w:space="0"/>
            </w:tcBorders>
            <w:vAlign w:val="center"/>
          </w:tcPr>
          <w:p w14:paraId="594ACDBB">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6660" w:type="dxa"/>
            <w:tcBorders>
              <w:top w:val="single" w:color="auto" w:sz="4" w:space="0"/>
              <w:left w:val="nil"/>
              <w:bottom w:val="single" w:color="auto" w:sz="4" w:space="0"/>
              <w:right w:val="single" w:color="auto" w:sz="4" w:space="0"/>
            </w:tcBorders>
            <w:vAlign w:val="center"/>
          </w:tcPr>
          <w:p w14:paraId="2D2E99E3">
            <w:pPr>
              <w:spacing w:before="31" w:beforeLines="1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根据招标方实际需要提供电梯操作的系统培训。</w:t>
            </w:r>
          </w:p>
        </w:tc>
        <w:tc>
          <w:tcPr>
            <w:tcW w:w="1554" w:type="dxa"/>
            <w:tcBorders>
              <w:top w:val="single" w:color="auto" w:sz="4" w:space="0"/>
              <w:left w:val="nil"/>
              <w:bottom w:val="single" w:color="auto" w:sz="4" w:space="0"/>
              <w:right w:val="single" w:color="auto" w:sz="4" w:space="0"/>
            </w:tcBorders>
            <w:vAlign w:val="center"/>
          </w:tcPr>
          <w:p w14:paraId="6C26EA9C">
            <w:pPr>
              <w:spacing w:before="31" w:beforeLines="10"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bl>
    <w:p w14:paraId="05B4300B"/>
    <w:p w14:paraId="79A24F0A">
      <w:pPr>
        <w:pStyle w:val="16"/>
        <w:spacing w:line="360" w:lineRule="auto"/>
        <w:ind w:firstLine="480" w:firstLineChars="200"/>
      </w:pPr>
    </w:p>
    <w:p w14:paraId="7C33A3E4">
      <w:pPr>
        <w:pStyle w:val="16"/>
        <w:spacing w:line="360" w:lineRule="auto"/>
        <w:ind w:firstLine="480" w:firstLineChars="200"/>
      </w:pPr>
    </w:p>
    <w:p w14:paraId="4F89752F">
      <w:pPr>
        <w:pStyle w:val="16"/>
        <w:spacing w:line="360" w:lineRule="auto"/>
        <w:ind w:firstLine="480" w:firstLineChars="200"/>
      </w:pPr>
    </w:p>
    <w:p w14:paraId="6C1EF016">
      <w:pPr>
        <w:pStyle w:val="16"/>
        <w:spacing w:line="360" w:lineRule="auto"/>
        <w:ind w:firstLine="480" w:firstLineChars="200"/>
      </w:pPr>
    </w:p>
    <w:p w14:paraId="3A1B9287">
      <w:pPr>
        <w:pStyle w:val="16"/>
        <w:spacing w:line="360" w:lineRule="auto"/>
        <w:ind w:firstLine="480" w:firstLineChars="200"/>
      </w:pPr>
    </w:p>
    <w:p w14:paraId="51B38DE8">
      <w:pPr>
        <w:pStyle w:val="16"/>
        <w:spacing w:line="360" w:lineRule="auto"/>
        <w:ind w:firstLine="480" w:firstLineChars="200"/>
      </w:pPr>
    </w:p>
    <w:p w14:paraId="1945B67C">
      <w:pPr>
        <w:pStyle w:val="16"/>
        <w:spacing w:line="360" w:lineRule="auto"/>
        <w:ind w:firstLine="480" w:firstLineChars="200"/>
      </w:pPr>
    </w:p>
    <w:p w14:paraId="711BB11A">
      <w:pPr>
        <w:pStyle w:val="16"/>
        <w:spacing w:line="360" w:lineRule="auto"/>
        <w:ind w:firstLine="480" w:firstLineChars="200"/>
      </w:pPr>
    </w:p>
    <w:p w14:paraId="6ED48938">
      <w:pPr>
        <w:pStyle w:val="16"/>
        <w:spacing w:line="360" w:lineRule="auto"/>
        <w:ind w:firstLine="480" w:firstLineChars="200"/>
      </w:pPr>
    </w:p>
    <w:p w14:paraId="06DF21D4">
      <w:pPr>
        <w:pStyle w:val="16"/>
        <w:spacing w:line="360" w:lineRule="auto"/>
        <w:ind w:firstLine="480" w:firstLineChars="200"/>
      </w:pPr>
    </w:p>
    <w:p w14:paraId="23A7B897">
      <w:pPr>
        <w:pStyle w:val="16"/>
        <w:spacing w:line="360" w:lineRule="auto"/>
        <w:ind w:firstLine="480" w:firstLineChars="200"/>
      </w:pPr>
    </w:p>
    <w:bookmarkEnd w:id="551"/>
    <w:bookmarkEnd w:id="552"/>
    <w:bookmarkEnd w:id="553"/>
    <w:bookmarkEnd w:id="554"/>
    <w:bookmarkEnd w:id="555"/>
    <w:bookmarkEnd w:id="556"/>
    <w:bookmarkEnd w:id="557"/>
    <w:p w14:paraId="05A6F1B7">
      <w:pPr>
        <w:spacing w:before="156" w:beforeLines="50" w:after="156" w:afterLines="50"/>
        <w:ind w:firstLine="643"/>
        <w:jc w:val="center"/>
        <w:outlineLvl w:val="0"/>
        <w:rPr>
          <w:rFonts w:ascii="宋体"/>
          <w:b/>
          <w:sz w:val="32"/>
          <w:szCs w:val="32"/>
        </w:rPr>
      </w:pPr>
      <w:bookmarkStart w:id="582" w:name="_Toc58430332"/>
      <w:bookmarkStart w:id="583" w:name="_Toc449028948"/>
      <w:bookmarkStart w:id="584" w:name="_Toc152045813"/>
      <w:bookmarkStart w:id="585" w:name="_Toc247085892"/>
      <w:bookmarkStart w:id="586" w:name="_Toc144974881"/>
      <w:bookmarkStart w:id="587" w:name="_Toc152042602"/>
      <w:bookmarkStart w:id="588" w:name="_Toc246997117"/>
      <w:bookmarkStart w:id="589" w:name="_Toc246996374"/>
      <w:bookmarkStart w:id="590" w:name="_Toc296602622"/>
      <w:bookmarkStart w:id="591" w:name="_Toc179632833"/>
      <w:r>
        <w:rPr>
          <w:rFonts w:hint="eastAsia" w:ascii="宋体"/>
          <w:b/>
          <w:sz w:val="32"/>
          <w:szCs w:val="32"/>
        </w:rPr>
        <w:t>第五章 合同条款及格式参考范本（服务类）</w:t>
      </w:r>
    </w:p>
    <w:p w14:paraId="3EB5DAC0">
      <w:pPr>
        <w:widowControl/>
        <w:spacing w:line="400" w:lineRule="exact"/>
        <w:ind w:left="360" w:firstLine="602"/>
        <w:jc w:val="center"/>
        <w:textAlignment w:val="baseline"/>
        <w:outlineLvl w:val="1"/>
        <w:rPr>
          <w:rFonts w:ascii="宋体"/>
          <w:b/>
          <w:sz w:val="30"/>
          <w:szCs w:val="30"/>
        </w:rPr>
      </w:pPr>
      <w:bookmarkStart w:id="592" w:name="_Toc58430330"/>
    </w:p>
    <w:p w14:paraId="7BC04886">
      <w:pPr>
        <w:widowControl/>
        <w:spacing w:line="400" w:lineRule="exact"/>
        <w:ind w:left="360" w:firstLine="602"/>
        <w:jc w:val="center"/>
        <w:textAlignment w:val="baseline"/>
        <w:outlineLvl w:val="1"/>
        <w:rPr>
          <w:rFonts w:ascii="宋体"/>
          <w:b/>
          <w:sz w:val="30"/>
          <w:szCs w:val="30"/>
        </w:rPr>
      </w:pPr>
    </w:p>
    <w:p w14:paraId="4BC985B8">
      <w:pPr>
        <w:widowControl/>
        <w:spacing w:line="400" w:lineRule="exact"/>
        <w:ind w:left="360" w:firstLine="602"/>
        <w:jc w:val="center"/>
        <w:textAlignment w:val="baseline"/>
        <w:outlineLvl w:val="1"/>
        <w:rPr>
          <w:rFonts w:ascii="宋体"/>
          <w:b/>
          <w:sz w:val="30"/>
          <w:szCs w:val="30"/>
        </w:rPr>
      </w:pPr>
    </w:p>
    <w:p w14:paraId="5E2CF2B0">
      <w:pPr>
        <w:widowControl/>
        <w:spacing w:line="400" w:lineRule="exact"/>
        <w:ind w:left="360" w:firstLine="602"/>
        <w:jc w:val="center"/>
        <w:textAlignment w:val="baseline"/>
        <w:outlineLvl w:val="1"/>
        <w:rPr>
          <w:rFonts w:ascii="黑体" w:eastAsia="黑体"/>
          <w:b/>
          <w:sz w:val="30"/>
          <w:szCs w:val="30"/>
        </w:rPr>
      </w:pPr>
      <w:r>
        <w:rPr>
          <w:rFonts w:hint="eastAsia" w:ascii="宋体"/>
          <w:b/>
          <w:sz w:val="30"/>
          <w:szCs w:val="30"/>
        </w:rPr>
        <w:t>一</w:t>
      </w:r>
      <w:bookmarkStart w:id="593" w:name="_Toc449028946"/>
      <w:r>
        <w:rPr>
          <w:rFonts w:hint="eastAsia" w:ascii="宋体"/>
          <w:b/>
          <w:sz w:val="30"/>
          <w:szCs w:val="30"/>
        </w:rPr>
        <w:t>、合同协议书（格式）</w:t>
      </w:r>
      <w:bookmarkEnd w:id="592"/>
      <w:bookmarkEnd w:id="593"/>
    </w:p>
    <w:p w14:paraId="04D7F748">
      <w:pPr>
        <w:spacing w:before="120" w:line="480" w:lineRule="auto"/>
        <w:ind w:left="960"/>
        <w:rPr>
          <w:rFonts w:ascii="宋体" w:hAnsi="宋体"/>
          <w:sz w:val="24"/>
        </w:rPr>
      </w:pPr>
    </w:p>
    <w:p w14:paraId="1B0FCD41">
      <w:pPr>
        <w:spacing w:before="120" w:line="480" w:lineRule="auto"/>
        <w:ind w:left="960"/>
        <w:rPr>
          <w:rFonts w:ascii="宋体" w:hAnsi="宋体"/>
          <w:sz w:val="24"/>
        </w:rPr>
      </w:pPr>
    </w:p>
    <w:p w14:paraId="671032F9">
      <w:pPr>
        <w:spacing w:before="120" w:line="480" w:lineRule="auto"/>
        <w:ind w:left="960"/>
        <w:rPr>
          <w:rFonts w:ascii="宋体" w:hAnsi="宋体"/>
          <w:sz w:val="24"/>
        </w:rPr>
      </w:pPr>
    </w:p>
    <w:p w14:paraId="7F6E61FB">
      <w:pPr>
        <w:spacing w:before="120" w:line="480" w:lineRule="auto"/>
        <w:ind w:left="960"/>
        <w:rPr>
          <w:rFonts w:ascii="宋体" w:hAnsi="宋体"/>
          <w:sz w:val="24"/>
        </w:rPr>
      </w:pPr>
    </w:p>
    <w:p w14:paraId="32D3731F">
      <w:pPr>
        <w:spacing w:before="120" w:line="480" w:lineRule="auto"/>
        <w:ind w:left="960"/>
        <w:rPr>
          <w:rFonts w:ascii="宋体" w:hAnsi="宋体"/>
          <w:sz w:val="24"/>
        </w:rPr>
      </w:pPr>
    </w:p>
    <w:p w14:paraId="3BF03FCE">
      <w:pPr>
        <w:spacing w:before="120" w:line="480" w:lineRule="auto"/>
        <w:ind w:left="960" w:firstLine="480"/>
        <w:rPr>
          <w:rFonts w:ascii="宋体" w:hAnsi="宋体"/>
          <w:szCs w:val="21"/>
        </w:rPr>
      </w:pPr>
      <w:r>
        <w:rPr>
          <w:rFonts w:hint="eastAsia" w:ascii="宋体" w:hAnsi="宋体"/>
          <w:szCs w:val="21"/>
        </w:rPr>
        <w:t xml:space="preserve">项目名称：    </w:t>
      </w:r>
    </w:p>
    <w:p w14:paraId="2D9A2CA2">
      <w:pPr>
        <w:spacing w:before="120" w:line="480" w:lineRule="auto"/>
        <w:ind w:left="960" w:firstLine="480"/>
        <w:rPr>
          <w:rFonts w:ascii="宋体" w:hAnsi="宋体"/>
          <w:szCs w:val="21"/>
        </w:rPr>
      </w:pPr>
      <w:r>
        <w:rPr>
          <w:rFonts w:hint="eastAsia" w:ascii="宋体" w:hAnsi="宋体"/>
          <w:szCs w:val="21"/>
        </w:rPr>
        <w:t>项目编号：</w:t>
      </w:r>
    </w:p>
    <w:p w14:paraId="32451D03">
      <w:pPr>
        <w:spacing w:before="120" w:line="480" w:lineRule="auto"/>
        <w:ind w:left="960" w:firstLine="480"/>
        <w:rPr>
          <w:rFonts w:ascii="宋体" w:hAnsi="宋体"/>
          <w:szCs w:val="21"/>
          <w:u w:val="single"/>
        </w:rPr>
      </w:pPr>
      <w:r>
        <w:rPr>
          <w:rFonts w:hint="eastAsia" w:ascii="宋体" w:hAnsi="宋体"/>
          <w:szCs w:val="21"/>
        </w:rPr>
        <w:t>甲方（采购人）：</w:t>
      </w:r>
      <w:r>
        <w:rPr>
          <w:rFonts w:hint="eastAsia" w:ascii="宋体" w:hAnsi="宋体"/>
          <w:szCs w:val="21"/>
          <w:u w:val="single"/>
        </w:rPr>
        <w:t xml:space="preserve">                              </w:t>
      </w:r>
    </w:p>
    <w:p w14:paraId="7F0EE9E6">
      <w:pPr>
        <w:spacing w:before="120" w:line="480" w:lineRule="auto"/>
        <w:ind w:left="960" w:firstLine="480"/>
        <w:rPr>
          <w:rFonts w:ascii="宋体" w:hAnsi="宋体"/>
          <w:szCs w:val="21"/>
          <w:u w:val="single"/>
        </w:rPr>
      </w:pPr>
      <w:r>
        <w:rPr>
          <w:rFonts w:hint="eastAsia" w:ascii="宋体" w:hAnsi="宋体"/>
          <w:szCs w:val="21"/>
        </w:rPr>
        <w:t>乙方（中标人）：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3FD8C495">
      <w:pPr>
        <w:spacing w:before="120" w:line="480" w:lineRule="auto"/>
        <w:ind w:firstLine="840" w:firstLineChars="400"/>
        <w:rPr>
          <w:rFonts w:ascii="宋体" w:hAnsi="宋体"/>
          <w:szCs w:val="21"/>
          <w:u w:val="single"/>
        </w:rPr>
      </w:pPr>
      <w:r>
        <w:rPr>
          <w:rFonts w:hint="eastAsia" w:ascii="宋体" w:hAnsi="宋体"/>
          <w:szCs w:val="21"/>
        </w:rPr>
        <w:t>签订地：</w:t>
      </w:r>
      <w:r>
        <w:rPr>
          <w:rFonts w:hint="eastAsia" w:ascii="宋体" w:hAnsi="宋体"/>
          <w:szCs w:val="21"/>
          <w:u w:val="single"/>
        </w:rPr>
        <w:t xml:space="preserve">                                     </w:t>
      </w:r>
    </w:p>
    <w:p w14:paraId="2E812E8B">
      <w:pPr>
        <w:spacing w:before="120" w:line="480" w:lineRule="auto"/>
        <w:ind w:firstLine="840" w:firstLineChars="400"/>
        <w:rPr>
          <w:rFonts w:ascii="宋体" w:hAnsi="宋体"/>
          <w:szCs w:val="21"/>
        </w:rPr>
      </w:pPr>
      <w:r>
        <w:rPr>
          <w:rFonts w:hint="eastAsia" w:ascii="宋体" w:hAnsi="宋体"/>
          <w:szCs w:val="21"/>
        </w:rPr>
        <w:t>签订日期：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0B19978">
      <w:pPr>
        <w:widowControl/>
        <w:ind w:firstLine="480"/>
        <w:jc w:val="left"/>
        <w:rPr>
          <w:rFonts w:ascii="宋体" w:hAnsi="宋体"/>
          <w:szCs w:val="21"/>
        </w:rPr>
      </w:pPr>
      <w:r>
        <w:rPr>
          <w:rFonts w:ascii="宋体" w:hAnsi="宋体"/>
          <w:szCs w:val="21"/>
        </w:rPr>
        <w:br w:type="page"/>
      </w:r>
    </w:p>
    <w:p w14:paraId="64E1A287">
      <w:pPr>
        <w:spacing w:line="360" w:lineRule="auto"/>
        <w:ind w:firstLine="480"/>
        <w:rPr>
          <w:rFonts w:ascii="宋体" w:hAnsi="宋体"/>
          <w:szCs w:val="21"/>
        </w:rPr>
      </w:pPr>
      <w:r>
        <w:rPr>
          <w:rFonts w:hint="eastAsia" w:ascii="宋体" w:hAnsi="宋体"/>
          <w:i/>
          <w:iCs/>
          <w:szCs w:val="21"/>
          <w:u w:val="single"/>
        </w:rPr>
        <w:t>（采购人名称）</w:t>
      </w:r>
      <w:r>
        <w:rPr>
          <w:rFonts w:hint="eastAsia" w:ascii="宋体" w:hAnsi="宋体"/>
          <w:szCs w:val="21"/>
        </w:rPr>
        <w:t>（</w:t>
      </w:r>
      <w:r>
        <w:rPr>
          <w:rFonts w:hint="eastAsia" w:ascii="宋体" w:hAnsi="宋体"/>
          <w:szCs w:val="21"/>
          <w:lang w:val="zh-CN"/>
        </w:rPr>
        <w:t>以下简称：甲方</w:t>
      </w:r>
      <w:r>
        <w:rPr>
          <w:rFonts w:hint="eastAsia" w:ascii="宋体" w:hAnsi="宋体"/>
          <w:szCs w:val="21"/>
        </w:rPr>
        <w:t>）通过公开招标，经评标委员会评定，确定</w:t>
      </w:r>
      <w:r>
        <w:rPr>
          <w:rFonts w:hint="eastAsia" w:ascii="宋体" w:hAnsi="宋体"/>
          <w:i/>
          <w:iCs/>
          <w:szCs w:val="21"/>
          <w:u w:val="single"/>
        </w:rPr>
        <w:t>（中标人名称）</w:t>
      </w:r>
      <w:r>
        <w:rPr>
          <w:rFonts w:hint="eastAsia" w:ascii="宋体" w:hAnsi="宋体"/>
          <w:szCs w:val="21"/>
        </w:rPr>
        <w:t>（</w:t>
      </w:r>
      <w:r>
        <w:rPr>
          <w:rFonts w:hint="eastAsia" w:ascii="宋体" w:hAnsi="宋体"/>
          <w:szCs w:val="21"/>
          <w:lang w:val="zh-CN"/>
        </w:rPr>
        <w:t>以下简称：乙方</w:t>
      </w:r>
      <w:r>
        <w:rPr>
          <w:rFonts w:hint="eastAsia" w:ascii="宋体" w:hAnsi="宋体"/>
          <w:szCs w:val="21"/>
        </w:rPr>
        <w:t>）为本项目中标人，现按照采购文件确定的事项签订本合同。</w:t>
      </w:r>
    </w:p>
    <w:p w14:paraId="44DEB96D">
      <w:pPr>
        <w:spacing w:line="360" w:lineRule="auto"/>
        <w:ind w:firstLine="480"/>
        <w:rPr>
          <w:rFonts w:ascii="宋体" w:hAnsi="宋体"/>
          <w:szCs w:val="21"/>
          <w:lang w:val="zh-CN"/>
        </w:rPr>
      </w:pPr>
      <w:r>
        <w:rPr>
          <w:rFonts w:hint="eastAsia" w:ascii="宋体" w:hAnsi="宋体"/>
          <w:szCs w:val="21"/>
        </w:rPr>
        <w:t>根据《中华人民共和国民法典》、《中华人民共和国政府采购法》等相关法律法规之规定，按照平等、自愿、公平和诚实信用的原则，经甲方和乙方协商一致，约定以下合同条款，以兹共同遵守、全面履行。</w:t>
      </w:r>
    </w:p>
    <w:p w14:paraId="621E436C">
      <w:pPr>
        <w:spacing w:line="360" w:lineRule="auto"/>
        <w:ind w:firstLine="482"/>
        <w:outlineLvl w:val="3"/>
        <w:rPr>
          <w:rFonts w:ascii="宋体" w:hAnsi="宋体"/>
          <w:b/>
          <w:bCs/>
          <w:szCs w:val="21"/>
          <w:lang w:val="zh-CN"/>
        </w:rPr>
      </w:pPr>
      <w:bookmarkStart w:id="594" w:name="_Toc2232"/>
      <w:bookmarkStart w:id="595" w:name="_Toc24059"/>
      <w:bookmarkStart w:id="596" w:name="_Toc3029"/>
      <w:r>
        <w:rPr>
          <w:rFonts w:hint="eastAsia" w:ascii="宋体" w:hAnsi="宋体"/>
          <w:b/>
          <w:bCs/>
          <w:szCs w:val="21"/>
          <w:lang w:val="zh-CN"/>
        </w:rPr>
        <w:t>1.1</w:t>
      </w:r>
      <w:r>
        <w:rPr>
          <w:rFonts w:ascii="宋体" w:hAnsi="宋体"/>
          <w:b/>
          <w:bCs/>
          <w:szCs w:val="21"/>
          <w:lang w:val="zh-CN"/>
        </w:rPr>
        <w:t xml:space="preserve"> </w:t>
      </w:r>
      <w:r>
        <w:rPr>
          <w:rFonts w:hint="eastAsia" w:ascii="宋体" w:hAnsi="宋体"/>
          <w:b/>
          <w:bCs/>
          <w:szCs w:val="21"/>
          <w:lang w:val="zh-CN"/>
        </w:rPr>
        <w:t>合同组成部分</w:t>
      </w:r>
      <w:bookmarkEnd w:id="594"/>
      <w:bookmarkEnd w:id="595"/>
      <w:bookmarkEnd w:id="596"/>
    </w:p>
    <w:p w14:paraId="726337B2">
      <w:pPr>
        <w:spacing w:line="360" w:lineRule="auto"/>
        <w:ind w:firstLine="480"/>
        <w:rPr>
          <w:rFonts w:ascii="宋体" w:hAnsi="宋体"/>
          <w:szCs w:val="21"/>
          <w:lang w:val="zh-CN"/>
        </w:rPr>
      </w:pPr>
      <w:r>
        <w:rPr>
          <w:rFonts w:hint="eastAsia" w:ascii="宋体" w:hAnsi="宋体"/>
          <w:szCs w:val="21"/>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C634BB6">
      <w:pPr>
        <w:spacing w:line="360" w:lineRule="auto"/>
        <w:ind w:firstLine="480"/>
        <w:rPr>
          <w:rFonts w:ascii="宋体" w:hAnsi="宋体"/>
          <w:szCs w:val="21"/>
          <w:lang w:val="zh-CN"/>
        </w:rPr>
      </w:pPr>
      <w:r>
        <w:rPr>
          <w:rFonts w:hint="eastAsia" w:ascii="宋体" w:hAnsi="宋体"/>
          <w:szCs w:val="21"/>
          <w:lang w:val="zh-CN"/>
        </w:rPr>
        <w:t>1.1.1本合同及其补充合同、变更协议；</w:t>
      </w:r>
    </w:p>
    <w:p w14:paraId="31BA398C">
      <w:pPr>
        <w:spacing w:line="360" w:lineRule="auto"/>
        <w:ind w:firstLine="480"/>
        <w:rPr>
          <w:rFonts w:ascii="宋体" w:hAnsi="宋体"/>
          <w:szCs w:val="21"/>
          <w:lang w:val="zh-CN"/>
        </w:rPr>
      </w:pPr>
      <w:r>
        <w:rPr>
          <w:rFonts w:hint="eastAsia" w:ascii="宋体" w:hAnsi="宋体"/>
          <w:szCs w:val="21"/>
          <w:lang w:val="zh-CN"/>
        </w:rPr>
        <w:t>1.1.2中标通知书；</w:t>
      </w:r>
    </w:p>
    <w:p w14:paraId="4AB39919">
      <w:pPr>
        <w:spacing w:line="360" w:lineRule="auto"/>
        <w:ind w:firstLine="480"/>
        <w:rPr>
          <w:rFonts w:ascii="宋体" w:hAnsi="宋体"/>
          <w:szCs w:val="21"/>
          <w:lang w:val="zh-CN"/>
        </w:rPr>
      </w:pPr>
      <w:r>
        <w:rPr>
          <w:rFonts w:hint="eastAsia" w:ascii="宋体" w:hAnsi="宋体"/>
          <w:szCs w:val="21"/>
          <w:lang w:val="zh-CN"/>
        </w:rPr>
        <w:t>1.1.3投标文件（含澄清或者说明文件）；</w:t>
      </w:r>
    </w:p>
    <w:p w14:paraId="2CF073E5">
      <w:pPr>
        <w:spacing w:line="360" w:lineRule="auto"/>
        <w:ind w:firstLine="480"/>
        <w:rPr>
          <w:rFonts w:ascii="宋体" w:hAnsi="宋体"/>
          <w:szCs w:val="21"/>
          <w:lang w:val="zh-CN"/>
        </w:rPr>
      </w:pPr>
      <w:r>
        <w:rPr>
          <w:rFonts w:hint="eastAsia" w:ascii="宋体" w:hAnsi="宋体"/>
          <w:szCs w:val="21"/>
          <w:lang w:val="zh-CN"/>
        </w:rPr>
        <w:t>1.1.4招标文件（含澄清或者修改文件）；</w:t>
      </w:r>
    </w:p>
    <w:p w14:paraId="6115C698">
      <w:pPr>
        <w:spacing w:line="360" w:lineRule="auto"/>
        <w:ind w:firstLine="480"/>
        <w:rPr>
          <w:rFonts w:ascii="宋体" w:hAnsi="宋体"/>
          <w:szCs w:val="21"/>
          <w:lang w:val="zh-CN"/>
        </w:rPr>
      </w:pPr>
      <w:r>
        <w:rPr>
          <w:rFonts w:hint="eastAsia" w:ascii="宋体" w:hAnsi="宋体"/>
          <w:szCs w:val="21"/>
          <w:lang w:val="zh-CN"/>
        </w:rPr>
        <w:t>1.1.5其他相关采购文件。</w:t>
      </w:r>
    </w:p>
    <w:p w14:paraId="72D99EE1">
      <w:pPr>
        <w:spacing w:line="360" w:lineRule="auto"/>
        <w:ind w:firstLine="482"/>
        <w:outlineLvl w:val="3"/>
        <w:rPr>
          <w:rFonts w:ascii="宋体" w:hAnsi="宋体"/>
          <w:b/>
          <w:bCs/>
          <w:szCs w:val="21"/>
          <w:lang w:val="zh-CN"/>
        </w:rPr>
      </w:pPr>
      <w:bookmarkStart w:id="597" w:name="_Toc6311"/>
      <w:bookmarkStart w:id="598" w:name="_Toc22185"/>
      <w:bookmarkStart w:id="599" w:name="_Toc6773"/>
      <w:bookmarkStart w:id="600" w:name="_Toc2918"/>
      <w:bookmarkStart w:id="601" w:name="_Toc18585"/>
      <w:r>
        <w:rPr>
          <w:rFonts w:hint="eastAsia" w:ascii="宋体" w:hAnsi="宋体"/>
          <w:b/>
          <w:bCs/>
          <w:szCs w:val="21"/>
          <w:lang w:val="zh-CN"/>
        </w:rPr>
        <w:t xml:space="preserve">1.2 </w:t>
      </w:r>
      <w:bookmarkEnd w:id="597"/>
      <w:bookmarkEnd w:id="598"/>
      <w:bookmarkEnd w:id="599"/>
      <w:bookmarkEnd w:id="600"/>
      <w:bookmarkEnd w:id="601"/>
      <w:r>
        <w:rPr>
          <w:rFonts w:hint="eastAsia" w:ascii="宋体" w:hAnsi="宋体"/>
          <w:b/>
          <w:bCs/>
          <w:szCs w:val="21"/>
          <w:lang w:val="zh-CN"/>
        </w:rPr>
        <w:t>服务</w:t>
      </w:r>
    </w:p>
    <w:p w14:paraId="3694A8FD">
      <w:pPr>
        <w:spacing w:line="360" w:lineRule="auto"/>
        <w:ind w:firstLine="480"/>
        <w:rPr>
          <w:rFonts w:ascii="宋体" w:hAnsi="宋体"/>
          <w:szCs w:val="21"/>
          <w:u w:val="single"/>
        </w:rPr>
      </w:pPr>
      <w:r>
        <w:rPr>
          <w:rFonts w:hint="eastAsia" w:ascii="宋体" w:hAnsi="宋体"/>
          <w:szCs w:val="21"/>
        </w:rPr>
        <w:t>1.2.1服务</w:t>
      </w:r>
      <w:r>
        <w:rPr>
          <w:rFonts w:ascii="宋体" w:hAnsi="宋体"/>
          <w:szCs w:val="21"/>
        </w:rPr>
        <w:t>名称：</w:t>
      </w:r>
      <w:r>
        <w:rPr>
          <w:rFonts w:hint="eastAsia" w:ascii="宋体" w:hAnsi="宋体"/>
          <w:szCs w:val="21"/>
          <w:u w:val="single"/>
        </w:rPr>
        <w:t xml:space="preserve">                                                </w:t>
      </w:r>
      <w:r>
        <w:rPr>
          <w:rFonts w:hint="eastAsia" w:ascii="宋体" w:hAnsi="宋体"/>
          <w:szCs w:val="21"/>
        </w:rPr>
        <w:t>；</w:t>
      </w:r>
    </w:p>
    <w:p w14:paraId="6A3F5018">
      <w:pPr>
        <w:spacing w:line="360" w:lineRule="auto"/>
        <w:ind w:firstLine="480"/>
        <w:rPr>
          <w:rFonts w:ascii="宋体" w:hAnsi="宋体"/>
          <w:szCs w:val="21"/>
          <w:u w:val="single"/>
        </w:rPr>
      </w:pPr>
      <w:r>
        <w:rPr>
          <w:rFonts w:hint="eastAsia" w:ascii="宋体" w:hAnsi="宋体"/>
          <w:szCs w:val="21"/>
        </w:rPr>
        <w:t>1.2.2服务内容</w:t>
      </w:r>
      <w:r>
        <w:rPr>
          <w:rFonts w:ascii="宋体" w:hAnsi="宋体"/>
          <w:szCs w:val="21"/>
        </w:rPr>
        <w:t>：</w:t>
      </w:r>
      <w:r>
        <w:rPr>
          <w:rFonts w:hint="eastAsia" w:ascii="宋体" w:hAnsi="宋体"/>
          <w:szCs w:val="21"/>
          <w:u w:val="single"/>
        </w:rPr>
        <w:t xml:space="preserve">                                                </w:t>
      </w:r>
      <w:r>
        <w:rPr>
          <w:rFonts w:hint="eastAsia" w:ascii="宋体" w:hAnsi="宋体"/>
          <w:szCs w:val="21"/>
        </w:rPr>
        <w:t>；</w:t>
      </w:r>
    </w:p>
    <w:p w14:paraId="0000AD30">
      <w:pPr>
        <w:spacing w:line="360" w:lineRule="auto"/>
        <w:ind w:firstLine="480"/>
        <w:rPr>
          <w:rFonts w:ascii="宋体" w:hAnsi="宋体"/>
          <w:szCs w:val="21"/>
        </w:rPr>
      </w:pPr>
      <w:r>
        <w:rPr>
          <w:rFonts w:hint="eastAsia" w:ascii="宋体" w:hAnsi="宋体"/>
          <w:szCs w:val="21"/>
        </w:rPr>
        <w:t>1.2.3服务质量：</w:t>
      </w:r>
      <w:r>
        <w:rPr>
          <w:rFonts w:hint="eastAsia" w:ascii="宋体" w:hAnsi="宋体"/>
          <w:szCs w:val="21"/>
          <w:u w:val="single"/>
        </w:rPr>
        <w:t xml:space="preserve">                                                </w:t>
      </w:r>
      <w:r>
        <w:rPr>
          <w:rFonts w:hint="eastAsia" w:ascii="宋体" w:hAnsi="宋体"/>
          <w:szCs w:val="21"/>
        </w:rPr>
        <w:t>。</w:t>
      </w:r>
    </w:p>
    <w:p w14:paraId="4CC97A9E">
      <w:pPr>
        <w:spacing w:line="360" w:lineRule="auto"/>
        <w:ind w:firstLine="482"/>
        <w:outlineLvl w:val="3"/>
        <w:rPr>
          <w:rFonts w:ascii="宋体" w:hAnsi="宋体"/>
          <w:b/>
          <w:bCs/>
          <w:szCs w:val="21"/>
          <w:lang w:val="zh-CN"/>
        </w:rPr>
      </w:pPr>
      <w:bookmarkStart w:id="602" w:name="_Toc21551"/>
      <w:bookmarkStart w:id="603" w:name="_Toc23292"/>
      <w:bookmarkStart w:id="604" w:name="_Toc21631"/>
      <w:r>
        <w:rPr>
          <w:rFonts w:hint="eastAsia" w:ascii="宋体" w:hAnsi="宋体"/>
          <w:b/>
          <w:bCs/>
          <w:szCs w:val="21"/>
          <w:lang w:val="zh-CN"/>
        </w:rPr>
        <w:t>1.</w:t>
      </w:r>
      <w:r>
        <w:rPr>
          <w:rFonts w:ascii="宋体" w:hAnsi="宋体"/>
          <w:b/>
          <w:bCs/>
          <w:szCs w:val="21"/>
          <w:lang w:val="zh-CN"/>
        </w:rPr>
        <w:t xml:space="preserve">3 </w:t>
      </w:r>
      <w:r>
        <w:rPr>
          <w:rFonts w:hint="eastAsia" w:ascii="宋体" w:hAnsi="宋体"/>
          <w:b/>
          <w:bCs/>
          <w:szCs w:val="21"/>
          <w:lang w:val="zh-CN"/>
        </w:rPr>
        <w:t>价款</w:t>
      </w:r>
      <w:bookmarkEnd w:id="602"/>
      <w:bookmarkEnd w:id="603"/>
      <w:bookmarkEnd w:id="604"/>
    </w:p>
    <w:p w14:paraId="795388DD">
      <w:pPr>
        <w:spacing w:line="360" w:lineRule="auto"/>
        <w:ind w:firstLine="480"/>
        <w:rPr>
          <w:rFonts w:ascii="宋体" w:hAnsi="宋体"/>
          <w:szCs w:val="21"/>
        </w:rPr>
      </w:pPr>
      <w:r>
        <w:rPr>
          <w:rFonts w:ascii="宋体" w:hAnsi="宋体"/>
          <w:szCs w:val="21"/>
        </w:rPr>
        <w:t>本合同总价为</w:t>
      </w:r>
      <w:r>
        <w:rPr>
          <w:rFonts w:hint="eastAsia" w:ascii="宋体" w:hAnsi="宋体"/>
          <w:szCs w:val="21"/>
        </w:rPr>
        <w:t>：¥</w:t>
      </w:r>
      <w:r>
        <w:rPr>
          <w:rFonts w:hint="eastAsia" w:ascii="宋体" w:hAnsi="宋体"/>
          <w:szCs w:val="21"/>
          <w:u w:val="single"/>
        </w:rPr>
        <w:t xml:space="preserve">           </w:t>
      </w:r>
      <w:r>
        <w:rPr>
          <w:rFonts w:ascii="宋体" w:hAnsi="宋体"/>
          <w:szCs w:val="21"/>
        </w:rPr>
        <w:t>元</w:t>
      </w:r>
      <w:r>
        <w:rPr>
          <w:rFonts w:hint="eastAsia" w:ascii="宋体" w:hAnsi="宋体"/>
          <w:szCs w:val="21"/>
        </w:rPr>
        <w:t>（大写：人民币</w:t>
      </w:r>
      <w:r>
        <w:rPr>
          <w:rFonts w:hint="eastAsia" w:ascii="宋体" w:hAnsi="宋体"/>
          <w:szCs w:val="21"/>
          <w:u w:val="single"/>
        </w:rPr>
        <w:t xml:space="preserve">                 </w:t>
      </w:r>
      <w:r>
        <w:rPr>
          <w:rFonts w:hint="eastAsia" w:ascii="宋体" w:hAnsi="宋体"/>
          <w:szCs w:val="21"/>
        </w:rPr>
        <w:t>元）</w:t>
      </w:r>
      <w:r>
        <w:rPr>
          <w:rFonts w:ascii="宋体" w:hAnsi="宋体"/>
          <w:szCs w:val="21"/>
        </w:rPr>
        <w:t>。</w:t>
      </w:r>
    </w:p>
    <w:p w14:paraId="48C51FB6">
      <w:pPr>
        <w:spacing w:line="360" w:lineRule="auto"/>
        <w:ind w:firstLine="480"/>
        <w:rPr>
          <w:rFonts w:ascii="宋体" w:hAnsi="宋体"/>
          <w:szCs w:val="21"/>
          <w:u w:val="single"/>
        </w:rPr>
      </w:pPr>
      <w:r>
        <w:rPr>
          <w:rFonts w:ascii="宋体" w:hAnsi="宋体"/>
          <w:szCs w:val="21"/>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7"/>
        <w:gridCol w:w="12"/>
        <w:gridCol w:w="3232"/>
        <w:gridCol w:w="12"/>
      </w:tblGrid>
      <w:tr w14:paraId="4FB3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vAlign w:val="center"/>
          </w:tcPr>
          <w:p w14:paraId="10965888">
            <w:pPr>
              <w:ind w:firstLine="480"/>
              <w:jc w:val="center"/>
              <w:rPr>
                <w:rFonts w:ascii="宋体" w:hAnsi="宋体"/>
                <w:szCs w:val="21"/>
                <w:lang w:val="zh-CN"/>
              </w:rPr>
            </w:pPr>
            <w:r>
              <w:rPr>
                <w:rFonts w:ascii="宋体" w:hAnsi="宋体"/>
                <w:szCs w:val="21"/>
                <w:lang w:val="zh-CN"/>
              </w:rPr>
              <w:t>序号</w:t>
            </w:r>
          </w:p>
        </w:tc>
        <w:tc>
          <w:tcPr>
            <w:tcW w:w="4317" w:type="dxa"/>
            <w:vAlign w:val="center"/>
          </w:tcPr>
          <w:p w14:paraId="255B42CC">
            <w:pPr>
              <w:ind w:firstLine="480"/>
              <w:jc w:val="center"/>
              <w:rPr>
                <w:rFonts w:ascii="宋体" w:hAnsi="宋体"/>
                <w:szCs w:val="21"/>
              </w:rPr>
            </w:pPr>
            <w:r>
              <w:rPr>
                <w:rFonts w:hint="eastAsia" w:ascii="宋体" w:hAnsi="宋体"/>
                <w:szCs w:val="21"/>
              </w:rPr>
              <w:t>分项名称</w:t>
            </w:r>
          </w:p>
        </w:tc>
        <w:tc>
          <w:tcPr>
            <w:tcW w:w="3237" w:type="dxa"/>
            <w:gridSpan w:val="2"/>
            <w:vAlign w:val="center"/>
          </w:tcPr>
          <w:p w14:paraId="59E3A1F9">
            <w:pPr>
              <w:ind w:firstLine="480"/>
              <w:jc w:val="center"/>
              <w:rPr>
                <w:rFonts w:ascii="宋体" w:hAnsi="宋体"/>
                <w:szCs w:val="21"/>
              </w:rPr>
            </w:pPr>
            <w:r>
              <w:rPr>
                <w:rFonts w:ascii="宋体" w:hAnsi="宋体"/>
                <w:szCs w:val="21"/>
              </w:rPr>
              <w:t>分项价格</w:t>
            </w:r>
          </w:p>
        </w:tc>
      </w:tr>
      <w:tr w14:paraId="68D0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2DB6E3AF">
            <w:pPr>
              <w:ind w:firstLine="480"/>
              <w:jc w:val="center"/>
              <w:rPr>
                <w:rFonts w:ascii="宋体" w:hAnsi="宋体"/>
                <w:szCs w:val="21"/>
                <w:lang w:val="zh-CN"/>
              </w:rPr>
            </w:pPr>
            <w:r>
              <w:rPr>
                <w:rFonts w:hint="eastAsia" w:ascii="宋体" w:hAnsi="宋体"/>
                <w:szCs w:val="21"/>
                <w:lang w:val="zh-CN"/>
              </w:rPr>
              <w:t>1</w:t>
            </w:r>
          </w:p>
        </w:tc>
        <w:tc>
          <w:tcPr>
            <w:tcW w:w="4317" w:type="dxa"/>
            <w:vAlign w:val="center"/>
          </w:tcPr>
          <w:p w14:paraId="3F08209E">
            <w:pPr>
              <w:ind w:firstLine="480"/>
              <w:jc w:val="center"/>
              <w:rPr>
                <w:rFonts w:ascii="宋体" w:hAnsi="宋体"/>
                <w:szCs w:val="21"/>
              </w:rPr>
            </w:pPr>
          </w:p>
        </w:tc>
        <w:tc>
          <w:tcPr>
            <w:tcW w:w="3237" w:type="dxa"/>
            <w:gridSpan w:val="2"/>
            <w:vAlign w:val="center"/>
          </w:tcPr>
          <w:p w14:paraId="4EB2DA45">
            <w:pPr>
              <w:ind w:firstLine="480"/>
              <w:jc w:val="center"/>
              <w:rPr>
                <w:rFonts w:ascii="宋体" w:hAnsi="宋体"/>
                <w:szCs w:val="21"/>
              </w:rPr>
            </w:pPr>
          </w:p>
        </w:tc>
      </w:tr>
      <w:tr w14:paraId="5A95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2AE4DB28">
            <w:pPr>
              <w:ind w:firstLine="480"/>
              <w:jc w:val="center"/>
              <w:rPr>
                <w:rFonts w:ascii="宋体" w:hAnsi="宋体"/>
                <w:szCs w:val="21"/>
                <w:lang w:val="zh-CN"/>
              </w:rPr>
            </w:pPr>
            <w:r>
              <w:rPr>
                <w:rFonts w:hint="eastAsia" w:ascii="宋体" w:hAnsi="宋体"/>
                <w:szCs w:val="21"/>
                <w:lang w:val="zh-CN"/>
              </w:rPr>
              <w:t>2</w:t>
            </w:r>
          </w:p>
        </w:tc>
        <w:tc>
          <w:tcPr>
            <w:tcW w:w="4317" w:type="dxa"/>
            <w:vAlign w:val="center"/>
          </w:tcPr>
          <w:p w14:paraId="3655523D">
            <w:pPr>
              <w:ind w:firstLine="480"/>
              <w:jc w:val="center"/>
              <w:rPr>
                <w:rFonts w:ascii="宋体" w:hAnsi="宋体"/>
                <w:szCs w:val="21"/>
              </w:rPr>
            </w:pPr>
          </w:p>
        </w:tc>
        <w:tc>
          <w:tcPr>
            <w:tcW w:w="3237" w:type="dxa"/>
            <w:gridSpan w:val="2"/>
            <w:vAlign w:val="center"/>
          </w:tcPr>
          <w:p w14:paraId="5FD0DF25">
            <w:pPr>
              <w:ind w:firstLine="480"/>
              <w:jc w:val="center"/>
              <w:rPr>
                <w:rFonts w:ascii="宋体" w:hAnsi="宋体"/>
                <w:szCs w:val="21"/>
              </w:rPr>
            </w:pPr>
          </w:p>
        </w:tc>
      </w:tr>
      <w:tr w14:paraId="094F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12E2D59D">
            <w:pPr>
              <w:ind w:firstLine="480"/>
              <w:jc w:val="center"/>
              <w:rPr>
                <w:rFonts w:ascii="宋体" w:hAnsi="宋体"/>
                <w:szCs w:val="21"/>
                <w:lang w:val="zh-CN"/>
              </w:rPr>
            </w:pPr>
            <w:r>
              <w:rPr>
                <w:rFonts w:ascii="宋体" w:hAnsi="宋体"/>
                <w:szCs w:val="21"/>
                <w:lang w:val="zh-CN"/>
              </w:rPr>
              <w:t>3</w:t>
            </w:r>
          </w:p>
        </w:tc>
        <w:tc>
          <w:tcPr>
            <w:tcW w:w="4317" w:type="dxa"/>
            <w:vAlign w:val="center"/>
          </w:tcPr>
          <w:p w14:paraId="2F4AC101">
            <w:pPr>
              <w:ind w:firstLine="480"/>
              <w:jc w:val="center"/>
              <w:rPr>
                <w:rFonts w:ascii="宋体" w:hAnsi="宋体"/>
                <w:szCs w:val="21"/>
              </w:rPr>
            </w:pPr>
          </w:p>
        </w:tc>
        <w:tc>
          <w:tcPr>
            <w:tcW w:w="3237" w:type="dxa"/>
            <w:gridSpan w:val="2"/>
            <w:vAlign w:val="center"/>
          </w:tcPr>
          <w:p w14:paraId="0B267AD4">
            <w:pPr>
              <w:ind w:firstLine="480"/>
              <w:jc w:val="center"/>
              <w:rPr>
                <w:rFonts w:ascii="宋体" w:hAnsi="宋体"/>
                <w:szCs w:val="21"/>
              </w:rPr>
            </w:pPr>
          </w:p>
        </w:tc>
      </w:tr>
      <w:tr w14:paraId="6E35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0728E6CC">
            <w:pPr>
              <w:ind w:firstLine="480"/>
              <w:jc w:val="center"/>
              <w:rPr>
                <w:rFonts w:ascii="宋体" w:hAnsi="宋体"/>
                <w:szCs w:val="21"/>
                <w:lang w:val="zh-CN"/>
              </w:rPr>
            </w:pPr>
            <w:r>
              <w:rPr>
                <w:rFonts w:hint="eastAsia" w:ascii="宋体" w:hAnsi="宋体"/>
                <w:szCs w:val="21"/>
                <w:lang w:val="zh-CN"/>
              </w:rPr>
              <w:t>……</w:t>
            </w:r>
          </w:p>
        </w:tc>
        <w:tc>
          <w:tcPr>
            <w:tcW w:w="4317" w:type="dxa"/>
            <w:vAlign w:val="center"/>
          </w:tcPr>
          <w:p w14:paraId="4CA6927D">
            <w:pPr>
              <w:ind w:firstLine="480"/>
              <w:jc w:val="center"/>
              <w:rPr>
                <w:rFonts w:ascii="宋体" w:hAnsi="宋体"/>
                <w:szCs w:val="21"/>
              </w:rPr>
            </w:pPr>
          </w:p>
        </w:tc>
        <w:tc>
          <w:tcPr>
            <w:tcW w:w="3237" w:type="dxa"/>
            <w:gridSpan w:val="2"/>
            <w:vAlign w:val="center"/>
          </w:tcPr>
          <w:p w14:paraId="7A95A1DC">
            <w:pPr>
              <w:ind w:firstLine="480"/>
              <w:jc w:val="center"/>
              <w:rPr>
                <w:rFonts w:ascii="宋体" w:hAnsi="宋体"/>
                <w:szCs w:val="21"/>
              </w:rPr>
            </w:pPr>
          </w:p>
        </w:tc>
      </w:tr>
      <w:tr w14:paraId="7591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58CB4E3D">
            <w:pPr>
              <w:ind w:firstLine="480"/>
              <w:jc w:val="center"/>
              <w:rPr>
                <w:rFonts w:ascii="宋体" w:hAnsi="宋体"/>
                <w:szCs w:val="21"/>
              </w:rPr>
            </w:pPr>
            <w:r>
              <w:rPr>
                <w:rFonts w:hint="eastAsia" w:ascii="宋体" w:hAnsi="宋体"/>
                <w:szCs w:val="21"/>
              </w:rPr>
              <w:t>总价</w:t>
            </w:r>
          </w:p>
        </w:tc>
        <w:tc>
          <w:tcPr>
            <w:tcW w:w="3237" w:type="dxa"/>
            <w:gridSpan w:val="2"/>
            <w:vAlign w:val="center"/>
          </w:tcPr>
          <w:p w14:paraId="411EF30F">
            <w:pPr>
              <w:ind w:firstLine="480"/>
              <w:jc w:val="center"/>
              <w:rPr>
                <w:rFonts w:ascii="宋体" w:hAnsi="宋体"/>
                <w:szCs w:val="21"/>
              </w:rPr>
            </w:pPr>
          </w:p>
        </w:tc>
      </w:tr>
    </w:tbl>
    <w:p w14:paraId="70EA3209">
      <w:pPr>
        <w:spacing w:line="360" w:lineRule="auto"/>
        <w:ind w:firstLine="482"/>
        <w:outlineLvl w:val="3"/>
        <w:rPr>
          <w:rFonts w:ascii="宋体" w:hAnsi="宋体"/>
          <w:b/>
          <w:bCs/>
          <w:szCs w:val="21"/>
          <w:lang w:val="zh-CN"/>
        </w:rPr>
      </w:pPr>
      <w:bookmarkStart w:id="605" w:name="_Toc1814"/>
      <w:bookmarkStart w:id="606" w:name="_Toc22618"/>
      <w:bookmarkStart w:id="607" w:name="_Toc10340"/>
      <w:r>
        <w:rPr>
          <w:rFonts w:hint="eastAsia" w:ascii="宋体" w:hAnsi="宋体"/>
          <w:b/>
          <w:bCs/>
          <w:szCs w:val="21"/>
          <w:lang w:val="zh-CN"/>
        </w:rPr>
        <w:t>1.</w:t>
      </w:r>
      <w:r>
        <w:rPr>
          <w:rFonts w:ascii="宋体" w:hAnsi="宋体"/>
          <w:b/>
          <w:bCs/>
          <w:szCs w:val="21"/>
          <w:lang w:val="zh-CN"/>
        </w:rPr>
        <w:t>4 付款方式和发票开具方式</w:t>
      </w:r>
      <w:bookmarkEnd w:id="605"/>
      <w:bookmarkEnd w:id="606"/>
      <w:bookmarkEnd w:id="607"/>
    </w:p>
    <w:p w14:paraId="0044C579">
      <w:pPr>
        <w:pStyle w:val="237"/>
        <w:spacing w:before="0" w:beforeAutospacing="0" w:after="0" w:afterAutospacing="0" w:line="580" w:lineRule="exact"/>
        <w:ind w:firstLine="420" w:firstLineChars="200"/>
        <w:jc w:val="both"/>
        <w:rPr>
          <w:rFonts w:cs="Times New Roman"/>
          <w:sz w:val="21"/>
          <w:szCs w:val="21"/>
        </w:rPr>
      </w:pPr>
      <w:r>
        <w:rPr>
          <w:rFonts w:hint="eastAsia" w:cs="Times New Roman"/>
          <w:sz w:val="21"/>
          <w:szCs w:val="21"/>
        </w:rPr>
        <w:t>1.4.1</w:t>
      </w:r>
      <w:r>
        <w:rPr>
          <w:rFonts w:cs="Times New Roman"/>
          <w:sz w:val="21"/>
          <w:szCs w:val="21"/>
        </w:rPr>
        <w:t>付款方式：</w:t>
      </w:r>
      <w:r>
        <w:rPr>
          <w:rFonts w:hint="eastAsia" w:cs="Times New Roman"/>
          <w:sz w:val="21"/>
          <w:szCs w:val="21"/>
          <w:u w:val="single"/>
        </w:rPr>
        <w:t xml:space="preserve">                                            </w:t>
      </w:r>
    </w:p>
    <w:p w14:paraId="434CB4D5">
      <w:pPr>
        <w:spacing w:line="360" w:lineRule="auto"/>
        <w:ind w:firstLine="480"/>
        <w:rPr>
          <w:rFonts w:ascii="宋体" w:hAnsi="宋体"/>
          <w:szCs w:val="21"/>
        </w:rPr>
      </w:pPr>
      <w:r>
        <w:rPr>
          <w:rFonts w:hint="eastAsia" w:ascii="宋体" w:hAnsi="宋体"/>
          <w:szCs w:val="21"/>
        </w:rPr>
        <w:t>1.4.2发票开具方式：</w:t>
      </w:r>
      <w:r>
        <w:rPr>
          <w:rFonts w:hint="eastAsia" w:ascii="宋体" w:hAnsi="宋体"/>
          <w:szCs w:val="21"/>
          <w:u w:val="single"/>
        </w:rPr>
        <w:t xml:space="preserve">                                            </w:t>
      </w:r>
      <w:r>
        <w:rPr>
          <w:rFonts w:hint="eastAsia" w:ascii="宋体" w:hAnsi="宋体"/>
          <w:szCs w:val="21"/>
        </w:rPr>
        <w:t>。</w:t>
      </w:r>
    </w:p>
    <w:p w14:paraId="7415D0F5">
      <w:pPr>
        <w:spacing w:line="360" w:lineRule="auto"/>
        <w:ind w:firstLine="482"/>
        <w:outlineLvl w:val="3"/>
        <w:rPr>
          <w:rFonts w:ascii="宋体" w:hAnsi="宋体"/>
          <w:b/>
          <w:bCs/>
          <w:szCs w:val="21"/>
          <w:lang w:val="zh-CN"/>
        </w:rPr>
      </w:pPr>
      <w:bookmarkStart w:id="608" w:name="_Toc2846"/>
      <w:bookmarkStart w:id="609" w:name="_Toc19304"/>
      <w:bookmarkStart w:id="610" w:name="_Toc32071"/>
      <w:r>
        <w:rPr>
          <w:rFonts w:hint="eastAsia" w:ascii="宋体" w:hAnsi="宋体"/>
          <w:b/>
          <w:bCs/>
          <w:szCs w:val="21"/>
          <w:lang w:val="zh-CN"/>
        </w:rPr>
        <w:t>1.</w:t>
      </w:r>
      <w:r>
        <w:rPr>
          <w:rFonts w:ascii="宋体" w:hAnsi="宋体"/>
          <w:b/>
          <w:bCs/>
          <w:szCs w:val="21"/>
          <w:lang w:val="zh-CN"/>
        </w:rPr>
        <w:t xml:space="preserve">5 </w:t>
      </w:r>
      <w:r>
        <w:rPr>
          <w:rFonts w:hint="eastAsia" w:ascii="宋体" w:hAnsi="宋体"/>
          <w:b/>
          <w:bCs/>
          <w:szCs w:val="21"/>
          <w:lang w:val="zh-CN"/>
        </w:rPr>
        <w:t>服务</w:t>
      </w:r>
      <w:r>
        <w:rPr>
          <w:rFonts w:ascii="宋体" w:hAnsi="宋体"/>
          <w:b/>
          <w:bCs/>
          <w:szCs w:val="21"/>
          <w:lang w:val="zh-CN"/>
        </w:rPr>
        <w:t>期限</w:t>
      </w:r>
      <w:r>
        <w:rPr>
          <w:rFonts w:hint="eastAsia" w:ascii="宋体" w:hAnsi="宋体"/>
          <w:b/>
          <w:bCs/>
          <w:szCs w:val="21"/>
          <w:lang w:val="zh-CN"/>
        </w:rPr>
        <w:t>、地点和方式</w:t>
      </w:r>
      <w:bookmarkEnd w:id="608"/>
      <w:bookmarkEnd w:id="609"/>
      <w:bookmarkEnd w:id="610"/>
    </w:p>
    <w:p w14:paraId="647DB754">
      <w:pPr>
        <w:spacing w:line="360" w:lineRule="auto"/>
        <w:ind w:firstLine="480"/>
        <w:rPr>
          <w:rFonts w:ascii="宋体" w:hAnsi="宋体"/>
          <w:szCs w:val="21"/>
          <w:u w:val="single"/>
        </w:rPr>
      </w:pPr>
      <w:r>
        <w:rPr>
          <w:rFonts w:hint="eastAsia" w:ascii="宋体" w:hAnsi="宋体"/>
          <w:szCs w:val="21"/>
        </w:rPr>
        <w:t>1.5.1服务期限</w:t>
      </w:r>
      <w:r>
        <w:rPr>
          <w:rFonts w:ascii="宋体" w:hAnsi="宋体"/>
          <w:szCs w:val="21"/>
        </w:rPr>
        <w:t>：</w:t>
      </w:r>
      <w:r>
        <w:rPr>
          <w:rFonts w:hint="eastAsia" w:ascii="宋体" w:hAnsi="宋体"/>
          <w:szCs w:val="21"/>
          <w:u w:val="single"/>
        </w:rPr>
        <w:t xml:space="preserve">                                                </w:t>
      </w:r>
      <w:r>
        <w:rPr>
          <w:rFonts w:hint="eastAsia" w:ascii="宋体" w:hAnsi="宋体"/>
          <w:szCs w:val="21"/>
        </w:rPr>
        <w:t>；</w:t>
      </w:r>
    </w:p>
    <w:p w14:paraId="0B6D45F5">
      <w:pPr>
        <w:spacing w:line="360" w:lineRule="auto"/>
        <w:ind w:firstLine="480"/>
        <w:rPr>
          <w:rFonts w:ascii="宋体" w:hAnsi="宋体"/>
          <w:szCs w:val="21"/>
        </w:rPr>
      </w:pPr>
      <w:r>
        <w:rPr>
          <w:rFonts w:hint="eastAsia" w:ascii="宋体" w:hAnsi="宋体"/>
          <w:szCs w:val="21"/>
        </w:rPr>
        <w:t>1.5.2服务地点</w:t>
      </w:r>
      <w:r>
        <w:rPr>
          <w:rFonts w:ascii="宋体" w:hAnsi="宋体"/>
          <w:szCs w:val="21"/>
        </w:rPr>
        <w:t>：</w:t>
      </w:r>
      <w:r>
        <w:rPr>
          <w:rFonts w:hint="eastAsia" w:ascii="宋体" w:hAnsi="宋体"/>
          <w:szCs w:val="21"/>
          <w:u w:val="single"/>
        </w:rPr>
        <w:t xml:space="preserve">                                                </w:t>
      </w:r>
      <w:r>
        <w:rPr>
          <w:rFonts w:hint="eastAsia" w:ascii="宋体" w:hAnsi="宋体"/>
          <w:szCs w:val="21"/>
        </w:rPr>
        <w:t>；</w:t>
      </w:r>
    </w:p>
    <w:p w14:paraId="3A846954">
      <w:pPr>
        <w:spacing w:line="360" w:lineRule="auto"/>
        <w:ind w:firstLine="480"/>
        <w:rPr>
          <w:rFonts w:ascii="宋体" w:hAnsi="宋体"/>
          <w:szCs w:val="21"/>
        </w:rPr>
      </w:pPr>
      <w:r>
        <w:rPr>
          <w:rFonts w:hint="eastAsia" w:ascii="宋体" w:hAnsi="宋体"/>
          <w:szCs w:val="21"/>
        </w:rPr>
        <w:t>1.5.3服务方式：</w:t>
      </w:r>
      <w:r>
        <w:rPr>
          <w:rFonts w:hint="eastAsia" w:ascii="宋体" w:hAnsi="宋体"/>
          <w:szCs w:val="21"/>
          <w:u w:val="single"/>
        </w:rPr>
        <w:t xml:space="preserve">                                                </w:t>
      </w:r>
      <w:r>
        <w:rPr>
          <w:rFonts w:hint="eastAsia" w:ascii="宋体" w:hAnsi="宋体"/>
          <w:szCs w:val="21"/>
        </w:rPr>
        <w:t>。</w:t>
      </w:r>
    </w:p>
    <w:p w14:paraId="6225B288">
      <w:pPr>
        <w:spacing w:line="360" w:lineRule="auto"/>
        <w:ind w:firstLine="482"/>
        <w:outlineLvl w:val="3"/>
        <w:rPr>
          <w:rFonts w:ascii="宋体" w:hAnsi="宋体"/>
          <w:b/>
          <w:bCs/>
          <w:szCs w:val="21"/>
          <w:lang w:val="zh-CN"/>
        </w:rPr>
      </w:pPr>
      <w:bookmarkStart w:id="611" w:name="_Toc27250"/>
      <w:bookmarkStart w:id="612" w:name="_Toc21423"/>
      <w:bookmarkStart w:id="613" w:name="_Toc19554"/>
      <w:r>
        <w:rPr>
          <w:rFonts w:hint="eastAsia" w:ascii="宋体" w:hAnsi="宋体"/>
          <w:b/>
          <w:bCs/>
          <w:szCs w:val="21"/>
          <w:lang w:val="zh-CN"/>
        </w:rPr>
        <w:t>1.6 违约责任</w:t>
      </w:r>
      <w:bookmarkEnd w:id="611"/>
      <w:bookmarkEnd w:id="612"/>
      <w:bookmarkEnd w:id="613"/>
    </w:p>
    <w:p w14:paraId="1ADB710D">
      <w:pPr>
        <w:spacing w:line="360" w:lineRule="auto"/>
        <w:ind w:firstLine="480"/>
        <w:rPr>
          <w:rFonts w:ascii="宋体" w:hAnsi="宋体"/>
          <w:szCs w:val="21"/>
        </w:rPr>
      </w:pPr>
      <w:r>
        <w:rPr>
          <w:rFonts w:hint="eastAsia" w:ascii="宋体" w:hAnsi="宋体"/>
          <w:szCs w:val="21"/>
        </w:rPr>
        <w:t>1.6.1</w:t>
      </w:r>
      <w:r>
        <w:rPr>
          <w:rFonts w:ascii="宋体" w:hAnsi="宋体"/>
          <w:szCs w:val="21"/>
        </w:rPr>
        <w:t>除不可抗力外，如果乙方没有按照本合同约定的期限</w:t>
      </w:r>
      <w:r>
        <w:rPr>
          <w:rFonts w:hint="eastAsia" w:ascii="宋体" w:hAnsi="宋体"/>
          <w:szCs w:val="21"/>
        </w:rPr>
        <w:t>、</w:t>
      </w:r>
      <w:r>
        <w:rPr>
          <w:rFonts w:ascii="宋体" w:hAnsi="宋体"/>
          <w:szCs w:val="21"/>
        </w:rPr>
        <w:t>地点和方式</w:t>
      </w:r>
      <w:r>
        <w:rPr>
          <w:rFonts w:hint="eastAsia" w:ascii="宋体" w:hAnsi="宋体"/>
          <w:szCs w:val="21"/>
        </w:rPr>
        <w:t>履行</w:t>
      </w:r>
      <w:r>
        <w:rPr>
          <w:rFonts w:ascii="宋体" w:hAnsi="宋体"/>
          <w:szCs w:val="21"/>
        </w:rPr>
        <w:t>，那么甲方可要求乙方支付违约金</w:t>
      </w:r>
      <w:r>
        <w:rPr>
          <w:rFonts w:hint="eastAsia" w:ascii="宋体" w:hAnsi="宋体"/>
          <w:szCs w:val="21"/>
        </w:rPr>
        <w:t>，</w:t>
      </w:r>
      <w:r>
        <w:rPr>
          <w:rFonts w:ascii="宋体" w:hAnsi="宋体"/>
          <w:szCs w:val="21"/>
        </w:rPr>
        <w:t>违约金按每迟延</w:t>
      </w:r>
      <w:r>
        <w:rPr>
          <w:rFonts w:hint="eastAsia" w:ascii="宋体" w:hAnsi="宋体"/>
          <w:szCs w:val="21"/>
        </w:rPr>
        <w:t>履行</w:t>
      </w:r>
      <w:r>
        <w:rPr>
          <w:rFonts w:ascii="宋体" w:hAnsi="宋体"/>
          <w:szCs w:val="21"/>
        </w:rPr>
        <w:t>一日的应提供而未</w:t>
      </w:r>
      <w:r>
        <w:rPr>
          <w:rFonts w:hint="eastAsia" w:ascii="宋体" w:hAnsi="宋体"/>
          <w:szCs w:val="21"/>
        </w:rPr>
        <w:t>提供</w:t>
      </w:r>
      <w:r>
        <w:rPr>
          <w:rFonts w:ascii="宋体" w:hAnsi="宋体"/>
          <w:szCs w:val="21"/>
        </w:rPr>
        <w:t>服务价格的</w:t>
      </w:r>
      <w:r>
        <w:rPr>
          <w:rFonts w:hint="eastAsia" w:ascii="宋体" w:hAnsi="宋体"/>
          <w:szCs w:val="21"/>
          <w:u w:val="single"/>
        </w:rPr>
        <w:t>1</w:t>
      </w:r>
      <w:r>
        <w:rPr>
          <w:rFonts w:ascii="宋体" w:hAnsi="宋体"/>
          <w:szCs w:val="21"/>
        </w:rPr>
        <w:t>%计算</w:t>
      </w:r>
      <w:r>
        <w:rPr>
          <w:rFonts w:hint="eastAsia" w:ascii="宋体" w:hAnsi="宋体"/>
          <w:szCs w:val="21"/>
        </w:rPr>
        <w:t>，</w:t>
      </w:r>
      <w:r>
        <w:rPr>
          <w:rFonts w:ascii="宋体" w:hAnsi="宋体"/>
          <w:szCs w:val="21"/>
        </w:rPr>
        <w:t>最高限额为</w:t>
      </w:r>
      <w:r>
        <w:rPr>
          <w:rFonts w:hint="eastAsia" w:ascii="宋体" w:hAnsi="宋体"/>
          <w:szCs w:val="21"/>
        </w:rPr>
        <w:t>本</w:t>
      </w:r>
      <w:r>
        <w:rPr>
          <w:rFonts w:ascii="宋体" w:hAnsi="宋体"/>
          <w:szCs w:val="21"/>
        </w:rPr>
        <w:t>合同总价的</w:t>
      </w:r>
      <w:r>
        <w:rPr>
          <w:rFonts w:hint="eastAsia" w:ascii="宋体" w:hAnsi="宋体"/>
          <w:szCs w:val="21"/>
          <w:u w:val="single"/>
        </w:rPr>
        <w:t xml:space="preserve">1 </w:t>
      </w:r>
      <w:r>
        <w:rPr>
          <w:rFonts w:ascii="宋体" w:hAnsi="宋体"/>
          <w:szCs w:val="21"/>
        </w:rPr>
        <w:t>%</w:t>
      </w:r>
      <w:r>
        <w:rPr>
          <w:rFonts w:hint="eastAsia" w:ascii="宋体" w:hAnsi="宋体"/>
          <w:szCs w:val="21"/>
        </w:rPr>
        <w:t>；</w:t>
      </w:r>
      <w:r>
        <w:rPr>
          <w:rFonts w:ascii="宋体" w:hAnsi="宋体"/>
          <w:szCs w:val="21"/>
        </w:rPr>
        <w:t>迟延</w:t>
      </w:r>
      <w:r>
        <w:rPr>
          <w:rFonts w:hint="eastAsia" w:ascii="宋体" w:hAnsi="宋体"/>
          <w:szCs w:val="21"/>
        </w:rPr>
        <w:t>履行</w:t>
      </w:r>
      <w:r>
        <w:rPr>
          <w:rFonts w:ascii="宋体" w:hAnsi="宋体"/>
          <w:szCs w:val="21"/>
        </w:rPr>
        <w:t>的违约金计算数额达到前述最高限额之日起</w:t>
      </w:r>
      <w:r>
        <w:rPr>
          <w:rFonts w:hint="eastAsia" w:ascii="宋体" w:hAnsi="宋体"/>
          <w:szCs w:val="21"/>
        </w:rPr>
        <w:t>，</w:t>
      </w:r>
      <w:r>
        <w:rPr>
          <w:rFonts w:ascii="宋体" w:hAnsi="宋体"/>
          <w:szCs w:val="21"/>
        </w:rPr>
        <w:t>甲方有权在要求乙方支付违约金的同时</w:t>
      </w:r>
      <w:r>
        <w:rPr>
          <w:rFonts w:hint="eastAsia" w:ascii="宋体" w:hAnsi="宋体"/>
          <w:szCs w:val="21"/>
        </w:rPr>
        <w:t>，书面通知乙方</w:t>
      </w:r>
      <w:r>
        <w:rPr>
          <w:rFonts w:ascii="宋体" w:hAnsi="宋体"/>
          <w:szCs w:val="21"/>
        </w:rPr>
        <w:t>解除本合同</w:t>
      </w:r>
      <w:r>
        <w:rPr>
          <w:rFonts w:hint="eastAsia" w:ascii="宋体" w:hAnsi="宋体"/>
          <w:szCs w:val="21"/>
        </w:rPr>
        <w:t>；</w:t>
      </w:r>
    </w:p>
    <w:p w14:paraId="5BA6B416">
      <w:pPr>
        <w:spacing w:line="360" w:lineRule="auto"/>
        <w:ind w:firstLine="480"/>
        <w:rPr>
          <w:rFonts w:ascii="宋体" w:hAnsi="宋体"/>
          <w:szCs w:val="21"/>
        </w:rPr>
      </w:pPr>
      <w:r>
        <w:rPr>
          <w:rFonts w:hint="eastAsia" w:ascii="宋体" w:hAnsi="宋体"/>
          <w:szCs w:val="21"/>
        </w:rPr>
        <w:t>1.6.2</w:t>
      </w:r>
      <w:r>
        <w:rPr>
          <w:rFonts w:ascii="宋体" w:hAnsi="宋体"/>
          <w:szCs w:val="21"/>
        </w:rPr>
        <w:t>除不可抗力外，如果甲方没有按照本合同约定的付款方式付款，那么乙方可要求甲方支付违约金</w:t>
      </w:r>
      <w:r>
        <w:rPr>
          <w:rFonts w:hint="eastAsia" w:ascii="宋体" w:hAnsi="宋体"/>
          <w:szCs w:val="21"/>
        </w:rPr>
        <w:t>，</w:t>
      </w:r>
      <w:r>
        <w:rPr>
          <w:rFonts w:ascii="宋体" w:hAnsi="宋体"/>
          <w:szCs w:val="21"/>
        </w:rPr>
        <w:t>违约金按每迟延</w:t>
      </w:r>
      <w:r>
        <w:rPr>
          <w:rFonts w:hint="eastAsia" w:ascii="宋体" w:hAnsi="宋体"/>
          <w:szCs w:val="21"/>
        </w:rPr>
        <w:t>付款</w:t>
      </w:r>
      <w:r>
        <w:rPr>
          <w:rFonts w:ascii="宋体" w:hAnsi="宋体"/>
          <w:szCs w:val="21"/>
        </w:rPr>
        <w:t>一日的应付而未付款的</w:t>
      </w:r>
      <w:r>
        <w:rPr>
          <w:rFonts w:hint="eastAsia" w:ascii="宋体" w:hAnsi="宋体"/>
          <w:szCs w:val="21"/>
          <w:u w:val="single"/>
        </w:rPr>
        <w:t xml:space="preserve">1 </w:t>
      </w:r>
      <w:r>
        <w:rPr>
          <w:rFonts w:ascii="宋体" w:hAnsi="宋体"/>
          <w:szCs w:val="21"/>
        </w:rPr>
        <w:t>%计算</w:t>
      </w:r>
      <w:r>
        <w:rPr>
          <w:rFonts w:hint="eastAsia" w:ascii="宋体" w:hAnsi="宋体"/>
          <w:szCs w:val="21"/>
        </w:rPr>
        <w:t>，</w:t>
      </w:r>
      <w:r>
        <w:rPr>
          <w:rFonts w:ascii="宋体" w:hAnsi="宋体"/>
          <w:szCs w:val="21"/>
        </w:rPr>
        <w:t>最高限额为</w:t>
      </w:r>
      <w:r>
        <w:rPr>
          <w:rFonts w:hint="eastAsia" w:ascii="宋体" w:hAnsi="宋体"/>
          <w:szCs w:val="21"/>
        </w:rPr>
        <w:t>本</w:t>
      </w:r>
      <w:r>
        <w:rPr>
          <w:rFonts w:ascii="宋体" w:hAnsi="宋体"/>
          <w:szCs w:val="21"/>
        </w:rPr>
        <w:t>合同总价的</w:t>
      </w:r>
      <w:r>
        <w:rPr>
          <w:rFonts w:hint="eastAsia" w:ascii="宋体" w:hAnsi="宋体"/>
          <w:szCs w:val="21"/>
          <w:u w:val="single"/>
        </w:rPr>
        <w:t xml:space="preserve">1 </w:t>
      </w:r>
      <w:r>
        <w:rPr>
          <w:rFonts w:ascii="宋体" w:hAnsi="宋体"/>
          <w:szCs w:val="21"/>
        </w:rPr>
        <w:t>%</w:t>
      </w:r>
      <w:r>
        <w:rPr>
          <w:rFonts w:hint="eastAsia" w:ascii="宋体" w:hAnsi="宋体"/>
          <w:szCs w:val="21"/>
        </w:rPr>
        <w:t>；</w:t>
      </w:r>
      <w:r>
        <w:rPr>
          <w:rFonts w:ascii="宋体" w:hAnsi="宋体"/>
          <w:szCs w:val="21"/>
        </w:rPr>
        <w:t>迟延</w:t>
      </w:r>
      <w:r>
        <w:rPr>
          <w:rFonts w:hint="eastAsia" w:ascii="宋体" w:hAnsi="宋体"/>
          <w:szCs w:val="21"/>
        </w:rPr>
        <w:t>付款</w:t>
      </w:r>
      <w:r>
        <w:rPr>
          <w:rFonts w:ascii="宋体" w:hAnsi="宋体"/>
          <w:szCs w:val="21"/>
        </w:rPr>
        <w:t>的违约金计算数额达到前述最高限额之日起</w:t>
      </w:r>
      <w:r>
        <w:rPr>
          <w:rFonts w:hint="eastAsia" w:ascii="宋体" w:hAnsi="宋体"/>
          <w:szCs w:val="21"/>
        </w:rPr>
        <w:t>，乙</w:t>
      </w:r>
      <w:r>
        <w:rPr>
          <w:rFonts w:ascii="宋体" w:hAnsi="宋体"/>
          <w:szCs w:val="21"/>
        </w:rPr>
        <w:t>方有权在要求甲方支付违约金的同时</w:t>
      </w:r>
      <w:r>
        <w:rPr>
          <w:rFonts w:hint="eastAsia" w:ascii="宋体" w:hAnsi="宋体"/>
          <w:szCs w:val="21"/>
        </w:rPr>
        <w:t>，书面通知甲方</w:t>
      </w:r>
      <w:r>
        <w:rPr>
          <w:rFonts w:ascii="宋体" w:hAnsi="宋体"/>
          <w:szCs w:val="21"/>
        </w:rPr>
        <w:t>解除本合同</w:t>
      </w:r>
      <w:r>
        <w:rPr>
          <w:rFonts w:hint="eastAsia" w:ascii="宋体" w:hAnsi="宋体"/>
          <w:szCs w:val="21"/>
        </w:rPr>
        <w:t>；</w:t>
      </w:r>
    </w:p>
    <w:p w14:paraId="65113CE7">
      <w:pPr>
        <w:spacing w:line="360" w:lineRule="auto"/>
        <w:ind w:firstLine="480"/>
        <w:rPr>
          <w:rFonts w:ascii="宋体" w:hAnsi="宋体"/>
          <w:szCs w:val="21"/>
        </w:rPr>
      </w:pPr>
      <w:r>
        <w:rPr>
          <w:rFonts w:hint="eastAsia" w:ascii="宋体" w:hAnsi="宋体"/>
          <w:szCs w:val="21"/>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349AA9">
      <w:pPr>
        <w:spacing w:line="360" w:lineRule="auto"/>
        <w:ind w:firstLine="480"/>
        <w:rPr>
          <w:rFonts w:ascii="宋体" w:hAnsi="宋体"/>
          <w:szCs w:val="21"/>
        </w:rPr>
      </w:pPr>
      <w:r>
        <w:rPr>
          <w:rFonts w:hint="eastAsia" w:ascii="宋体" w:hAnsi="宋体"/>
          <w:szCs w:val="21"/>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741CA0">
      <w:pPr>
        <w:spacing w:line="360" w:lineRule="auto"/>
        <w:ind w:firstLine="480"/>
        <w:rPr>
          <w:rFonts w:ascii="宋体" w:hAnsi="宋体"/>
          <w:szCs w:val="21"/>
        </w:rPr>
      </w:pPr>
      <w:r>
        <w:rPr>
          <w:rFonts w:hint="eastAsia" w:ascii="宋体" w:hAnsi="宋体"/>
          <w:szCs w:val="21"/>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BE8AC29">
      <w:pPr>
        <w:spacing w:line="360" w:lineRule="auto"/>
        <w:ind w:firstLine="480"/>
        <w:rPr>
          <w:rFonts w:ascii="宋体" w:hAnsi="宋体"/>
          <w:szCs w:val="21"/>
        </w:rPr>
      </w:pPr>
      <w:r>
        <w:rPr>
          <w:rFonts w:hint="eastAsia" w:ascii="宋体" w:hAnsi="宋体"/>
          <w:szCs w:val="21"/>
        </w:rPr>
        <w:t>1.6.6如果出现政府采购监督管理部门在处理投诉事项期间，书面通知甲方暂停采购活动的情形，或者询问或质疑事项可能影响中标结果的，导致甲方中止履行合同的情形，均不视为甲方违约。</w:t>
      </w:r>
    </w:p>
    <w:p w14:paraId="5E6C725C">
      <w:pPr>
        <w:spacing w:line="360" w:lineRule="auto"/>
        <w:ind w:firstLine="482"/>
        <w:outlineLvl w:val="3"/>
        <w:rPr>
          <w:rFonts w:ascii="宋体" w:hAnsi="宋体"/>
          <w:b/>
          <w:bCs/>
          <w:szCs w:val="21"/>
          <w:lang w:val="zh-CN"/>
        </w:rPr>
      </w:pPr>
      <w:bookmarkStart w:id="614" w:name="_Toc16021"/>
      <w:bookmarkStart w:id="615" w:name="_Toc15583"/>
      <w:bookmarkStart w:id="616" w:name="_Toc28375"/>
      <w:r>
        <w:rPr>
          <w:rFonts w:hint="eastAsia" w:ascii="宋体" w:hAnsi="宋体"/>
          <w:b/>
          <w:bCs/>
          <w:szCs w:val="21"/>
          <w:lang w:val="zh-CN"/>
        </w:rPr>
        <w:t>1.7</w:t>
      </w:r>
      <w:r>
        <w:rPr>
          <w:rFonts w:ascii="宋体" w:hAnsi="宋体"/>
          <w:b/>
          <w:bCs/>
          <w:szCs w:val="21"/>
          <w:lang w:val="zh-CN"/>
        </w:rPr>
        <w:t xml:space="preserve"> </w:t>
      </w:r>
      <w:r>
        <w:rPr>
          <w:rFonts w:hint="eastAsia" w:ascii="宋体" w:hAnsi="宋体"/>
          <w:b/>
          <w:bCs/>
          <w:szCs w:val="21"/>
          <w:lang w:val="zh-CN"/>
        </w:rPr>
        <w:t>合同</w:t>
      </w:r>
      <w:r>
        <w:rPr>
          <w:rFonts w:ascii="宋体" w:hAnsi="宋体"/>
          <w:b/>
          <w:bCs/>
          <w:szCs w:val="21"/>
          <w:lang w:val="zh-CN"/>
        </w:rPr>
        <w:t>争议的解决</w:t>
      </w:r>
      <w:bookmarkEnd w:id="614"/>
      <w:bookmarkEnd w:id="615"/>
      <w:bookmarkEnd w:id="616"/>
    </w:p>
    <w:p w14:paraId="300CA0F2">
      <w:pPr>
        <w:spacing w:line="360" w:lineRule="auto"/>
        <w:ind w:firstLine="480"/>
        <w:rPr>
          <w:rFonts w:ascii="宋体" w:hAnsi="宋体"/>
          <w:szCs w:val="21"/>
        </w:rPr>
      </w:pPr>
      <w:r>
        <w:rPr>
          <w:rFonts w:hint="eastAsia" w:ascii="宋体" w:hAnsi="宋体"/>
          <w:szCs w:val="21"/>
        </w:rPr>
        <w:t>本合</w:t>
      </w:r>
      <w:r>
        <w:rPr>
          <w:rFonts w:ascii="宋体" w:hAnsi="宋体"/>
          <w:szCs w:val="21"/>
        </w:rPr>
        <w:t>同履行过程中发生的任何争议，双方当事人均可</w:t>
      </w:r>
      <w:r>
        <w:rPr>
          <w:rFonts w:hint="eastAsia" w:ascii="宋体" w:hAnsi="宋体"/>
          <w:szCs w:val="21"/>
        </w:rPr>
        <w:t>通过和解或者调解解决；不愿和解、调解或者和解、调解不成的，可以选择下列第</w:t>
      </w:r>
      <w:r>
        <w:rPr>
          <w:rFonts w:hint="eastAsia" w:ascii="宋体" w:hAnsi="宋体"/>
          <w:szCs w:val="21"/>
          <w:u w:val="single"/>
        </w:rPr>
        <w:t xml:space="preserve"> 1.7.2  </w:t>
      </w:r>
      <w:r>
        <w:rPr>
          <w:rFonts w:hint="eastAsia" w:ascii="宋体" w:hAnsi="宋体"/>
          <w:szCs w:val="21"/>
        </w:rPr>
        <w:t>种方式解决：</w:t>
      </w:r>
    </w:p>
    <w:p w14:paraId="3346A4A8">
      <w:pPr>
        <w:spacing w:line="360" w:lineRule="auto"/>
        <w:ind w:firstLine="480"/>
        <w:rPr>
          <w:rFonts w:ascii="宋体" w:hAnsi="宋体"/>
          <w:szCs w:val="21"/>
        </w:rPr>
      </w:pPr>
      <w:r>
        <w:rPr>
          <w:rFonts w:hint="eastAsia" w:ascii="宋体" w:hAnsi="宋体"/>
          <w:szCs w:val="21"/>
        </w:rPr>
        <w:t>1.7.1将争议提交滁州仲裁委员会依申请仲裁时其现行有效的仲裁规则裁决；</w:t>
      </w:r>
    </w:p>
    <w:p w14:paraId="60D56742">
      <w:pPr>
        <w:spacing w:line="360" w:lineRule="auto"/>
        <w:ind w:firstLine="480"/>
        <w:rPr>
          <w:rFonts w:ascii="宋体" w:hAnsi="宋体"/>
          <w:szCs w:val="21"/>
        </w:rPr>
      </w:pPr>
      <w:r>
        <w:rPr>
          <w:rFonts w:hint="eastAsia" w:ascii="宋体" w:hAnsi="宋体"/>
          <w:szCs w:val="21"/>
        </w:rPr>
        <w:t>1.7.2向甲方（采购人）</w:t>
      </w:r>
      <w:r>
        <w:rPr>
          <w:rFonts w:hint="eastAsia" w:ascii="宋体" w:cs="宋体"/>
          <w:szCs w:val="21"/>
          <w:u w:color="000000"/>
        </w:rPr>
        <w:t>所在地</w:t>
      </w:r>
      <w:r>
        <w:rPr>
          <w:rFonts w:hint="eastAsia" w:ascii="宋体" w:hAnsi="宋体"/>
          <w:szCs w:val="21"/>
        </w:rPr>
        <w:t>人民法院起诉。</w:t>
      </w:r>
    </w:p>
    <w:p w14:paraId="213231BB">
      <w:pPr>
        <w:spacing w:line="360" w:lineRule="auto"/>
        <w:ind w:firstLine="482"/>
        <w:outlineLvl w:val="3"/>
        <w:rPr>
          <w:rFonts w:ascii="宋体" w:hAnsi="宋体"/>
          <w:b/>
          <w:bCs/>
          <w:szCs w:val="21"/>
          <w:lang w:val="zh-CN"/>
        </w:rPr>
      </w:pPr>
      <w:bookmarkStart w:id="617" w:name="_Toc11173"/>
      <w:bookmarkStart w:id="618" w:name="_Toc7245"/>
      <w:bookmarkStart w:id="619" w:name="_Toc15322"/>
      <w:r>
        <w:rPr>
          <w:rFonts w:hint="eastAsia" w:ascii="宋体" w:hAnsi="宋体"/>
          <w:b/>
          <w:bCs/>
          <w:szCs w:val="21"/>
          <w:lang w:val="zh-CN"/>
        </w:rPr>
        <w:t>1.8</w:t>
      </w:r>
      <w:r>
        <w:rPr>
          <w:rFonts w:ascii="宋体" w:hAnsi="宋体"/>
          <w:b/>
          <w:bCs/>
          <w:szCs w:val="21"/>
          <w:lang w:val="zh-CN"/>
        </w:rPr>
        <w:t xml:space="preserve"> 合同生效</w:t>
      </w:r>
      <w:bookmarkEnd w:id="617"/>
      <w:bookmarkEnd w:id="618"/>
      <w:bookmarkEnd w:id="619"/>
    </w:p>
    <w:p w14:paraId="7A83CCD3">
      <w:pPr>
        <w:spacing w:line="360" w:lineRule="auto"/>
        <w:ind w:firstLine="480"/>
        <w:rPr>
          <w:rFonts w:ascii="宋体" w:hAnsi="宋体"/>
          <w:szCs w:val="21"/>
        </w:rPr>
      </w:pPr>
      <w:r>
        <w:rPr>
          <w:rFonts w:ascii="宋体" w:hAnsi="宋体"/>
          <w:szCs w:val="21"/>
        </w:rPr>
        <w:t>本合同自</w:t>
      </w:r>
      <w:r>
        <w:rPr>
          <w:rFonts w:hint="eastAsia" w:ascii="宋体" w:hAnsi="宋体"/>
          <w:szCs w:val="21"/>
        </w:rPr>
        <w:t>双方当事人盖章时</w:t>
      </w:r>
      <w:r>
        <w:rPr>
          <w:rFonts w:ascii="宋体" w:hAnsi="宋体"/>
          <w:szCs w:val="21"/>
        </w:rPr>
        <w:t>生效。</w:t>
      </w:r>
    </w:p>
    <w:p w14:paraId="5AF93B28">
      <w:pPr>
        <w:autoSpaceDE w:val="0"/>
        <w:autoSpaceDN w:val="0"/>
        <w:adjustRightInd w:val="0"/>
        <w:spacing w:line="560" w:lineRule="exact"/>
        <w:ind w:firstLine="480"/>
        <w:rPr>
          <w:rFonts w:ascii="宋体" w:hAnsi="宋体"/>
          <w:szCs w:val="21"/>
          <w:lang w:val="zh-CN"/>
        </w:rPr>
      </w:pPr>
    </w:p>
    <w:p w14:paraId="537F67EB">
      <w:pPr>
        <w:autoSpaceDE w:val="0"/>
        <w:autoSpaceDN w:val="0"/>
        <w:adjustRightInd w:val="0"/>
        <w:spacing w:line="560" w:lineRule="exact"/>
        <w:ind w:firstLine="480"/>
        <w:rPr>
          <w:rFonts w:ascii="宋体" w:hAnsi="宋体"/>
          <w:szCs w:val="21"/>
          <w:lang w:val="zh-CN"/>
        </w:rPr>
      </w:pPr>
    </w:p>
    <w:p w14:paraId="55A331B4">
      <w:pPr>
        <w:autoSpaceDE w:val="0"/>
        <w:autoSpaceDN w:val="0"/>
        <w:adjustRightInd w:val="0"/>
        <w:spacing w:line="560" w:lineRule="exact"/>
        <w:ind w:firstLine="480"/>
        <w:rPr>
          <w:rFonts w:ascii="宋体" w:hAnsi="宋体"/>
          <w:bCs/>
          <w:szCs w:val="21"/>
          <w:lang w:val="zh-CN"/>
        </w:rPr>
      </w:pPr>
      <w:r>
        <w:rPr>
          <w:rFonts w:hint="eastAsia" w:ascii="宋体" w:hAnsi="宋体"/>
          <w:bCs/>
          <w:szCs w:val="21"/>
          <w:lang w:val="zh-CN"/>
        </w:rPr>
        <w:t xml:space="preserve">甲 </w:t>
      </w:r>
      <w:r>
        <w:rPr>
          <w:rFonts w:ascii="宋体" w:hAnsi="宋体"/>
          <w:bCs/>
          <w:szCs w:val="21"/>
          <w:lang w:val="zh-CN"/>
        </w:rPr>
        <w:t xml:space="preserve">   </w:t>
      </w:r>
      <w:r>
        <w:rPr>
          <w:rFonts w:hint="eastAsia" w:ascii="宋体" w:hAnsi="宋体"/>
          <w:bCs/>
          <w:szCs w:val="21"/>
          <w:lang w:val="zh-CN"/>
        </w:rPr>
        <w:t>方：</w:t>
      </w:r>
      <w:r>
        <w:rPr>
          <w:rFonts w:hint="eastAsia" w:ascii="宋体" w:hAnsi="宋体"/>
          <w:bCs/>
          <w:szCs w:val="21"/>
          <w:u w:val="single"/>
          <w:lang w:val="zh-CN"/>
        </w:rPr>
        <w:t xml:space="preserve">    （单位盖章）     </w:t>
      </w:r>
      <w:r>
        <w:rPr>
          <w:rFonts w:hint="eastAsia" w:ascii="宋体" w:hAnsi="宋体"/>
          <w:bCs/>
          <w:szCs w:val="21"/>
          <w:lang w:val="zh-CN"/>
        </w:rPr>
        <w:t xml:space="preserve">          乙</w:t>
      </w:r>
      <w:r>
        <w:rPr>
          <w:rFonts w:hint="eastAsia" w:ascii="宋体" w:hAnsi="宋体"/>
          <w:bCs/>
          <w:szCs w:val="21"/>
        </w:rPr>
        <w:t xml:space="preserve">    </w:t>
      </w:r>
      <w:r>
        <w:rPr>
          <w:rFonts w:hint="eastAsia" w:ascii="宋体" w:hAnsi="宋体"/>
          <w:bCs/>
          <w:szCs w:val="21"/>
          <w:lang w:val="zh-CN"/>
        </w:rPr>
        <w:t>方：</w:t>
      </w:r>
      <w:r>
        <w:rPr>
          <w:rFonts w:hint="eastAsia" w:ascii="宋体" w:hAnsi="宋体"/>
          <w:bCs/>
          <w:szCs w:val="21"/>
          <w:u w:val="single"/>
          <w:lang w:val="zh-CN"/>
        </w:rPr>
        <w:t xml:space="preserve">    （单位盖章）     </w:t>
      </w:r>
    </w:p>
    <w:p w14:paraId="186C0F07">
      <w:pPr>
        <w:autoSpaceDE w:val="0"/>
        <w:autoSpaceDN w:val="0"/>
        <w:adjustRightInd w:val="0"/>
        <w:spacing w:line="560" w:lineRule="exact"/>
        <w:ind w:firstLine="480"/>
        <w:rPr>
          <w:rFonts w:ascii="宋体" w:hAnsi="宋体"/>
          <w:szCs w:val="21"/>
          <w:lang w:val="zh-CN"/>
        </w:rPr>
      </w:pPr>
      <w:r>
        <w:rPr>
          <w:rFonts w:hint="eastAsia" w:ascii="宋体" w:hAnsi="宋体"/>
          <w:szCs w:val="21"/>
          <w:lang w:val="zh-CN"/>
        </w:rPr>
        <w:t xml:space="preserve">法定代表人                             </w:t>
      </w:r>
      <w:r>
        <w:rPr>
          <w:rFonts w:ascii="宋体" w:hAnsi="宋体"/>
          <w:szCs w:val="21"/>
          <w:lang w:val="zh-CN"/>
        </w:rPr>
        <w:t xml:space="preserve">  </w:t>
      </w:r>
      <w:r>
        <w:rPr>
          <w:rFonts w:hint="eastAsia" w:ascii="宋体" w:hAnsi="宋体"/>
          <w:szCs w:val="21"/>
          <w:lang w:val="zh-CN"/>
        </w:rPr>
        <w:t>法定代表人</w:t>
      </w:r>
    </w:p>
    <w:p w14:paraId="65AD4890">
      <w:pPr>
        <w:autoSpaceDE w:val="0"/>
        <w:autoSpaceDN w:val="0"/>
        <w:adjustRightInd w:val="0"/>
        <w:spacing w:line="560" w:lineRule="exact"/>
        <w:ind w:firstLine="480"/>
        <w:rPr>
          <w:rFonts w:ascii="宋体" w:hAnsi="宋体"/>
          <w:szCs w:val="21"/>
          <w:lang w:val="zh-CN"/>
        </w:rPr>
      </w:pPr>
      <w:r>
        <w:rPr>
          <w:rFonts w:hint="eastAsia" w:ascii="宋体" w:hAnsi="宋体"/>
          <w:szCs w:val="21"/>
          <w:lang w:val="zh-CN"/>
        </w:rPr>
        <w:t>或授权代表（签字）：                     或授权代表（签字）：</w:t>
      </w:r>
    </w:p>
    <w:p w14:paraId="0BD4216A">
      <w:pPr>
        <w:widowControl/>
        <w:spacing w:line="560" w:lineRule="exact"/>
        <w:ind w:firstLine="480"/>
        <w:jc w:val="left"/>
        <w:rPr>
          <w:rFonts w:ascii="宋体" w:hAnsi="宋体"/>
          <w:bCs/>
          <w:szCs w:val="21"/>
        </w:rPr>
      </w:pPr>
      <w:bookmarkStart w:id="620" w:name="_Toc331685783"/>
      <w:r>
        <w:rPr>
          <w:rFonts w:hint="eastAsia" w:ascii="宋体" w:hAnsi="宋体"/>
          <w:bCs/>
          <w:szCs w:val="21"/>
        </w:rPr>
        <w:t>时间：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日               时间：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日</w:t>
      </w:r>
    </w:p>
    <w:p w14:paraId="58B5A0FA">
      <w:pPr>
        <w:widowControl/>
        <w:ind w:firstLine="482"/>
        <w:jc w:val="left"/>
        <w:rPr>
          <w:rFonts w:ascii="宋体" w:hAnsi="宋体"/>
          <w:b/>
          <w:szCs w:val="21"/>
        </w:rPr>
      </w:pPr>
    </w:p>
    <w:p w14:paraId="144D0DD1">
      <w:pPr>
        <w:widowControl/>
        <w:ind w:firstLine="482"/>
        <w:jc w:val="left"/>
        <w:rPr>
          <w:rFonts w:ascii="宋体" w:hAnsi="宋体"/>
          <w:b/>
          <w:szCs w:val="21"/>
        </w:rPr>
      </w:pPr>
    </w:p>
    <w:p w14:paraId="27933642">
      <w:pPr>
        <w:widowControl/>
        <w:ind w:firstLine="482"/>
        <w:jc w:val="center"/>
        <w:rPr>
          <w:rFonts w:ascii="宋体" w:hAnsi="宋体"/>
          <w:b/>
          <w:szCs w:val="21"/>
        </w:rPr>
      </w:pPr>
      <w:r>
        <w:rPr>
          <w:rFonts w:hint="eastAsia" w:ascii="宋体" w:hAnsi="宋体"/>
          <w:b/>
          <w:szCs w:val="21"/>
        </w:rPr>
        <w:t>第二部分</w:t>
      </w:r>
      <w:r>
        <w:rPr>
          <w:rFonts w:ascii="宋体" w:hAnsi="宋体"/>
          <w:b/>
          <w:szCs w:val="21"/>
        </w:rPr>
        <w:t xml:space="preserve"> </w:t>
      </w:r>
      <w:r>
        <w:rPr>
          <w:rFonts w:hint="eastAsia" w:ascii="宋体" w:hAnsi="宋体"/>
          <w:b/>
          <w:szCs w:val="21"/>
        </w:rPr>
        <w:t>合同一般条款</w:t>
      </w:r>
      <w:bookmarkEnd w:id="620"/>
    </w:p>
    <w:p w14:paraId="59FC1B47">
      <w:pPr>
        <w:spacing w:line="360" w:lineRule="auto"/>
        <w:ind w:firstLine="482"/>
        <w:outlineLvl w:val="3"/>
        <w:rPr>
          <w:rFonts w:ascii="宋体" w:hAnsi="宋体"/>
          <w:b/>
          <w:bCs/>
          <w:szCs w:val="21"/>
          <w:lang w:val="zh-CN"/>
        </w:rPr>
      </w:pPr>
      <w:bookmarkStart w:id="621" w:name="_Ref467379109"/>
      <w:bookmarkStart w:id="622" w:name="_Toc16917"/>
      <w:bookmarkStart w:id="623" w:name="_Toc28763"/>
      <w:bookmarkStart w:id="624" w:name="_Ref467379195"/>
      <w:bookmarkStart w:id="625" w:name="_Ref467378404"/>
      <w:bookmarkStart w:id="626" w:name="_Toc259093669"/>
      <w:bookmarkStart w:id="627" w:name="_Ref467379225"/>
      <w:bookmarkStart w:id="628" w:name="_Ref467379214"/>
      <w:bookmarkStart w:id="629" w:name="_Ref467379094"/>
      <w:bookmarkStart w:id="630" w:name="_Ref467379205"/>
      <w:bookmarkStart w:id="631" w:name="_Ref467378463"/>
      <w:bookmarkStart w:id="632" w:name="_Ref467379101"/>
      <w:bookmarkStart w:id="633" w:name="_Ref467378499"/>
      <w:bookmarkStart w:id="634" w:name="_Toc279701240"/>
      <w:bookmarkStart w:id="635" w:name="_Toc487900349"/>
      <w:bookmarkStart w:id="636" w:name="_Toc19614"/>
      <w:r>
        <w:rPr>
          <w:rFonts w:hint="eastAsia" w:ascii="宋体" w:hAnsi="宋体"/>
          <w:b/>
          <w:bCs/>
          <w:szCs w:val="21"/>
          <w:lang w:val="zh-CN"/>
        </w:rPr>
        <w:t>2.1</w:t>
      </w:r>
      <w:r>
        <w:rPr>
          <w:rFonts w:ascii="宋体" w:hAnsi="宋体"/>
          <w:b/>
          <w:bCs/>
          <w:szCs w:val="21"/>
          <w:lang w:val="zh-CN"/>
        </w:rPr>
        <w:t xml:space="preserve"> 定义</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65F329B4">
      <w:pPr>
        <w:spacing w:line="360" w:lineRule="auto"/>
        <w:ind w:firstLine="480"/>
        <w:rPr>
          <w:rFonts w:ascii="宋体" w:hAnsi="宋体"/>
          <w:szCs w:val="21"/>
        </w:rPr>
      </w:pPr>
      <w:r>
        <w:rPr>
          <w:rFonts w:ascii="宋体" w:hAnsi="宋体"/>
          <w:szCs w:val="21"/>
        </w:rPr>
        <w:t>本合同中的下列</w:t>
      </w:r>
      <w:r>
        <w:rPr>
          <w:rFonts w:hint="eastAsia" w:ascii="宋体" w:hAnsi="宋体"/>
          <w:szCs w:val="21"/>
        </w:rPr>
        <w:t>词</w:t>
      </w:r>
      <w:r>
        <w:rPr>
          <w:rFonts w:ascii="宋体" w:hAnsi="宋体"/>
          <w:szCs w:val="21"/>
        </w:rPr>
        <w:t>语应</w:t>
      </w:r>
      <w:r>
        <w:rPr>
          <w:rFonts w:hint="eastAsia" w:ascii="宋体" w:hAnsi="宋体"/>
          <w:szCs w:val="21"/>
        </w:rPr>
        <w:t>按以下内容进行</w:t>
      </w:r>
      <w:r>
        <w:rPr>
          <w:rFonts w:ascii="宋体" w:hAnsi="宋体"/>
          <w:szCs w:val="21"/>
        </w:rPr>
        <w:t>解释：</w:t>
      </w:r>
    </w:p>
    <w:p w14:paraId="0EB61139">
      <w:pPr>
        <w:spacing w:line="360" w:lineRule="auto"/>
        <w:ind w:firstLine="480"/>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.1</w:t>
      </w:r>
      <w:r>
        <w:rPr>
          <w:rFonts w:ascii="宋体" w:hAnsi="宋体"/>
          <w:szCs w:val="21"/>
        </w:rPr>
        <w:t>“合同”系指采购人和中标</w:t>
      </w:r>
      <w:r>
        <w:rPr>
          <w:rFonts w:hint="eastAsia" w:ascii="宋体" w:hAnsi="宋体"/>
          <w:szCs w:val="21"/>
        </w:rPr>
        <w:t>人</w:t>
      </w:r>
      <w:r>
        <w:rPr>
          <w:rFonts w:ascii="宋体" w:hAnsi="宋体"/>
          <w:szCs w:val="21"/>
        </w:rPr>
        <w:t>签订的载明双方当事人所达成的协议，并包括所有的附件、附录和构成合同的其他文件。</w:t>
      </w:r>
    </w:p>
    <w:p w14:paraId="3C1EE5BB">
      <w:pPr>
        <w:spacing w:line="360" w:lineRule="auto"/>
        <w:ind w:firstLine="480"/>
        <w:rPr>
          <w:rFonts w:ascii="宋体" w:hAnsi="宋体"/>
          <w:szCs w:val="21"/>
        </w:rPr>
      </w:pPr>
      <w:r>
        <w:rPr>
          <w:rFonts w:hint="eastAsia" w:ascii="宋体" w:hAnsi="宋体"/>
          <w:szCs w:val="21"/>
        </w:rPr>
        <w:t>2.</w:t>
      </w:r>
      <w:r>
        <w:rPr>
          <w:rFonts w:ascii="宋体" w:hAnsi="宋体"/>
          <w:szCs w:val="21"/>
        </w:rPr>
        <w:t>1.2“合同价”系指根据合同约定，中标</w:t>
      </w:r>
      <w:r>
        <w:rPr>
          <w:rFonts w:hint="eastAsia" w:ascii="宋体" w:hAnsi="宋体"/>
          <w:szCs w:val="21"/>
        </w:rPr>
        <w:t>人</w:t>
      </w:r>
      <w:r>
        <w:rPr>
          <w:rFonts w:ascii="宋体" w:hAnsi="宋体"/>
          <w:szCs w:val="21"/>
        </w:rPr>
        <w:t>在完全履行合同义务后</w:t>
      </w:r>
      <w:r>
        <w:rPr>
          <w:rFonts w:hint="eastAsia" w:ascii="宋体" w:hAnsi="宋体"/>
          <w:szCs w:val="21"/>
        </w:rPr>
        <w:t>，</w:t>
      </w:r>
      <w:r>
        <w:rPr>
          <w:rFonts w:ascii="宋体" w:hAnsi="宋体"/>
          <w:szCs w:val="21"/>
        </w:rPr>
        <w:t>采购人应支付给中标人的价格。</w:t>
      </w:r>
    </w:p>
    <w:p w14:paraId="0E23F278">
      <w:pPr>
        <w:spacing w:line="360" w:lineRule="auto"/>
        <w:ind w:firstLine="480"/>
        <w:rPr>
          <w:rFonts w:ascii="宋体" w:hAnsi="宋体"/>
          <w:szCs w:val="21"/>
        </w:rPr>
      </w:pPr>
      <w:r>
        <w:rPr>
          <w:rFonts w:hint="eastAsia" w:ascii="宋体" w:hAnsi="宋体"/>
          <w:szCs w:val="21"/>
        </w:rPr>
        <w:t>2.</w:t>
      </w:r>
      <w:r>
        <w:rPr>
          <w:rFonts w:ascii="宋体" w:hAnsi="宋体"/>
          <w:szCs w:val="21"/>
        </w:rPr>
        <w:t>1.3“</w:t>
      </w:r>
      <w:r>
        <w:rPr>
          <w:rFonts w:hint="eastAsia" w:ascii="宋体" w:hAnsi="宋体"/>
          <w:szCs w:val="21"/>
        </w:rPr>
        <w:t>服务</w:t>
      </w:r>
      <w:r>
        <w:rPr>
          <w:rFonts w:ascii="宋体" w:hAnsi="宋体"/>
          <w:szCs w:val="21"/>
        </w:rPr>
        <w:t>”系指</w:t>
      </w:r>
      <w:r>
        <w:rPr>
          <w:rFonts w:hint="eastAsia" w:ascii="宋体" w:hAnsi="宋体"/>
          <w:szCs w:val="21"/>
        </w:rPr>
        <w:t>中标人</w:t>
      </w:r>
      <w:r>
        <w:rPr>
          <w:rFonts w:ascii="宋体" w:hAnsi="宋体"/>
          <w:szCs w:val="21"/>
        </w:rPr>
        <w:t>根据合同约定应向采购人</w:t>
      </w:r>
      <w:r>
        <w:rPr>
          <w:rFonts w:hint="eastAsia" w:ascii="宋体" w:hAnsi="宋体"/>
          <w:szCs w:val="21"/>
        </w:rPr>
        <w:t>履行</w:t>
      </w:r>
      <w:r>
        <w:rPr>
          <w:rFonts w:ascii="宋体" w:hAnsi="宋体"/>
          <w:szCs w:val="21"/>
        </w:rPr>
        <w:t>的</w:t>
      </w:r>
      <w:r>
        <w:rPr>
          <w:rFonts w:hint="eastAsia" w:ascii="宋体" w:hAnsi="宋体"/>
          <w:szCs w:val="21"/>
        </w:rPr>
        <w:t>除货物和工程以外的其他政府采购对象，包括采购人自身需要的服务和向社会公众提供的公共服务。</w:t>
      </w:r>
    </w:p>
    <w:p w14:paraId="55648392">
      <w:pPr>
        <w:spacing w:line="360" w:lineRule="auto"/>
        <w:ind w:firstLine="480"/>
        <w:rPr>
          <w:rFonts w:ascii="宋体" w:hAnsi="宋体"/>
          <w:szCs w:val="21"/>
        </w:rPr>
      </w:pPr>
      <w:bookmarkStart w:id="637" w:name="_Ref467378840"/>
      <w:r>
        <w:rPr>
          <w:rFonts w:hint="eastAsia" w:ascii="宋体" w:hAnsi="宋体"/>
          <w:szCs w:val="21"/>
        </w:rPr>
        <w:t>2.</w:t>
      </w:r>
      <w:r>
        <w:rPr>
          <w:rFonts w:ascii="宋体" w:hAnsi="宋体"/>
          <w:szCs w:val="21"/>
        </w:rPr>
        <w:t>1.</w:t>
      </w:r>
      <w:r>
        <w:rPr>
          <w:rFonts w:hint="eastAsia" w:ascii="宋体" w:hAnsi="宋体"/>
          <w:szCs w:val="21"/>
        </w:rPr>
        <w:t>4</w:t>
      </w:r>
      <w:r>
        <w:rPr>
          <w:rFonts w:ascii="宋体" w:hAnsi="宋体"/>
          <w:szCs w:val="21"/>
        </w:rPr>
        <w:t>“</w:t>
      </w:r>
      <w:r>
        <w:rPr>
          <w:rFonts w:hint="eastAsia" w:ascii="宋体" w:hAnsi="宋体"/>
          <w:szCs w:val="21"/>
        </w:rPr>
        <w:t>甲方</w:t>
      </w:r>
      <w:r>
        <w:rPr>
          <w:rFonts w:ascii="宋体" w:hAnsi="宋体"/>
          <w:szCs w:val="21"/>
        </w:rPr>
        <w:t>”系指与</w:t>
      </w:r>
      <w:r>
        <w:rPr>
          <w:rFonts w:hint="eastAsia" w:ascii="宋体" w:hAnsi="宋体"/>
          <w:szCs w:val="21"/>
        </w:rPr>
        <w:t>中标人</w:t>
      </w:r>
      <w:r>
        <w:rPr>
          <w:rFonts w:ascii="宋体" w:hAnsi="宋体"/>
          <w:szCs w:val="21"/>
        </w:rPr>
        <w:t>签署合同的采购人</w:t>
      </w:r>
      <w:bookmarkEnd w:id="637"/>
      <w:r>
        <w:rPr>
          <w:rFonts w:hint="eastAsia" w:ascii="宋体" w:hAnsi="宋体"/>
          <w:szCs w:val="21"/>
        </w:rPr>
        <w:t>；采购人委托采购代理机构代表其与乙方签订合同的，采购人的授权委托书作为合同附件。</w:t>
      </w:r>
    </w:p>
    <w:p w14:paraId="1D791296">
      <w:pPr>
        <w:spacing w:line="360" w:lineRule="auto"/>
        <w:ind w:firstLine="480"/>
        <w:rPr>
          <w:rFonts w:ascii="宋体" w:hAnsi="宋体"/>
          <w:szCs w:val="21"/>
        </w:rPr>
      </w:pPr>
      <w:bookmarkStart w:id="638" w:name="_Ref467379400"/>
      <w:r>
        <w:rPr>
          <w:rFonts w:hint="eastAsia" w:ascii="宋体" w:hAnsi="宋体"/>
          <w:szCs w:val="21"/>
        </w:rPr>
        <w:t>2.</w:t>
      </w:r>
      <w:r>
        <w:rPr>
          <w:rFonts w:ascii="宋体" w:hAnsi="宋体"/>
          <w:szCs w:val="21"/>
        </w:rPr>
        <w:t>1.</w:t>
      </w:r>
      <w:r>
        <w:rPr>
          <w:rFonts w:hint="eastAsia" w:ascii="宋体" w:hAnsi="宋体"/>
          <w:szCs w:val="21"/>
        </w:rPr>
        <w:t>5</w:t>
      </w:r>
      <w:r>
        <w:rPr>
          <w:rFonts w:ascii="宋体" w:hAnsi="宋体"/>
          <w:szCs w:val="21"/>
        </w:rPr>
        <w:t>“乙方”系指根据合同约定</w:t>
      </w:r>
      <w:r>
        <w:rPr>
          <w:rFonts w:hint="eastAsia" w:ascii="宋体" w:hAnsi="宋体"/>
          <w:szCs w:val="21"/>
        </w:rPr>
        <w:t>提供服务</w:t>
      </w:r>
      <w:r>
        <w:rPr>
          <w:rFonts w:ascii="宋体" w:hAnsi="宋体"/>
          <w:szCs w:val="21"/>
        </w:rPr>
        <w:t>的中标人</w:t>
      </w:r>
      <w:bookmarkEnd w:id="638"/>
      <w:r>
        <w:rPr>
          <w:rFonts w:hint="eastAsia" w:ascii="宋体" w:hAnsi="宋体"/>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50E0A6">
      <w:pPr>
        <w:spacing w:line="360" w:lineRule="auto"/>
        <w:ind w:firstLine="480"/>
        <w:rPr>
          <w:rFonts w:ascii="宋体" w:hAnsi="宋体"/>
          <w:szCs w:val="21"/>
        </w:rPr>
      </w:pPr>
      <w:bookmarkStart w:id="639" w:name="_Ref467379436"/>
      <w:r>
        <w:rPr>
          <w:rFonts w:hint="eastAsia" w:ascii="宋体" w:hAnsi="宋体"/>
          <w:szCs w:val="21"/>
        </w:rPr>
        <w:t>2.</w:t>
      </w:r>
      <w:r>
        <w:rPr>
          <w:rFonts w:ascii="宋体" w:hAnsi="宋体"/>
          <w:szCs w:val="21"/>
        </w:rPr>
        <w:t>1.</w:t>
      </w:r>
      <w:r>
        <w:rPr>
          <w:rFonts w:hint="eastAsia" w:ascii="宋体" w:hAnsi="宋体"/>
          <w:szCs w:val="21"/>
        </w:rPr>
        <w:t>6</w:t>
      </w:r>
      <w:r>
        <w:rPr>
          <w:rFonts w:ascii="宋体" w:hAnsi="宋体"/>
          <w:szCs w:val="21"/>
        </w:rPr>
        <w:t>“现场”系指合同约定</w:t>
      </w:r>
      <w:r>
        <w:rPr>
          <w:rFonts w:hint="eastAsia" w:ascii="宋体" w:hAnsi="宋体"/>
          <w:szCs w:val="21"/>
        </w:rPr>
        <w:t>提供服务</w:t>
      </w:r>
      <w:r>
        <w:rPr>
          <w:rFonts w:ascii="宋体" w:hAnsi="宋体"/>
          <w:szCs w:val="21"/>
        </w:rPr>
        <w:t>的地点。</w:t>
      </w:r>
      <w:bookmarkEnd w:id="639"/>
    </w:p>
    <w:p w14:paraId="16725C53">
      <w:pPr>
        <w:spacing w:line="360" w:lineRule="auto"/>
        <w:ind w:firstLine="482"/>
        <w:outlineLvl w:val="3"/>
        <w:rPr>
          <w:rFonts w:ascii="宋体" w:hAnsi="宋体"/>
          <w:b/>
          <w:bCs/>
          <w:szCs w:val="21"/>
          <w:lang w:val="zh-CN"/>
        </w:rPr>
      </w:pPr>
      <w:bookmarkStart w:id="640" w:name="_Toc487900350"/>
      <w:bookmarkStart w:id="641" w:name="_Toc259093670"/>
      <w:bookmarkStart w:id="642" w:name="_Toc32504"/>
      <w:bookmarkStart w:id="643" w:name="_Toc13336"/>
      <w:bookmarkStart w:id="644" w:name="_Toc279701241"/>
      <w:bookmarkStart w:id="645" w:name="_Toc27635"/>
      <w:r>
        <w:rPr>
          <w:rFonts w:hint="eastAsia" w:ascii="宋体" w:hAnsi="宋体"/>
          <w:b/>
          <w:bCs/>
          <w:szCs w:val="21"/>
          <w:lang w:val="zh-CN"/>
        </w:rPr>
        <w:t>2.</w:t>
      </w:r>
      <w:r>
        <w:rPr>
          <w:rFonts w:ascii="宋体" w:hAnsi="宋体"/>
          <w:b/>
          <w:bCs/>
          <w:szCs w:val="21"/>
          <w:lang w:val="zh-CN"/>
        </w:rPr>
        <w:t>2 技术规范</w:t>
      </w:r>
      <w:bookmarkEnd w:id="640"/>
      <w:bookmarkEnd w:id="641"/>
      <w:bookmarkEnd w:id="642"/>
      <w:bookmarkEnd w:id="643"/>
      <w:bookmarkEnd w:id="644"/>
      <w:bookmarkEnd w:id="645"/>
    </w:p>
    <w:p w14:paraId="31D96365">
      <w:pPr>
        <w:spacing w:line="360" w:lineRule="auto"/>
        <w:ind w:firstLine="480"/>
        <w:rPr>
          <w:rFonts w:ascii="宋体" w:hAnsi="宋体"/>
          <w:szCs w:val="21"/>
        </w:rPr>
      </w:pPr>
      <w:r>
        <w:rPr>
          <w:rFonts w:ascii="宋体" w:hAnsi="宋体"/>
          <w:szCs w:val="21"/>
        </w:rPr>
        <w:t>货物所应遵守的技术规范应与采购文件规定的技术规范和技术规范附件(如果有的话)及其技术规范偏差表(如果被甲方接受的话)相一致</w:t>
      </w:r>
      <w:r>
        <w:rPr>
          <w:rFonts w:hint="eastAsia" w:ascii="宋体" w:hAnsi="宋体"/>
          <w:szCs w:val="21"/>
        </w:rPr>
        <w:t>；</w:t>
      </w:r>
      <w:r>
        <w:rPr>
          <w:rFonts w:ascii="宋体" w:hAnsi="宋体"/>
          <w:szCs w:val="21"/>
        </w:rPr>
        <w:t>如果采购文件中没有技术规范的相应说明，那么应以国家有关部门最新颁布的相应标准</w:t>
      </w:r>
      <w:r>
        <w:rPr>
          <w:rFonts w:hint="eastAsia" w:ascii="宋体" w:hAnsi="宋体"/>
          <w:szCs w:val="21"/>
        </w:rPr>
        <w:t>和</w:t>
      </w:r>
      <w:r>
        <w:rPr>
          <w:rFonts w:ascii="宋体" w:hAnsi="宋体"/>
          <w:szCs w:val="21"/>
        </w:rPr>
        <w:t>规范为准。</w:t>
      </w:r>
    </w:p>
    <w:p w14:paraId="0F12E917">
      <w:pPr>
        <w:spacing w:line="360" w:lineRule="auto"/>
        <w:ind w:firstLine="482"/>
        <w:outlineLvl w:val="3"/>
        <w:rPr>
          <w:rFonts w:ascii="宋体" w:hAnsi="宋体"/>
          <w:b/>
          <w:bCs/>
          <w:szCs w:val="21"/>
          <w:lang w:val="zh-CN"/>
        </w:rPr>
      </w:pPr>
      <w:bookmarkStart w:id="646" w:name="_Toc279701242"/>
      <w:bookmarkStart w:id="647" w:name="_Toc31634"/>
      <w:bookmarkStart w:id="648" w:name="_Toc27853"/>
      <w:bookmarkStart w:id="649" w:name="_Toc487900351"/>
      <w:bookmarkStart w:id="650" w:name="_Toc9829"/>
      <w:bookmarkStart w:id="651" w:name="_Toc259093671"/>
      <w:r>
        <w:rPr>
          <w:rFonts w:hint="eastAsia" w:ascii="宋体" w:hAnsi="宋体"/>
          <w:b/>
          <w:bCs/>
          <w:szCs w:val="21"/>
          <w:lang w:val="zh-CN"/>
        </w:rPr>
        <w:t>2.</w:t>
      </w:r>
      <w:r>
        <w:rPr>
          <w:rFonts w:ascii="宋体" w:hAnsi="宋体"/>
          <w:b/>
          <w:bCs/>
          <w:szCs w:val="21"/>
          <w:lang w:val="zh-CN"/>
        </w:rPr>
        <w:t>3 知识产权</w:t>
      </w:r>
      <w:bookmarkEnd w:id="646"/>
      <w:bookmarkEnd w:id="647"/>
      <w:bookmarkEnd w:id="648"/>
      <w:bookmarkEnd w:id="649"/>
      <w:bookmarkEnd w:id="650"/>
      <w:bookmarkEnd w:id="651"/>
    </w:p>
    <w:p w14:paraId="6E34FAD6">
      <w:pPr>
        <w:spacing w:line="360" w:lineRule="auto"/>
        <w:ind w:firstLine="480"/>
        <w:rPr>
          <w:rFonts w:ascii="宋体" w:hAnsi="宋体"/>
          <w:szCs w:val="21"/>
        </w:rPr>
      </w:pPr>
      <w:r>
        <w:rPr>
          <w:rFonts w:hint="eastAsia" w:ascii="宋体" w:hAnsi="宋体"/>
          <w:szCs w:val="21"/>
        </w:rPr>
        <w:t>2.3.1乙</w:t>
      </w:r>
      <w:r>
        <w:rPr>
          <w:rFonts w:ascii="宋体" w:hAnsi="宋体"/>
          <w:szCs w:val="21"/>
        </w:rPr>
        <w:t>方应保证</w:t>
      </w:r>
      <w:r>
        <w:rPr>
          <w:rFonts w:hint="eastAsia" w:ascii="宋体" w:hAnsi="宋体"/>
          <w:szCs w:val="21"/>
        </w:rPr>
        <w:t>其提供的服务</w:t>
      </w:r>
      <w:r>
        <w:rPr>
          <w:rFonts w:ascii="宋体" w:hAnsi="宋体"/>
          <w:szCs w:val="21"/>
        </w:rPr>
        <w:t>不受任何第三方提出的侵犯其著作权、商标权、专利权等知识产权方面的起诉</w:t>
      </w:r>
      <w:r>
        <w:rPr>
          <w:rFonts w:hint="eastAsia" w:ascii="宋体" w:hAnsi="宋体"/>
          <w:szCs w:val="21"/>
        </w:rPr>
        <w:t>；</w:t>
      </w:r>
      <w:r>
        <w:rPr>
          <w:rFonts w:ascii="宋体" w:hAnsi="宋体"/>
          <w:szCs w:val="21"/>
        </w:rPr>
        <w:t>如果任何第三方提出侵权</w:t>
      </w:r>
      <w:r>
        <w:rPr>
          <w:rFonts w:hint="eastAsia" w:ascii="宋体" w:hAnsi="宋体"/>
          <w:szCs w:val="21"/>
        </w:rPr>
        <w:t>指控</w:t>
      </w:r>
      <w:r>
        <w:rPr>
          <w:rFonts w:ascii="宋体" w:hAnsi="宋体"/>
          <w:szCs w:val="21"/>
        </w:rPr>
        <w:t>，那么乙方须与该第三方交涉并承担由此发生的一切责任、费用和赔偿</w:t>
      </w:r>
      <w:r>
        <w:rPr>
          <w:rFonts w:hint="eastAsia" w:ascii="宋体" w:hAnsi="宋体"/>
          <w:szCs w:val="21"/>
        </w:rPr>
        <w:t>；</w:t>
      </w:r>
    </w:p>
    <w:p w14:paraId="232F0A8E">
      <w:pPr>
        <w:spacing w:line="360" w:lineRule="auto"/>
        <w:ind w:firstLine="480"/>
        <w:rPr>
          <w:rFonts w:ascii="宋体" w:hAnsi="宋体"/>
          <w:szCs w:val="21"/>
        </w:rPr>
      </w:pPr>
      <w:r>
        <w:rPr>
          <w:rFonts w:hint="eastAsia" w:ascii="宋体" w:hAnsi="宋体"/>
          <w:szCs w:val="21"/>
        </w:rPr>
        <w:t>2.3.2具有知识产权的计算机软件等货物的知识产权归属，</w:t>
      </w:r>
      <w:r>
        <w:rPr>
          <w:rFonts w:ascii="宋体" w:hAnsi="宋体"/>
          <w:szCs w:val="21"/>
        </w:rPr>
        <w:t>详见</w:t>
      </w:r>
      <w:r>
        <w:rPr>
          <w:rFonts w:ascii="宋体" w:hAnsi="宋体"/>
          <w:b/>
          <w:i/>
          <w:szCs w:val="21"/>
          <w:u w:val="single"/>
        </w:rPr>
        <w:t>合同专用条款</w:t>
      </w:r>
      <w:r>
        <w:rPr>
          <w:rFonts w:ascii="宋体" w:hAnsi="宋体"/>
          <w:szCs w:val="21"/>
        </w:rPr>
        <w:t>。</w:t>
      </w:r>
    </w:p>
    <w:p w14:paraId="1577EB81">
      <w:pPr>
        <w:spacing w:line="360" w:lineRule="auto"/>
        <w:ind w:firstLine="482"/>
        <w:outlineLvl w:val="3"/>
        <w:rPr>
          <w:rFonts w:ascii="宋体" w:hAnsi="宋体"/>
          <w:b/>
          <w:bCs/>
          <w:szCs w:val="21"/>
          <w:lang w:val="zh-CN"/>
        </w:rPr>
      </w:pPr>
      <w:bookmarkStart w:id="652" w:name="_Ref467379536"/>
      <w:bookmarkStart w:id="653" w:name="_Ref467379527"/>
      <w:bookmarkStart w:id="654" w:name="_Toc487900354"/>
      <w:bookmarkStart w:id="655" w:name="_Ref467379542"/>
      <w:bookmarkStart w:id="656" w:name="_Toc259093674"/>
      <w:bookmarkStart w:id="657" w:name="_Ref467378541"/>
      <w:bookmarkStart w:id="658" w:name="_Toc279701245"/>
      <w:bookmarkStart w:id="659" w:name="_Ref467378591"/>
      <w:bookmarkStart w:id="660" w:name="_Toc26182"/>
      <w:bookmarkStart w:id="661" w:name="_Toc19074"/>
      <w:bookmarkStart w:id="662" w:name="_Toc30272"/>
      <w:r>
        <w:rPr>
          <w:rFonts w:hint="eastAsia" w:ascii="宋体" w:hAnsi="宋体"/>
          <w:b/>
          <w:bCs/>
          <w:szCs w:val="21"/>
          <w:lang w:val="zh-CN"/>
        </w:rPr>
        <w:t>2.</w:t>
      </w:r>
      <w:bookmarkEnd w:id="652"/>
      <w:bookmarkEnd w:id="653"/>
      <w:bookmarkEnd w:id="654"/>
      <w:bookmarkEnd w:id="655"/>
      <w:bookmarkEnd w:id="656"/>
      <w:bookmarkEnd w:id="657"/>
      <w:bookmarkEnd w:id="658"/>
      <w:bookmarkEnd w:id="659"/>
      <w:r>
        <w:rPr>
          <w:rFonts w:ascii="宋体" w:hAnsi="宋体"/>
          <w:b/>
          <w:bCs/>
          <w:szCs w:val="21"/>
          <w:lang w:val="zh-CN"/>
        </w:rPr>
        <w:t xml:space="preserve">4 </w:t>
      </w:r>
      <w:r>
        <w:rPr>
          <w:rFonts w:hint="eastAsia" w:ascii="宋体" w:hAnsi="宋体"/>
          <w:b/>
          <w:bCs/>
          <w:szCs w:val="21"/>
          <w:lang w:val="zh-CN"/>
        </w:rPr>
        <w:t>履约检查和问题反馈</w:t>
      </w:r>
      <w:bookmarkEnd w:id="660"/>
      <w:bookmarkEnd w:id="661"/>
      <w:bookmarkEnd w:id="662"/>
    </w:p>
    <w:p w14:paraId="2050821A">
      <w:pPr>
        <w:spacing w:line="360" w:lineRule="auto"/>
        <w:ind w:firstLine="480"/>
        <w:rPr>
          <w:rFonts w:ascii="宋体" w:hAnsi="宋体"/>
          <w:szCs w:val="21"/>
        </w:rPr>
      </w:pPr>
      <w:bookmarkStart w:id="663" w:name="_Toc186431854"/>
      <w:bookmarkStart w:id="664" w:name="_Toc259093676"/>
      <w:bookmarkStart w:id="665" w:name="_Ref467379793"/>
      <w:bookmarkStart w:id="666" w:name="_Toc279701247"/>
      <w:bookmarkStart w:id="667" w:name="_Ref467379807"/>
      <w:bookmarkStart w:id="668" w:name="_Toc487900357"/>
      <w:r>
        <w:rPr>
          <w:rFonts w:hint="eastAsia" w:ascii="宋体" w:hAnsi="宋体"/>
          <w:szCs w:val="21"/>
        </w:rPr>
        <w:t>2.4</w:t>
      </w:r>
      <w:r>
        <w:rPr>
          <w:rFonts w:ascii="宋体" w:hAnsi="宋体"/>
          <w:szCs w:val="21"/>
        </w:rPr>
        <w:t>.1甲方</w:t>
      </w:r>
      <w:r>
        <w:rPr>
          <w:rFonts w:hint="eastAsia" w:ascii="宋体" w:hAnsi="宋体"/>
          <w:szCs w:val="21"/>
        </w:rPr>
        <w:t>有权</w:t>
      </w:r>
      <w:r>
        <w:rPr>
          <w:rFonts w:ascii="宋体" w:hAnsi="宋体"/>
          <w:szCs w:val="21"/>
        </w:rPr>
        <w:t>在其认为必要时</w:t>
      </w:r>
      <w:r>
        <w:rPr>
          <w:rFonts w:hint="eastAsia" w:ascii="宋体" w:hAnsi="宋体"/>
          <w:szCs w:val="21"/>
        </w:rPr>
        <w:t>，对乙方是否能够按照合同约定提供服务进行履约检查，以确保乙方所提供的服务能够依约满足甲方项目需求，但不得因履约检查妨碍乙方的正常工作，乙方应予积极配合；</w:t>
      </w:r>
    </w:p>
    <w:p w14:paraId="1026D83B">
      <w:pPr>
        <w:spacing w:line="360" w:lineRule="auto"/>
        <w:ind w:firstLine="480"/>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.2合同履行期间，甲方有权将履行过程中出现的问题反馈给乙方，双方当事人应以书面形式约定需要完善和改进的内容</w:t>
      </w:r>
      <w:bookmarkEnd w:id="663"/>
      <w:bookmarkStart w:id="669" w:name="_Toc186431855"/>
      <w:r>
        <w:rPr>
          <w:rFonts w:hint="eastAsia" w:ascii="宋体" w:hAnsi="宋体"/>
          <w:szCs w:val="21"/>
        </w:rPr>
        <w:t>。</w:t>
      </w:r>
    </w:p>
    <w:bookmarkEnd w:id="669"/>
    <w:p w14:paraId="17089AE4">
      <w:pPr>
        <w:spacing w:line="360" w:lineRule="auto"/>
        <w:ind w:firstLine="482"/>
        <w:outlineLvl w:val="3"/>
        <w:rPr>
          <w:rFonts w:ascii="宋体" w:hAnsi="宋体"/>
          <w:b/>
          <w:bCs/>
          <w:szCs w:val="21"/>
          <w:lang w:val="zh-CN"/>
        </w:rPr>
      </w:pPr>
      <w:bookmarkStart w:id="670" w:name="_Toc28451"/>
      <w:bookmarkStart w:id="671" w:name="_Toc7836"/>
      <w:bookmarkStart w:id="672" w:name="_Toc19219"/>
      <w:r>
        <w:rPr>
          <w:rFonts w:hint="eastAsia" w:ascii="宋体" w:hAnsi="宋体"/>
          <w:b/>
          <w:bCs/>
          <w:szCs w:val="21"/>
          <w:lang w:val="zh-CN"/>
        </w:rPr>
        <w:t>2.</w:t>
      </w:r>
      <w:r>
        <w:rPr>
          <w:rFonts w:ascii="宋体" w:hAnsi="宋体"/>
          <w:b/>
          <w:bCs/>
          <w:szCs w:val="21"/>
          <w:lang w:val="zh-CN"/>
        </w:rPr>
        <w:t>5</w:t>
      </w:r>
      <w:r>
        <w:rPr>
          <w:rFonts w:hint="eastAsia" w:ascii="宋体" w:hAnsi="宋体"/>
          <w:b/>
          <w:bCs/>
          <w:szCs w:val="21"/>
          <w:lang w:val="zh-CN"/>
        </w:rPr>
        <w:t xml:space="preserve"> </w:t>
      </w:r>
      <w:r>
        <w:rPr>
          <w:rFonts w:ascii="宋体" w:hAnsi="宋体"/>
          <w:b/>
          <w:bCs/>
          <w:szCs w:val="21"/>
          <w:lang w:val="zh-CN"/>
        </w:rPr>
        <w:t>结算方式和付款条件</w:t>
      </w:r>
      <w:bookmarkEnd w:id="664"/>
      <w:bookmarkEnd w:id="665"/>
      <w:bookmarkEnd w:id="666"/>
      <w:bookmarkEnd w:id="667"/>
      <w:bookmarkEnd w:id="668"/>
      <w:bookmarkEnd w:id="670"/>
      <w:bookmarkEnd w:id="671"/>
      <w:bookmarkEnd w:id="672"/>
    </w:p>
    <w:p w14:paraId="4E87460F">
      <w:pPr>
        <w:spacing w:line="360" w:lineRule="auto"/>
        <w:ind w:firstLine="480"/>
        <w:rPr>
          <w:rFonts w:ascii="宋体" w:hAnsi="宋体"/>
          <w:szCs w:val="21"/>
        </w:rPr>
      </w:pPr>
      <w:r>
        <w:rPr>
          <w:rFonts w:ascii="宋体" w:hAnsi="宋体"/>
          <w:szCs w:val="21"/>
        </w:rPr>
        <w:t>详见</w:t>
      </w:r>
      <w:r>
        <w:rPr>
          <w:rFonts w:ascii="宋体" w:hAnsi="宋体"/>
          <w:b/>
          <w:i/>
          <w:szCs w:val="21"/>
          <w:u w:val="single"/>
        </w:rPr>
        <w:t>合同专用条款</w:t>
      </w:r>
      <w:r>
        <w:rPr>
          <w:rFonts w:ascii="宋体" w:hAnsi="宋体"/>
          <w:szCs w:val="21"/>
        </w:rPr>
        <w:t>。</w:t>
      </w:r>
    </w:p>
    <w:p w14:paraId="78F2A402">
      <w:pPr>
        <w:spacing w:line="360" w:lineRule="auto"/>
        <w:ind w:firstLine="482"/>
        <w:outlineLvl w:val="3"/>
        <w:rPr>
          <w:rFonts w:ascii="宋体" w:hAnsi="宋体"/>
          <w:b/>
          <w:bCs/>
          <w:szCs w:val="21"/>
          <w:lang w:val="zh-CN"/>
        </w:rPr>
      </w:pPr>
      <w:bookmarkStart w:id="673" w:name="_Toc279701248"/>
      <w:bookmarkStart w:id="674" w:name="_Ref467379923"/>
      <w:bookmarkStart w:id="675" w:name="_Ref467379852"/>
      <w:bookmarkStart w:id="676" w:name="_Ref467379863"/>
      <w:bookmarkStart w:id="677" w:name="_Toc259093677"/>
      <w:bookmarkStart w:id="678" w:name="_Toc487900358"/>
      <w:bookmarkStart w:id="679" w:name="_Toc3225"/>
      <w:bookmarkStart w:id="680" w:name="_Toc16110"/>
      <w:bookmarkStart w:id="681" w:name="_Toc774"/>
      <w:r>
        <w:rPr>
          <w:rFonts w:hint="eastAsia" w:ascii="宋体" w:hAnsi="宋体"/>
          <w:b/>
          <w:bCs/>
          <w:szCs w:val="21"/>
          <w:lang w:val="zh-CN"/>
        </w:rPr>
        <w:t>2.</w:t>
      </w:r>
      <w:r>
        <w:rPr>
          <w:rFonts w:ascii="宋体" w:hAnsi="宋体"/>
          <w:b/>
          <w:bCs/>
          <w:szCs w:val="21"/>
          <w:lang w:val="zh-CN"/>
        </w:rPr>
        <w:t>6</w:t>
      </w:r>
      <w:r>
        <w:rPr>
          <w:rFonts w:hint="eastAsia" w:ascii="宋体" w:hAnsi="宋体"/>
          <w:b/>
          <w:bCs/>
          <w:szCs w:val="21"/>
          <w:lang w:val="zh-CN"/>
        </w:rPr>
        <w:t xml:space="preserve"> </w:t>
      </w:r>
      <w:r>
        <w:rPr>
          <w:rFonts w:ascii="宋体" w:hAnsi="宋体"/>
          <w:b/>
          <w:bCs/>
          <w:szCs w:val="21"/>
          <w:lang w:val="zh-CN"/>
        </w:rPr>
        <w:t>技术资料</w:t>
      </w:r>
      <w:bookmarkEnd w:id="673"/>
      <w:bookmarkEnd w:id="674"/>
      <w:bookmarkEnd w:id="675"/>
      <w:bookmarkEnd w:id="676"/>
      <w:bookmarkEnd w:id="677"/>
      <w:bookmarkEnd w:id="678"/>
      <w:r>
        <w:rPr>
          <w:rFonts w:ascii="宋体" w:hAnsi="宋体"/>
          <w:b/>
          <w:bCs/>
          <w:szCs w:val="21"/>
          <w:lang w:val="zh-CN"/>
        </w:rPr>
        <w:t>和保密义务</w:t>
      </w:r>
      <w:bookmarkEnd w:id="679"/>
      <w:bookmarkEnd w:id="680"/>
      <w:bookmarkEnd w:id="681"/>
    </w:p>
    <w:p w14:paraId="172C4412">
      <w:pPr>
        <w:spacing w:line="360" w:lineRule="auto"/>
        <w:ind w:firstLine="480"/>
        <w:rPr>
          <w:rFonts w:ascii="宋体" w:hAnsi="宋体"/>
          <w:szCs w:val="21"/>
        </w:rPr>
      </w:pPr>
      <w:r>
        <w:rPr>
          <w:rFonts w:hint="eastAsia" w:ascii="宋体" w:hAnsi="宋体"/>
          <w:szCs w:val="21"/>
        </w:rPr>
        <w:t>2.</w:t>
      </w:r>
      <w:r>
        <w:rPr>
          <w:rFonts w:ascii="宋体" w:hAnsi="宋体"/>
          <w:szCs w:val="21"/>
        </w:rPr>
        <w:t>6.1</w:t>
      </w:r>
      <w:r>
        <w:rPr>
          <w:rFonts w:hint="eastAsia" w:ascii="宋体" w:hAnsi="宋体"/>
          <w:szCs w:val="21"/>
        </w:rPr>
        <w:t>乙方有权依据合同约定和项目需要，向甲方了解有关情况，调阅有关资料等，甲方应予积极配合；</w:t>
      </w:r>
    </w:p>
    <w:p w14:paraId="63E5F115">
      <w:pPr>
        <w:spacing w:line="360" w:lineRule="auto"/>
        <w:ind w:firstLine="480"/>
        <w:rPr>
          <w:rFonts w:ascii="宋体" w:hAnsi="宋体"/>
          <w:szCs w:val="21"/>
        </w:rPr>
      </w:pPr>
      <w:r>
        <w:rPr>
          <w:rFonts w:hint="eastAsia" w:ascii="宋体" w:hAnsi="宋体"/>
          <w:szCs w:val="21"/>
        </w:rPr>
        <w:t>2.</w:t>
      </w:r>
      <w:r>
        <w:rPr>
          <w:rFonts w:ascii="宋体" w:hAnsi="宋体"/>
          <w:szCs w:val="21"/>
        </w:rPr>
        <w:t>6</w:t>
      </w:r>
      <w:r>
        <w:rPr>
          <w:rFonts w:hint="eastAsia" w:ascii="宋体" w:hAnsi="宋体"/>
          <w:szCs w:val="21"/>
        </w:rPr>
        <w:t>.2乙方有义务妥善保管和保护由甲方提供的前款信息和资料等；</w:t>
      </w:r>
    </w:p>
    <w:p w14:paraId="1BD83733">
      <w:pPr>
        <w:spacing w:line="360" w:lineRule="auto"/>
        <w:ind w:firstLine="480"/>
        <w:rPr>
          <w:rFonts w:ascii="宋体" w:hAnsi="宋体"/>
          <w:szCs w:val="21"/>
        </w:rPr>
      </w:pPr>
      <w:r>
        <w:rPr>
          <w:rFonts w:hint="eastAsia" w:ascii="宋体" w:hAnsi="宋体"/>
          <w:szCs w:val="21"/>
        </w:rPr>
        <w:t>2.</w:t>
      </w:r>
      <w:r>
        <w:rPr>
          <w:rFonts w:ascii="宋体" w:hAnsi="宋体"/>
          <w:szCs w:val="21"/>
        </w:rPr>
        <w:t>6.</w:t>
      </w:r>
      <w:r>
        <w:rPr>
          <w:rFonts w:hint="eastAsia" w:ascii="宋体" w:hAnsi="宋体"/>
          <w:szCs w:val="21"/>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Cs w:val="21"/>
        </w:rPr>
        <w:t>技术情报</w:t>
      </w:r>
      <w:r>
        <w:rPr>
          <w:rFonts w:hint="eastAsia" w:ascii="宋体" w:hAnsi="宋体"/>
          <w:szCs w:val="21"/>
        </w:rPr>
        <w:t>、</w:t>
      </w:r>
      <w:r>
        <w:rPr>
          <w:rFonts w:ascii="宋体" w:hAnsi="宋体"/>
          <w:szCs w:val="21"/>
        </w:rPr>
        <w:t>技术资料</w:t>
      </w:r>
      <w:r>
        <w:rPr>
          <w:rFonts w:hint="eastAsia" w:ascii="宋体" w:hAnsi="宋体"/>
          <w:szCs w:val="21"/>
        </w:rPr>
        <w:t>、商业秘密和商业信息等，并采取一切合理和必要措施和方式防止任何第三方接触到对方当事人的上述保密信息和资料。</w:t>
      </w:r>
    </w:p>
    <w:p w14:paraId="4D1C511F">
      <w:pPr>
        <w:spacing w:line="360" w:lineRule="auto"/>
        <w:ind w:firstLine="482"/>
        <w:outlineLvl w:val="3"/>
        <w:rPr>
          <w:rFonts w:ascii="宋体" w:hAnsi="宋体"/>
          <w:b/>
          <w:bCs/>
          <w:szCs w:val="21"/>
          <w:lang w:val="zh-CN"/>
        </w:rPr>
      </w:pPr>
      <w:bookmarkStart w:id="682" w:name="_Toc7860"/>
      <w:r>
        <w:rPr>
          <w:rFonts w:ascii="宋体" w:hAnsi="宋体"/>
          <w:b/>
          <w:bCs/>
          <w:szCs w:val="21"/>
          <w:lang w:val="zh-CN"/>
        </w:rPr>
        <w:t>2.7 质量保证</w:t>
      </w:r>
      <w:bookmarkEnd w:id="682"/>
    </w:p>
    <w:p w14:paraId="466C2083">
      <w:pPr>
        <w:spacing w:line="360" w:lineRule="auto"/>
        <w:ind w:firstLine="480"/>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.1乙方应建立和完善履行合同的内部质量保证体系，并提供相关内部规章制度给甲方，以便甲方进行监督检查；</w:t>
      </w:r>
    </w:p>
    <w:p w14:paraId="1B018D89">
      <w:pPr>
        <w:spacing w:line="360" w:lineRule="auto"/>
        <w:ind w:firstLine="480"/>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.2乙方应保证履行合同的人员数量和素质、软件和硬件设备的配置、场地、环境和设施等满足全面履行合同的要求，并应接受甲方的监督检查。</w:t>
      </w:r>
    </w:p>
    <w:p w14:paraId="503D511D">
      <w:pPr>
        <w:spacing w:line="360" w:lineRule="auto"/>
        <w:ind w:firstLine="482"/>
        <w:outlineLvl w:val="3"/>
        <w:rPr>
          <w:rFonts w:ascii="宋体" w:hAnsi="宋体"/>
          <w:b/>
          <w:szCs w:val="21"/>
        </w:rPr>
      </w:pPr>
      <w:bookmarkStart w:id="683" w:name="_Toc22267"/>
      <w:r>
        <w:rPr>
          <w:rFonts w:hint="eastAsia" w:ascii="宋体" w:hAnsi="宋体"/>
          <w:b/>
          <w:szCs w:val="21"/>
        </w:rPr>
        <w:t>2.8 延迟履行</w:t>
      </w:r>
      <w:bookmarkEnd w:id="683"/>
    </w:p>
    <w:p w14:paraId="28A3244A">
      <w:pPr>
        <w:spacing w:line="360" w:lineRule="auto"/>
        <w:ind w:firstLine="480"/>
        <w:rPr>
          <w:rFonts w:ascii="宋体" w:hAnsi="宋体"/>
          <w:szCs w:val="21"/>
        </w:rPr>
      </w:pPr>
      <w:r>
        <w:rPr>
          <w:rFonts w:ascii="宋体" w:hAnsi="宋体"/>
          <w:szCs w:val="21"/>
        </w:rPr>
        <w:t>在合同履行过程中，如果乙方遇到不能按时</w:t>
      </w:r>
      <w:r>
        <w:rPr>
          <w:rFonts w:hint="eastAsia" w:ascii="宋体" w:hAnsi="宋体"/>
          <w:szCs w:val="21"/>
        </w:rPr>
        <w:t>提供服务</w:t>
      </w:r>
      <w:r>
        <w:rPr>
          <w:rFonts w:ascii="宋体" w:hAnsi="宋体"/>
          <w:szCs w:val="21"/>
        </w:rPr>
        <w:t>的情况，应及时以书面形式将不能按时</w:t>
      </w:r>
      <w:r>
        <w:rPr>
          <w:rFonts w:hint="eastAsia" w:ascii="宋体" w:hAnsi="宋体"/>
          <w:szCs w:val="21"/>
        </w:rPr>
        <w:t>提供服务</w:t>
      </w:r>
      <w:r>
        <w:rPr>
          <w:rFonts w:ascii="宋体" w:hAnsi="宋体"/>
          <w:szCs w:val="21"/>
        </w:rPr>
        <w:t>的理由、预期延误时间通知甲方</w:t>
      </w:r>
      <w:r>
        <w:rPr>
          <w:rFonts w:hint="eastAsia" w:ascii="宋体" w:hAnsi="宋体"/>
          <w:szCs w:val="21"/>
        </w:rPr>
        <w:t>；甲</w:t>
      </w:r>
      <w:r>
        <w:rPr>
          <w:rFonts w:ascii="宋体" w:hAnsi="宋体"/>
          <w:szCs w:val="21"/>
        </w:rPr>
        <w:t>方收到乙方通知后，认为其理由正当的，可以书面形式酌情同意乙方可以延长</w:t>
      </w:r>
      <w:r>
        <w:rPr>
          <w:rFonts w:hint="eastAsia" w:ascii="宋体" w:hAnsi="宋体"/>
          <w:szCs w:val="21"/>
        </w:rPr>
        <w:t>履行</w:t>
      </w:r>
      <w:r>
        <w:rPr>
          <w:rFonts w:ascii="宋体" w:hAnsi="宋体"/>
          <w:szCs w:val="21"/>
        </w:rPr>
        <w:t>的具体时间。</w:t>
      </w:r>
    </w:p>
    <w:p w14:paraId="54E51EBC">
      <w:pPr>
        <w:spacing w:line="360" w:lineRule="auto"/>
        <w:ind w:firstLine="482"/>
        <w:outlineLvl w:val="3"/>
        <w:rPr>
          <w:rFonts w:ascii="宋体" w:hAnsi="宋体"/>
          <w:b/>
          <w:bCs/>
          <w:szCs w:val="21"/>
          <w:lang w:val="zh-CN"/>
        </w:rPr>
      </w:pPr>
      <w:bookmarkStart w:id="684" w:name="_Toc7502"/>
      <w:bookmarkStart w:id="685" w:name="_Toc487900364"/>
      <w:bookmarkStart w:id="686" w:name="_Toc279701254"/>
      <w:bookmarkStart w:id="687" w:name="_Ref467378121"/>
      <w:bookmarkStart w:id="688" w:name="_Toc259093683"/>
      <w:r>
        <w:rPr>
          <w:rFonts w:ascii="宋体" w:hAnsi="宋体"/>
          <w:b/>
          <w:bCs/>
          <w:szCs w:val="21"/>
          <w:lang w:val="zh-CN"/>
        </w:rPr>
        <w:t>2.9 合同变更</w:t>
      </w:r>
      <w:bookmarkEnd w:id="684"/>
    </w:p>
    <w:p w14:paraId="4CD2FDA5">
      <w:pPr>
        <w:spacing w:line="360" w:lineRule="auto"/>
        <w:ind w:firstLine="480"/>
        <w:rPr>
          <w:rFonts w:ascii="宋体" w:hAnsi="宋体"/>
          <w:szCs w:val="21"/>
        </w:rPr>
      </w:pPr>
      <w:r>
        <w:rPr>
          <w:rFonts w:hint="eastAsia" w:ascii="宋体" w:hAnsi="宋体"/>
          <w:szCs w:val="21"/>
        </w:rPr>
        <w:t>2.</w:t>
      </w:r>
      <w:r>
        <w:rPr>
          <w:rFonts w:ascii="宋体" w:hAnsi="宋体"/>
          <w:szCs w:val="21"/>
        </w:rPr>
        <w:t>9</w:t>
      </w:r>
      <w:r>
        <w:rPr>
          <w:rFonts w:hint="eastAsia" w:ascii="宋体" w:hAnsi="宋体"/>
          <w:szCs w:val="21"/>
        </w:rPr>
        <w:t>.1双方当事人协商一致，可以签订书面补充合同的形式变更合同，但不得违背采购文件确定的事项；</w:t>
      </w:r>
    </w:p>
    <w:p w14:paraId="17A2966E">
      <w:pPr>
        <w:spacing w:line="360" w:lineRule="auto"/>
        <w:ind w:firstLine="480"/>
        <w:rPr>
          <w:rFonts w:ascii="宋体" w:hAnsi="宋体"/>
          <w:szCs w:val="21"/>
        </w:rPr>
      </w:pPr>
      <w:r>
        <w:rPr>
          <w:rFonts w:hint="eastAsia" w:ascii="宋体" w:hAnsi="宋体"/>
          <w:szCs w:val="21"/>
        </w:rPr>
        <w:t>2.</w:t>
      </w:r>
      <w:r>
        <w:rPr>
          <w:rFonts w:ascii="宋体" w:hAnsi="宋体"/>
          <w:szCs w:val="21"/>
        </w:rPr>
        <w:t>9</w:t>
      </w:r>
      <w:r>
        <w:rPr>
          <w:rFonts w:hint="eastAsia" w:ascii="宋体" w:hAnsi="宋体"/>
          <w:szCs w:val="21"/>
        </w:rPr>
        <w:t>.2合同继续履行将损害国家利益和社会公共利益的，双方当事人应当以书面形式变更合同。有过错的一方应当承担赔偿责任，双方当事人都有过错的，各自承担相应的责任。</w:t>
      </w:r>
      <w:bookmarkStart w:id="689" w:name="_Toc487900369"/>
      <w:bookmarkStart w:id="690" w:name="_Toc259093688"/>
      <w:bookmarkStart w:id="691" w:name="_Toc279701259"/>
    </w:p>
    <w:p w14:paraId="56756CD5">
      <w:pPr>
        <w:spacing w:line="360" w:lineRule="auto"/>
        <w:ind w:firstLine="482"/>
        <w:outlineLvl w:val="3"/>
        <w:rPr>
          <w:rFonts w:ascii="宋体" w:hAnsi="宋体"/>
          <w:b/>
          <w:bCs/>
          <w:szCs w:val="21"/>
          <w:lang w:val="zh-CN"/>
        </w:rPr>
      </w:pPr>
      <w:bookmarkStart w:id="692" w:name="_Toc22955"/>
      <w:bookmarkStart w:id="693" w:name="_Toc15237"/>
      <w:bookmarkStart w:id="694" w:name="_Toc10366"/>
      <w:r>
        <w:rPr>
          <w:rFonts w:hint="eastAsia" w:ascii="宋体" w:hAnsi="宋体"/>
          <w:b/>
          <w:bCs/>
          <w:szCs w:val="21"/>
          <w:lang w:val="zh-CN"/>
        </w:rPr>
        <w:t>2.1</w:t>
      </w:r>
      <w:r>
        <w:rPr>
          <w:rFonts w:ascii="宋体" w:hAnsi="宋体"/>
          <w:b/>
          <w:bCs/>
          <w:szCs w:val="21"/>
          <w:lang w:val="zh-CN"/>
        </w:rPr>
        <w:t>0</w:t>
      </w:r>
      <w:r>
        <w:rPr>
          <w:rFonts w:hint="eastAsia" w:ascii="宋体" w:hAnsi="宋体"/>
          <w:b/>
          <w:bCs/>
          <w:szCs w:val="21"/>
          <w:lang w:val="zh-CN"/>
        </w:rPr>
        <w:t xml:space="preserve"> </w:t>
      </w:r>
      <w:r>
        <w:rPr>
          <w:rFonts w:ascii="宋体" w:hAnsi="宋体"/>
          <w:b/>
          <w:bCs/>
          <w:szCs w:val="21"/>
          <w:lang w:val="zh-CN"/>
        </w:rPr>
        <w:t>合同转让</w:t>
      </w:r>
      <w:bookmarkEnd w:id="689"/>
      <w:bookmarkEnd w:id="690"/>
      <w:bookmarkEnd w:id="691"/>
      <w:r>
        <w:rPr>
          <w:rFonts w:ascii="宋体" w:hAnsi="宋体"/>
          <w:b/>
          <w:bCs/>
          <w:szCs w:val="21"/>
          <w:lang w:val="zh-CN"/>
        </w:rPr>
        <w:t>和分包</w:t>
      </w:r>
      <w:bookmarkEnd w:id="692"/>
      <w:bookmarkEnd w:id="693"/>
      <w:bookmarkEnd w:id="694"/>
    </w:p>
    <w:p w14:paraId="715A03EB">
      <w:pPr>
        <w:spacing w:line="360" w:lineRule="auto"/>
        <w:ind w:firstLine="480"/>
        <w:rPr>
          <w:rFonts w:ascii="宋体" w:hAnsi="宋体"/>
          <w:szCs w:val="21"/>
        </w:rPr>
      </w:pPr>
      <w:r>
        <w:rPr>
          <w:rFonts w:ascii="宋体" w:hAnsi="宋体"/>
          <w:szCs w:val="21"/>
        </w:rPr>
        <w:t>合同的权利义务依法不</w:t>
      </w:r>
      <w:r>
        <w:rPr>
          <w:rFonts w:hint="eastAsia" w:ascii="宋体" w:hAnsi="宋体"/>
          <w:szCs w:val="21"/>
        </w:rPr>
        <w:t>得</w:t>
      </w:r>
      <w:r>
        <w:rPr>
          <w:rFonts w:ascii="宋体" w:hAnsi="宋体"/>
          <w:szCs w:val="21"/>
        </w:rPr>
        <w:t>转让</w:t>
      </w:r>
      <w:r>
        <w:rPr>
          <w:rFonts w:hint="eastAsia" w:ascii="宋体" w:hAnsi="宋体"/>
          <w:szCs w:val="21"/>
        </w:rPr>
        <w:t>，</w:t>
      </w:r>
      <w:r>
        <w:rPr>
          <w:rFonts w:ascii="宋体" w:hAnsi="宋体"/>
          <w:szCs w:val="21"/>
        </w:rPr>
        <w:t>但经甲方</w:t>
      </w:r>
      <w:r>
        <w:rPr>
          <w:rFonts w:hint="eastAsia" w:ascii="宋体" w:hAnsi="宋体"/>
          <w:szCs w:val="21"/>
        </w:rPr>
        <w:t>同意，乙方可以依法采取分包方式履行合同，即：依法可以</w:t>
      </w:r>
      <w:r>
        <w:rPr>
          <w:rFonts w:ascii="宋体" w:hAnsi="宋体"/>
          <w:szCs w:val="21"/>
        </w:rPr>
        <w:t>将合同项下的部分非主体、非关键性工作分包给他人完成</w:t>
      </w:r>
      <w:r>
        <w:rPr>
          <w:rFonts w:hint="eastAsia" w:ascii="宋体" w:hAnsi="宋体"/>
          <w:szCs w:val="21"/>
        </w:rPr>
        <w:t>，</w:t>
      </w:r>
      <w:r>
        <w:rPr>
          <w:rFonts w:ascii="宋体" w:hAnsi="宋体"/>
          <w:szCs w:val="21"/>
        </w:rPr>
        <w:t>接受分包的人应当具备相应的资格条件，并不得再次分包</w:t>
      </w:r>
      <w:r>
        <w:rPr>
          <w:rFonts w:hint="eastAsia" w:ascii="宋体" w:hAnsi="宋体"/>
          <w:szCs w:val="21"/>
        </w:rPr>
        <w:t>，</w:t>
      </w:r>
      <w:r>
        <w:rPr>
          <w:rFonts w:ascii="宋体" w:hAnsi="宋体"/>
          <w:szCs w:val="21"/>
        </w:rPr>
        <w:t>且乙方应就分包项目向甲方负责</w:t>
      </w:r>
      <w:r>
        <w:rPr>
          <w:rFonts w:hint="eastAsia" w:ascii="宋体" w:hAnsi="宋体"/>
          <w:szCs w:val="21"/>
        </w:rPr>
        <w:t>，</w:t>
      </w:r>
      <w:r>
        <w:rPr>
          <w:rFonts w:ascii="宋体" w:hAnsi="宋体"/>
          <w:szCs w:val="21"/>
        </w:rPr>
        <w:t>并</w:t>
      </w:r>
      <w:r>
        <w:rPr>
          <w:rFonts w:hint="eastAsia" w:ascii="宋体" w:hAnsi="宋体"/>
          <w:szCs w:val="21"/>
        </w:rPr>
        <w:t>与分包供应商就分包项目向甲方承担连带责任。</w:t>
      </w:r>
    </w:p>
    <w:p w14:paraId="42E52E09">
      <w:pPr>
        <w:spacing w:line="360" w:lineRule="auto"/>
        <w:ind w:firstLine="482"/>
        <w:outlineLvl w:val="3"/>
        <w:rPr>
          <w:rFonts w:ascii="宋体" w:hAnsi="宋体"/>
          <w:b/>
          <w:bCs/>
          <w:szCs w:val="21"/>
          <w:lang w:val="zh-CN"/>
        </w:rPr>
      </w:pPr>
      <w:bookmarkStart w:id="695" w:name="_Toc16508"/>
      <w:bookmarkStart w:id="696" w:name="_Toc13566"/>
      <w:bookmarkStart w:id="697" w:name="_Toc14066"/>
      <w:r>
        <w:rPr>
          <w:rFonts w:hint="eastAsia" w:ascii="宋体" w:hAnsi="宋体"/>
          <w:b/>
          <w:bCs/>
          <w:szCs w:val="21"/>
          <w:lang w:val="zh-CN"/>
        </w:rPr>
        <w:t>2.1</w:t>
      </w:r>
      <w:r>
        <w:rPr>
          <w:rFonts w:ascii="宋体" w:hAnsi="宋体"/>
          <w:b/>
          <w:bCs/>
          <w:szCs w:val="21"/>
          <w:lang w:val="zh-CN"/>
        </w:rPr>
        <w:t>1 不可抗力</w:t>
      </w:r>
      <w:bookmarkEnd w:id="695"/>
      <w:bookmarkEnd w:id="696"/>
      <w:bookmarkEnd w:id="697"/>
    </w:p>
    <w:p w14:paraId="0A403989">
      <w:pPr>
        <w:spacing w:line="360" w:lineRule="auto"/>
        <w:ind w:firstLine="480"/>
        <w:rPr>
          <w:rFonts w:ascii="宋体" w:hAnsi="宋体"/>
          <w:szCs w:val="21"/>
        </w:rPr>
      </w:pPr>
      <w:r>
        <w:rPr>
          <w:rFonts w:hint="eastAsia" w:ascii="宋体" w:hAnsi="宋体"/>
          <w:szCs w:val="21"/>
        </w:rPr>
        <w:t>2.1</w:t>
      </w:r>
      <w:r>
        <w:rPr>
          <w:rFonts w:ascii="宋体" w:hAnsi="宋体"/>
          <w:szCs w:val="21"/>
        </w:rPr>
        <w:t>1.1如果任何一方遭遇法律规定的不可抗力，致使合同履行受阻时，履行合同的期限应予延长，延长的期限应相当于不可抗力所影响的时间</w:t>
      </w:r>
      <w:r>
        <w:rPr>
          <w:rFonts w:hint="eastAsia" w:ascii="宋体" w:hAnsi="宋体"/>
          <w:szCs w:val="21"/>
        </w:rPr>
        <w:t>；</w:t>
      </w:r>
    </w:p>
    <w:p w14:paraId="0BB66D94">
      <w:pPr>
        <w:spacing w:line="360" w:lineRule="auto"/>
        <w:ind w:firstLine="480"/>
        <w:rPr>
          <w:rFonts w:ascii="宋体" w:hAnsi="宋体"/>
          <w:szCs w:val="21"/>
        </w:rPr>
      </w:pPr>
      <w:r>
        <w:rPr>
          <w:rFonts w:hint="eastAsia" w:ascii="宋体" w:hAnsi="宋体"/>
          <w:szCs w:val="21"/>
        </w:rPr>
        <w:t>2.1</w:t>
      </w:r>
      <w:r>
        <w:rPr>
          <w:rFonts w:ascii="宋体" w:hAnsi="宋体"/>
          <w:szCs w:val="21"/>
        </w:rPr>
        <w:t>1</w:t>
      </w:r>
      <w:r>
        <w:rPr>
          <w:rFonts w:hint="eastAsia" w:ascii="宋体" w:hAnsi="宋体"/>
          <w:szCs w:val="21"/>
        </w:rPr>
        <w:t>.2因不可抗力致使不能实现合同目的的，当事人可以解除合同；</w:t>
      </w:r>
    </w:p>
    <w:p w14:paraId="6E243EBA">
      <w:pPr>
        <w:spacing w:line="360" w:lineRule="auto"/>
        <w:ind w:firstLine="480"/>
        <w:rPr>
          <w:rFonts w:ascii="宋体" w:hAnsi="宋体"/>
          <w:szCs w:val="21"/>
        </w:rPr>
      </w:pPr>
      <w:r>
        <w:rPr>
          <w:rFonts w:hint="eastAsia" w:ascii="宋体" w:hAnsi="宋体"/>
          <w:szCs w:val="21"/>
        </w:rPr>
        <w:t>2.1</w:t>
      </w:r>
      <w:r>
        <w:rPr>
          <w:rFonts w:ascii="宋体" w:hAnsi="宋体"/>
          <w:szCs w:val="21"/>
        </w:rPr>
        <w:t>1</w:t>
      </w:r>
      <w:r>
        <w:rPr>
          <w:rFonts w:hint="eastAsia" w:ascii="宋体" w:hAnsi="宋体"/>
          <w:szCs w:val="21"/>
        </w:rPr>
        <w:t>.3因</w:t>
      </w:r>
      <w:r>
        <w:rPr>
          <w:rFonts w:ascii="宋体" w:hAnsi="宋体"/>
          <w:szCs w:val="21"/>
        </w:rPr>
        <w:t>不可抗力致使合同有变更必要的，双方当事人应在</w:t>
      </w:r>
      <w:r>
        <w:rPr>
          <w:rFonts w:ascii="宋体" w:hAnsi="宋体"/>
          <w:b/>
          <w:i/>
          <w:szCs w:val="21"/>
          <w:u w:val="single"/>
        </w:rPr>
        <w:t>合同专用条款</w:t>
      </w:r>
      <w:r>
        <w:rPr>
          <w:rFonts w:ascii="宋体" w:hAnsi="宋体"/>
          <w:szCs w:val="21"/>
        </w:rPr>
        <w:t>约定时间内以书面形式变更合同</w:t>
      </w:r>
      <w:r>
        <w:rPr>
          <w:rFonts w:hint="eastAsia" w:ascii="宋体" w:hAnsi="宋体"/>
          <w:szCs w:val="21"/>
        </w:rPr>
        <w:t>；</w:t>
      </w:r>
    </w:p>
    <w:p w14:paraId="16D20222">
      <w:pPr>
        <w:spacing w:line="360" w:lineRule="auto"/>
        <w:ind w:firstLine="480"/>
        <w:rPr>
          <w:rFonts w:ascii="宋体" w:hAnsi="宋体"/>
          <w:szCs w:val="21"/>
        </w:rPr>
      </w:pPr>
      <w:r>
        <w:rPr>
          <w:rFonts w:hint="eastAsia" w:ascii="宋体" w:hAnsi="宋体"/>
          <w:szCs w:val="21"/>
        </w:rPr>
        <w:t>2.1</w:t>
      </w:r>
      <w:r>
        <w:rPr>
          <w:rFonts w:ascii="宋体" w:hAnsi="宋体"/>
          <w:szCs w:val="21"/>
        </w:rPr>
        <w:t>1.</w:t>
      </w:r>
      <w:r>
        <w:rPr>
          <w:rFonts w:hint="eastAsia" w:ascii="宋体" w:hAnsi="宋体"/>
          <w:szCs w:val="21"/>
        </w:rPr>
        <w:t>4</w:t>
      </w:r>
      <w:r>
        <w:rPr>
          <w:rFonts w:ascii="宋体" w:hAnsi="宋体"/>
          <w:szCs w:val="21"/>
        </w:rPr>
        <w:t>受</w:t>
      </w:r>
      <w:r>
        <w:rPr>
          <w:rFonts w:hint="eastAsia" w:ascii="宋体" w:hAnsi="宋体"/>
          <w:szCs w:val="21"/>
        </w:rPr>
        <w:t>不可抗力</w:t>
      </w:r>
      <w:r>
        <w:rPr>
          <w:rFonts w:ascii="宋体" w:hAnsi="宋体"/>
          <w:szCs w:val="21"/>
        </w:rPr>
        <w:t>影响的一方在不可抗力发生后</w:t>
      </w:r>
      <w:r>
        <w:rPr>
          <w:rFonts w:hint="eastAsia" w:ascii="宋体" w:hAnsi="宋体"/>
          <w:szCs w:val="21"/>
        </w:rPr>
        <w:t>，</w:t>
      </w:r>
      <w:r>
        <w:rPr>
          <w:rFonts w:ascii="宋体" w:hAnsi="宋体"/>
          <w:szCs w:val="21"/>
        </w:rPr>
        <w:t>应在</w:t>
      </w:r>
      <w:r>
        <w:rPr>
          <w:rFonts w:ascii="宋体" w:hAnsi="宋体"/>
          <w:b/>
          <w:i/>
          <w:szCs w:val="21"/>
          <w:u w:val="single"/>
        </w:rPr>
        <w:t>合同专用条款</w:t>
      </w:r>
      <w:r>
        <w:rPr>
          <w:rFonts w:ascii="宋体" w:hAnsi="宋体"/>
          <w:szCs w:val="21"/>
        </w:rPr>
        <w:t>约定时间内以书面形式通知</w:t>
      </w:r>
      <w:r>
        <w:rPr>
          <w:rFonts w:hint="eastAsia" w:ascii="宋体" w:hAnsi="宋体"/>
          <w:szCs w:val="21"/>
        </w:rPr>
        <w:t>对</w:t>
      </w:r>
      <w:r>
        <w:rPr>
          <w:rFonts w:ascii="宋体" w:hAnsi="宋体"/>
          <w:szCs w:val="21"/>
        </w:rPr>
        <w:t>方当事人，并在</w:t>
      </w:r>
      <w:r>
        <w:rPr>
          <w:rFonts w:ascii="宋体" w:hAnsi="宋体"/>
          <w:b/>
          <w:i/>
          <w:szCs w:val="21"/>
          <w:u w:val="single"/>
        </w:rPr>
        <w:t>合同专用条款</w:t>
      </w:r>
      <w:r>
        <w:rPr>
          <w:rFonts w:ascii="宋体" w:hAnsi="宋体"/>
          <w:szCs w:val="21"/>
        </w:rPr>
        <w:t>约定时间内，将有关部门出具的证明文件送达</w:t>
      </w:r>
      <w:r>
        <w:rPr>
          <w:rFonts w:hint="eastAsia" w:ascii="宋体" w:hAnsi="宋体"/>
          <w:szCs w:val="21"/>
        </w:rPr>
        <w:t>对方当事人</w:t>
      </w:r>
      <w:r>
        <w:rPr>
          <w:rFonts w:ascii="宋体" w:hAnsi="宋体"/>
          <w:szCs w:val="21"/>
        </w:rPr>
        <w:t>。</w:t>
      </w:r>
    </w:p>
    <w:p w14:paraId="65CC56D5">
      <w:pPr>
        <w:spacing w:line="360" w:lineRule="auto"/>
        <w:ind w:firstLine="482"/>
        <w:outlineLvl w:val="3"/>
        <w:rPr>
          <w:rFonts w:ascii="宋体" w:hAnsi="宋体"/>
          <w:b/>
          <w:bCs/>
          <w:szCs w:val="21"/>
          <w:lang w:val="zh-CN"/>
        </w:rPr>
      </w:pPr>
      <w:bookmarkStart w:id="698" w:name="_Toc279701255"/>
      <w:bookmarkStart w:id="699" w:name="_Toc259093684"/>
      <w:bookmarkStart w:id="700" w:name="_Toc689"/>
      <w:bookmarkStart w:id="701" w:name="_Toc6969"/>
      <w:bookmarkStart w:id="702" w:name="_Toc30676"/>
      <w:bookmarkStart w:id="703" w:name="_Toc487900365"/>
      <w:r>
        <w:rPr>
          <w:rFonts w:hint="eastAsia" w:ascii="宋体" w:hAnsi="宋体"/>
          <w:b/>
          <w:bCs/>
          <w:szCs w:val="21"/>
          <w:lang w:val="zh-CN"/>
        </w:rPr>
        <w:t>2.</w:t>
      </w:r>
      <w:r>
        <w:rPr>
          <w:rFonts w:ascii="宋体" w:hAnsi="宋体"/>
          <w:b/>
          <w:bCs/>
          <w:szCs w:val="21"/>
          <w:lang w:val="zh-CN"/>
        </w:rPr>
        <w:t>12</w:t>
      </w:r>
      <w:r>
        <w:rPr>
          <w:rFonts w:hint="eastAsia" w:ascii="宋体" w:hAnsi="宋体"/>
          <w:b/>
          <w:bCs/>
          <w:szCs w:val="21"/>
          <w:lang w:val="zh-CN"/>
        </w:rPr>
        <w:t xml:space="preserve"> </w:t>
      </w:r>
      <w:r>
        <w:rPr>
          <w:rFonts w:ascii="宋体" w:hAnsi="宋体"/>
          <w:b/>
          <w:bCs/>
          <w:szCs w:val="21"/>
          <w:lang w:val="zh-CN"/>
        </w:rPr>
        <w:t>税费</w:t>
      </w:r>
      <w:bookmarkEnd w:id="698"/>
      <w:bookmarkEnd w:id="699"/>
      <w:bookmarkEnd w:id="700"/>
      <w:bookmarkEnd w:id="701"/>
      <w:bookmarkEnd w:id="702"/>
      <w:bookmarkEnd w:id="703"/>
    </w:p>
    <w:p w14:paraId="1934C035">
      <w:pPr>
        <w:spacing w:line="360" w:lineRule="auto"/>
        <w:ind w:firstLine="480"/>
        <w:rPr>
          <w:rFonts w:ascii="宋体" w:hAnsi="宋体"/>
          <w:szCs w:val="21"/>
        </w:rPr>
      </w:pPr>
      <w:r>
        <w:rPr>
          <w:rFonts w:ascii="宋体" w:hAnsi="宋体"/>
          <w:szCs w:val="21"/>
        </w:rPr>
        <w:t>与合同有关的一切税费</w:t>
      </w:r>
      <w:r>
        <w:rPr>
          <w:rFonts w:hint="eastAsia" w:ascii="宋体" w:hAnsi="宋体"/>
          <w:szCs w:val="21"/>
        </w:rPr>
        <w:t>，</w:t>
      </w:r>
      <w:r>
        <w:rPr>
          <w:rFonts w:ascii="宋体" w:hAnsi="宋体"/>
          <w:szCs w:val="21"/>
        </w:rPr>
        <w:t>均按照中华人民共和国法律的相关规定</w:t>
      </w:r>
      <w:r>
        <w:rPr>
          <w:rFonts w:hint="eastAsia" w:ascii="宋体" w:hAnsi="宋体"/>
          <w:szCs w:val="21"/>
        </w:rPr>
        <w:t>缴纳</w:t>
      </w:r>
      <w:r>
        <w:rPr>
          <w:rFonts w:ascii="宋体" w:hAnsi="宋体"/>
          <w:szCs w:val="21"/>
        </w:rPr>
        <w:t>。</w:t>
      </w:r>
    </w:p>
    <w:p w14:paraId="4D75C229">
      <w:pPr>
        <w:spacing w:line="360" w:lineRule="auto"/>
        <w:ind w:firstLine="482"/>
        <w:outlineLvl w:val="3"/>
        <w:rPr>
          <w:rFonts w:ascii="宋体" w:hAnsi="宋体"/>
          <w:b/>
          <w:bCs/>
          <w:szCs w:val="21"/>
          <w:lang w:val="zh-CN"/>
        </w:rPr>
      </w:pPr>
      <w:bookmarkStart w:id="704" w:name="_Toc16959"/>
      <w:bookmarkStart w:id="705" w:name="_Toc279701258"/>
      <w:bookmarkStart w:id="706" w:name="_Toc8298"/>
      <w:bookmarkStart w:id="707" w:name="_Toc487900368"/>
      <w:bookmarkStart w:id="708" w:name="_Toc7102"/>
      <w:bookmarkStart w:id="709" w:name="_Toc259093687"/>
      <w:r>
        <w:rPr>
          <w:rFonts w:hint="eastAsia" w:ascii="宋体" w:hAnsi="宋体"/>
          <w:b/>
          <w:bCs/>
          <w:szCs w:val="21"/>
          <w:lang w:val="zh-CN"/>
        </w:rPr>
        <w:t>2.</w:t>
      </w:r>
      <w:r>
        <w:rPr>
          <w:rFonts w:ascii="宋体" w:hAnsi="宋体"/>
          <w:b/>
          <w:bCs/>
          <w:szCs w:val="21"/>
          <w:lang w:val="zh-CN"/>
        </w:rPr>
        <w:t>13</w:t>
      </w:r>
      <w:r>
        <w:rPr>
          <w:rFonts w:hint="eastAsia" w:ascii="宋体" w:hAnsi="宋体"/>
          <w:b/>
          <w:bCs/>
          <w:szCs w:val="21"/>
          <w:lang w:val="zh-CN"/>
        </w:rPr>
        <w:t xml:space="preserve"> </w:t>
      </w:r>
      <w:r>
        <w:rPr>
          <w:rFonts w:ascii="宋体" w:hAnsi="宋体"/>
          <w:b/>
          <w:bCs/>
          <w:szCs w:val="21"/>
          <w:lang w:val="zh-CN"/>
        </w:rPr>
        <w:t>乙方破产</w:t>
      </w:r>
      <w:bookmarkEnd w:id="704"/>
      <w:bookmarkEnd w:id="705"/>
      <w:bookmarkEnd w:id="706"/>
      <w:bookmarkEnd w:id="707"/>
      <w:bookmarkEnd w:id="708"/>
      <w:bookmarkEnd w:id="709"/>
    </w:p>
    <w:p w14:paraId="70F970BE">
      <w:pPr>
        <w:spacing w:line="360" w:lineRule="auto"/>
        <w:ind w:firstLine="480"/>
        <w:rPr>
          <w:rFonts w:ascii="宋体" w:hAnsi="宋体"/>
          <w:szCs w:val="21"/>
        </w:rPr>
      </w:pPr>
      <w:r>
        <w:rPr>
          <w:rFonts w:ascii="宋体" w:hAnsi="宋体"/>
          <w:szCs w:val="21"/>
        </w:rPr>
        <w:t>如果乙方破产导致合同无法履行时，甲方可以书面形式通知乙方终止合同且不给予乙方任何补偿和赔偿</w:t>
      </w:r>
      <w:r>
        <w:rPr>
          <w:rFonts w:hint="eastAsia" w:ascii="宋体" w:hAnsi="宋体"/>
          <w:szCs w:val="21"/>
        </w:rPr>
        <w:t>，但合同的</w:t>
      </w:r>
      <w:r>
        <w:rPr>
          <w:rFonts w:ascii="宋体" w:hAnsi="宋体"/>
          <w:szCs w:val="21"/>
        </w:rPr>
        <w:t>终止不损害或不影响甲方已经采取或将要采取的任何要求乙方支付违约金</w:t>
      </w:r>
      <w:r>
        <w:rPr>
          <w:rFonts w:hint="eastAsia" w:ascii="宋体" w:hAnsi="宋体"/>
          <w:szCs w:val="21"/>
        </w:rPr>
        <w:t>、</w:t>
      </w:r>
      <w:r>
        <w:rPr>
          <w:rFonts w:ascii="宋体" w:hAnsi="宋体"/>
          <w:szCs w:val="21"/>
        </w:rPr>
        <w:t>赔偿损失等的行动或补救措施的权利</w:t>
      </w:r>
      <w:r>
        <w:rPr>
          <w:rFonts w:hint="eastAsia" w:ascii="宋体" w:hAnsi="宋体"/>
          <w:szCs w:val="21"/>
        </w:rPr>
        <w:t>。</w:t>
      </w:r>
    </w:p>
    <w:p w14:paraId="306E79C9">
      <w:pPr>
        <w:spacing w:line="360" w:lineRule="auto"/>
        <w:ind w:firstLine="482"/>
        <w:outlineLvl w:val="3"/>
        <w:rPr>
          <w:rFonts w:ascii="宋体" w:hAnsi="宋体"/>
          <w:b/>
          <w:szCs w:val="21"/>
        </w:rPr>
      </w:pPr>
      <w:bookmarkStart w:id="710" w:name="_Toc29333"/>
      <w:bookmarkStart w:id="711" w:name="_Toc6134"/>
      <w:bookmarkStart w:id="712" w:name="_Toc15387"/>
      <w:r>
        <w:rPr>
          <w:rFonts w:hint="eastAsia" w:ascii="宋体" w:hAnsi="宋体"/>
          <w:b/>
          <w:bCs/>
          <w:szCs w:val="21"/>
          <w:lang w:val="zh-CN"/>
        </w:rPr>
        <w:t>2.1</w:t>
      </w:r>
      <w:r>
        <w:rPr>
          <w:rFonts w:ascii="宋体" w:hAnsi="宋体"/>
          <w:b/>
          <w:bCs/>
          <w:szCs w:val="21"/>
          <w:lang w:val="zh-CN"/>
        </w:rPr>
        <w:t>4</w:t>
      </w:r>
      <w:r>
        <w:rPr>
          <w:rFonts w:hint="eastAsia" w:ascii="宋体" w:hAnsi="宋体"/>
          <w:b/>
          <w:bCs/>
          <w:szCs w:val="21"/>
          <w:lang w:val="zh-CN"/>
        </w:rPr>
        <w:t xml:space="preserve"> 合同中止、终止</w:t>
      </w:r>
      <w:bookmarkEnd w:id="710"/>
      <w:bookmarkEnd w:id="711"/>
      <w:bookmarkEnd w:id="712"/>
    </w:p>
    <w:p w14:paraId="50DA0CAD">
      <w:pPr>
        <w:spacing w:line="360" w:lineRule="auto"/>
        <w:ind w:firstLine="480"/>
        <w:rPr>
          <w:rFonts w:ascii="宋体" w:hAnsi="宋体"/>
          <w:szCs w:val="21"/>
        </w:rPr>
      </w:pPr>
      <w:r>
        <w:rPr>
          <w:rFonts w:hint="eastAsia" w:ascii="宋体" w:hAnsi="宋体"/>
          <w:szCs w:val="21"/>
        </w:rPr>
        <w:t>2.1</w:t>
      </w:r>
      <w:r>
        <w:rPr>
          <w:rFonts w:ascii="宋体" w:hAnsi="宋体"/>
          <w:szCs w:val="21"/>
        </w:rPr>
        <w:t>4</w:t>
      </w:r>
      <w:r>
        <w:rPr>
          <w:rFonts w:hint="eastAsia" w:ascii="宋体" w:hAnsi="宋体"/>
          <w:szCs w:val="21"/>
        </w:rPr>
        <w:t>.1双方当事人不得擅自中止或者终止合同；</w:t>
      </w:r>
    </w:p>
    <w:p w14:paraId="66D70E01">
      <w:pPr>
        <w:spacing w:line="360" w:lineRule="auto"/>
        <w:ind w:firstLine="480"/>
        <w:rPr>
          <w:rFonts w:ascii="宋体" w:hAnsi="宋体"/>
          <w:szCs w:val="21"/>
        </w:rPr>
      </w:pPr>
      <w:r>
        <w:rPr>
          <w:rFonts w:hint="eastAsia" w:ascii="宋体" w:hAnsi="宋体"/>
          <w:szCs w:val="21"/>
        </w:rPr>
        <w:t>2.1</w:t>
      </w:r>
      <w:r>
        <w:rPr>
          <w:rFonts w:ascii="宋体" w:hAnsi="宋体"/>
          <w:szCs w:val="21"/>
        </w:rPr>
        <w:t>4</w:t>
      </w:r>
      <w:r>
        <w:rPr>
          <w:rFonts w:hint="eastAsia" w:ascii="宋体" w:hAnsi="宋体"/>
          <w:szCs w:val="21"/>
        </w:rPr>
        <w:t>.2合同继续履行将损害国家利益和社会公共利益的，双方当事人应当中止或者终止合同。有过错的一方应当承担赔偿责任，双方当事人都有过错的，各自承担相应的责任。</w:t>
      </w:r>
    </w:p>
    <w:p w14:paraId="2C22971D">
      <w:pPr>
        <w:spacing w:line="360" w:lineRule="auto"/>
        <w:ind w:firstLine="482"/>
        <w:outlineLvl w:val="3"/>
        <w:rPr>
          <w:rFonts w:ascii="宋体" w:hAnsi="宋体"/>
          <w:b/>
          <w:bCs/>
          <w:szCs w:val="21"/>
          <w:lang w:val="zh-CN"/>
        </w:rPr>
      </w:pPr>
      <w:bookmarkStart w:id="713" w:name="_Toc1125"/>
      <w:bookmarkStart w:id="714" w:name="_Toc6596"/>
      <w:bookmarkStart w:id="715" w:name="_Toc14563"/>
      <w:r>
        <w:rPr>
          <w:rFonts w:hint="eastAsia" w:ascii="宋体" w:hAnsi="宋体"/>
          <w:b/>
          <w:bCs/>
          <w:szCs w:val="21"/>
          <w:lang w:val="zh-CN"/>
        </w:rPr>
        <w:t>2.1</w:t>
      </w:r>
      <w:r>
        <w:rPr>
          <w:rFonts w:ascii="宋体" w:hAnsi="宋体"/>
          <w:b/>
          <w:bCs/>
          <w:szCs w:val="21"/>
          <w:lang w:val="zh-CN"/>
        </w:rPr>
        <w:t>5</w:t>
      </w:r>
      <w:r>
        <w:rPr>
          <w:rFonts w:hint="eastAsia" w:ascii="宋体" w:hAnsi="宋体"/>
          <w:b/>
          <w:bCs/>
          <w:szCs w:val="21"/>
          <w:lang w:val="zh-CN"/>
        </w:rPr>
        <w:t xml:space="preserve"> 检验和验收</w:t>
      </w:r>
      <w:bookmarkEnd w:id="713"/>
      <w:bookmarkEnd w:id="714"/>
      <w:bookmarkEnd w:id="715"/>
    </w:p>
    <w:p w14:paraId="018D9801">
      <w:pPr>
        <w:spacing w:line="360" w:lineRule="auto"/>
        <w:ind w:firstLine="480"/>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5</w:t>
      </w:r>
      <w:r>
        <w:rPr>
          <w:rFonts w:ascii="宋体" w:hAnsi="宋体"/>
          <w:szCs w:val="21"/>
        </w:rPr>
        <w:t>.</w:t>
      </w:r>
      <w:r>
        <w:rPr>
          <w:rFonts w:hint="eastAsia" w:ascii="宋体" w:hAnsi="宋体"/>
          <w:szCs w:val="21"/>
        </w:rPr>
        <w:t>1乙方按照</w:t>
      </w:r>
      <w:r>
        <w:rPr>
          <w:rFonts w:ascii="宋体" w:hAnsi="宋体"/>
          <w:b/>
          <w:i/>
          <w:szCs w:val="21"/>
          <w:u w:val="single"/>
        </w:rPr>
        <w:t>合同专用条款</w:t>
      </w:r>
      <w:r>
        <w:rPr>
          <w:rFonts w:ascii="宋体" w:hAnsi="宋体"/>
          <w:szCs w:val="21"/>
        </w:rPr>
        <w:t>的约定</w:t>
      </w:r>
      <w:r>
        <w:rPr>
          <w:rFonts w:hint="eastAsia" w:ascii="宋体" w:hAnsi="宋体"/>
          <w:szCs w:val="21"/>
        </w:rPr>
        <w:t>，</w:t>
      </w:r>
      <w:r>
        <w:rPr>
          <w:rFonts w:ascii="宋体" w:hAnsi="宋体"/>
          <w:szCs w:val="21"/>
        </w:rPr>
        <w:t>定期提交服务报告</w:t>
      </w:r>
      <w:r>
        <w:rPr>
          <w:rFonts w:hint="eastAsia" w:ascii="宋体" w:hAnsi="宋体"/>
          <w:szCs w:val="21"/>
        </w:rPr>
        <w:t>，甲方按照</w:t>
      </w:r>
      <w:r>
        <w:rPr>
          <w:rFonts w:ascii="宋体" w:hAnsi="宋体"/>
          <w:b/>
          <w:i/>
          <w:szCs w:val="21"/>
          <w:u w:val="single"/>
        </w:rPr>
        <w:t>合同专用条款</w:t>
      </w:r>
      <w:r>
        <w:rPr>
          <w:rFonts w:ascii="宋体" w:hAnsi="宋体"/>
          <w:szCs w:val="21"/>
        </w:rPr>
        <w:t>的约定进行定期验收</w:t>
      </w:r>
      <w:r>
        <w:rPr>
          <w:rFonts w:hint="eastAsia" w:ascii="宋体" w:hAnsi="宋体"/>
          <w:szCs w:val="21"/>
        </w:rPr>
        <w:t>；</w:t>
      </w:r>
    </w:p>
    <w:p w14:paraId="1E3F3363">
      <w:pPr>
        <w:spacing w:line="360" w:lineRule="auto"/>
        <w:ind w:firstLine="480"/>
        <w:rPr>
          <w:rFonts w:ascii="宋体" w:hAnsi="宋体"/>
          <w:szCs w:val="21"/>
        </w:rPr>
      </w:pPr>
      <w:r>
        <w:rPr>
          <w:rFonts w:hint="eastAsia" w:ascii="宋体" w:hAnsi="宋体"/>
          <w:szCs w:val="21"/>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8D0A4BC">
      <w:pPr>
        <w:spacing w:line="360" w:lineRule="auto"/>
        <w:ind w:firstLine="480"/>
        <w:rPr>
          <w:rFonts w:ascii="宋体" w:hAnsi="宋体"/>
          <w:szCs w:val="21"/>
        </w:rPr>
      </w:pPr>
      <w:r>
        <w:rPr>
          <w:rFonts w:hint="eastAsia" w:ascii="宋体" w:hAnsi="宋体"/>
          <w:szCs w:val="21"/>
        </w:rPr>
        <w:t>2.15.3检验和验收标准、程序等具体内容以及前述验收书的效力详见</w:t>
      </w:r>
      <w:r>
        <w:rPr>
          <w:rFonts w:ascii="宋体" w:hAnsi="宋体"/>
          <w:b/>
          <w:i/>
          <w:szCs w:val="21"/>
          <w:u w:val="single"/>
        </w:rPr>
        <w:t>合同专用条款</w:t>
      </w:r>
      <w:r>
        <w:rPr>
          <w:rFonts w:hint="eastAsia" w:ascii="宋体" w:hAnsi="宋体"/>
          <w:i/>
          <w:szCs w:val="21"/>
        </w:rPr>
        <w:t>。</w:t>
      </w:r>
    </w:p>
    <w:bookmarkEnd w:id="685"/>
    <w:bookmarkEnd w:id="686"/>
    <w:bookmarkEnd w:id="687"/>
    <w:bookmarkEnd w:id="688"/>
    <w:p w14:paraId="47A0027A">
      <w:pPr>
        <w:spacing w:line="360" w:lineRule="auto"/>
        <w:ind w:firstLine="482"/>
        <w:outlineLvl w:val="3"/>
        <w:rPr>
          <w:rFonts w:ascii="宋体" w:hAnsi="宋体"/>
          <w:b/>
          <w:bCs/>
          <w:szCs w:val="21"/>
        </w:rPr>
      </w:pPr>
      <w:bookmarkStart w:id="716" w:name="_Toc12773"/>
      <w:bookmarkStart w:id="717" w:name="_Toc259093692"/>
      <w:bookmarkStart w:id="718" w:name="_Toc487900373"/>
      <w:bookmarkStart w:id="719" w:name="_Toc18567"/>
      <w:bookmarkStart w:id="720" w:name="_Toc10330"/>
      <w:bookmarkStart w:id="721" w:name="_Toc279701263"/>
      <w:r>
        <w:rPr>
          <w:rFonts w:hint="eastAsia" w:ascii="宋体" w:hAnsi="宋体"/>
          <w:b/>
          <w:bCs/>
          <w:szCs w:val="21"/>
        </w:rPr>
        <w:t>2.</w:t>
      </w:r>
      <w:r>
        <w:rPr>
          <w:rFonts w:ascii="宋体" w:hAnsi="宋体"/>
          <w:b/>
          <w:bCs/>
          <w:szCs w:val="21"/>
        </w:rPr>
        <w:t>16</w:t>
      </w:r>
      <w:r>
        <w:rPr>
          <w:rFonts w:hint="eastAsia" w:ascii="宋体" w:hAnsi="宋体"/>
          <w:b/>
          <w:bCs/>
          <w:szCs w:val="21"/>
        </w:rPr>
        <w:t xml:space="preserve"> </w:t>
      </w:r>
      <w:r>
        <w:rPr>
          <w:rFonts w:hint="eastAsia" w:ascii="宋体" w:hAnsi="宋体"/>
          <w:b/>
          <w:bCs/>
          <w:szCs w:val="21"/>
          <w:lang w:val="zh-CN"/>
        </w:rPr>
        <w:t>合同使用的文字和</w:t>
      </w:r>
      <w:r>
        <w:rPr>
          <w:rFonts w:ascii="宋体" w:hAnsi="宋体"/>
          <w:b/>
          <w:bCs/>
          <w:szCs w:val="21"/>
          <w:lang w:val="zh-CN"/>
        </w:rPr>
        <w:t>适用的法律</w:t>
      </w:r>
      <w:bookmarkEnd w:id="716"/>
      <w:bookmarkEnd w:id="717"/>
      <w:bookmarkEnd w:id="718"/>
      <w:bookmarkEnd w:id="719"/>
      <w:bookmarkEnd w:id="720"/>
      <w:bookmarkEnd w:id="721"/>
    </w:p>
    <w:p w14:paraId="75BED644">
      <w:pPr>
        <w:spacing w:line="360" w:lineRule="auto"/>
        <w:ind w:firstLine="480"/>
        <w:rPr>
          <w:rFonts w:ascii="宋体" w:hAnsi="宋体"/>
          <w:szCs w:val="21"/>
        </w:rPr>
      </w:pPr>
      <w:r>
        <w:rPr>
          <w:rFonts w:hint="eastAsia" w:ascii="宋体" w:hAnsi="宋体"/>
          <w:szCs w:val="21"/>
        </w:rPr>
        <w:t>2.</w:t>
      </w:r>
      <w:r>
        <w:rPr>
          <w:rFonts w:ascii="宋体" w:hAnsi="宋体"/>
          <w:szCs w:val="21"/>
        </w:rPr>
        <w:t>16.1合同使用汉语</w:t>
      </w:r>
      <w:r>
        <w:rPr>
          <w:rFonts w:hint="eastAsia" w:ascii="宋体" w:hAnsi="宋体"/>
          <w:szCs w:val="21"/>
        </w:rPr>
        <w:t>进行</w:t>
      </w:r>
      <w:r>
        <w:rPr>
          <w:rFonts w:ascii="宋体" w:hAnsi="宋体"/>
          <w:szCs w:val="21"/>
        </w:rPr>
        <w:t>书</w:t>
      </w:r>
      <w:r>
        <w:rPr>
          <w:rFonts w:hint="eastAsia" w:ascii="宋体" w:hAnsi="宋体"/>
          <w:szCs w:val="21"/>
        </w:rPr>
        <w:t>写、</w:t>
      </w:r>
      <w:r>
        <w:rPr>
          <w:rFonts w:ascii="宋体" w:hAnsi="宋体"/>
          <w:szCs w:val="21"/>
        </w:rPr>
        <w:t>变更和解释</w:t>
      </w:r>
      <w:r>
        <w:rPr>
          <w:rFonts w:hint="eastAsia" w:ascii="宋体" w:hAnsi="宋体"/>
          <w:szCs w:val="21"/>
        </w:rPr>
        <w:t>；</w:t>
      </w:r>
    </w:p>
    <w:p w14:paraId="031387DD">
      <w:pPr>
        <w:spacing w:line="360" w:lineRule="auto"/>
        <w:ind w:firstLine="480"/>
        <w:rPr>
          <w:rFonts w:ascii="宋体" w:hAnsi="宋体"/>
          <w:szCs w:val="21"/>
        </w:rPr>
      </w:pPr>
      <w:r>
        <w:rPr>
          <w:rFonts w:hint="eastAsia" w:ascii="宋体" w:hAnsi="宋体"/>
          <w:szCs w:val="21"/>
        </w:rPr>
        <w:t>2.</w:t>
      </w:r>
      <w:r>
        <w:rPr>
          <w:rFonts w:ascii="宋体" w:hAnsi="宋体"/>
          <w:szCs w:val="21"/>
        </w:rPr>
        <w:t>16</w:t>
      </w:r>
      <w:r>
        <w:rPr>
          <w:rFonts w:hint="eastAsia" w:ascii="宋体" w:hAnsi="宋体"/>
          <w:szCs w:val="21"/>
        </w:rPr>
        <w:t>.2合同适用</w:t>
      </w:r>
      <w:r>
        <w:rPr>
          <w:rFonts w:ascii="宋体" w:hAnsi="宋体"/>
          <w:szCs w:val="21"/>
        </w:rPr>
        <w:t>中华人民共和国法律。</w:t>
      </w:r>
    </w:p>
    <w:p w14:paraId="0FC65197">
      <w:pPr>
        <w:spacing w:line="360" w:lineRule="auto"/>
        <w:ind w:firstLine="482"/>
        <w:outlineLvl w:val="3"/>
        <w:rPr>
          <w:rFonts w:ascii="宋体" w:hAnsi="宋体"/>
          <w:b/>
          <w:szCs w:val="21"/>
        </w:rPr>
      </w:pPr>
      <w:bookmarkStart w:id="722" w:name="_Toc6885"/>
      <w:bookmarkStart w:id="723" w:name="_Toc14001"/>
      <w:bookmarkStart w:id="724" w:name="_Toc19890"/>
      <w:r>
        <w:rPr>
          <w:rFonts w:hint="eastAsia" w:ascii="宋体" w:hAnsi="宋体"/>
          <w:b/>
          <w:bCs/>
          <w:szCs w:val="21"/>
          <w:lang w:val="zh-CN"/>
        </w:rPr>
        <w:t>2.</w:t>
      </w:r>
      <w:r>
        <w:rPr>
          <w:rFonts w:ascii="宋体" w:hAnsi="宋体"/>
          <w:b/>
          <w:bCs/>
          <w:szCs w:val="21"/>
          <w:lang w:val="zh-CN"/>
        </w:rPr>
        <w:t>1</w:t>
      </w:r>
      <w:r>
        <w:rPr>
          <w:rFonts w:hint="eastAsia" w:ascii="宋体" w:hAnsi="宋体"/>
          <w:b/>
          <w:bCs/>
          <w:szCs w:val="21"/>
        </w:rPr>
        <w:t>7</w:t>
      </w:r>
      <w:r>
        <w:rPr>
          <w:rFonts w:hint="eastAsia" w:ascii="宋体" w:hAnsi="宋体"/>
          <w:b/>
          <w:bCs/>
          <w:szCs w:val="21"/>
          <w:lang w:val="zh-CN"/>
        </w:rPr>
        <w:t xml:space="preserve"> 合同份数</w:t>
      </w:r>
      <w:bookmarkEnd w:id="722"/>
      <w:bookmarkEnd w:id="723"/>
      <w:bookmarkEnd w:id="724"/>
    </w:p>
    <w:p w14:paraId="48EC460A">
      <w:pPr>
        <w:pStyle w:val="13"/>
        <w:overflowPunct w:val="0"/>
        <w:spacing w:line="440" w:lineRule="exact"/>
        <w:rPr>
          <w:rFonts w:ascii="宋体" w:cs="宋体"/>
          <w:szCs w:val="21"/>
          <w:u w:color="000000"/>
        </w:rPr>
      </w:pPr>
      <w:r>
        <w:rPr>
          <w:rFonts w:hint="eastAsia" w:ascii="宋体" w:hAnsi="宋体"/>
          <w:szCs w:val="21"/>
        </w:rPr>
        <w:t>一式六份，甲方四份，乙方两份，</w:t>
      </w:r>
      <w:r>
        <w:rPr>
          <w:rFonts w:ascii="宋体" w:hAnsi="宋体"/>
          <w:szCs w:val="21"/>
        </w:rPr>
        <w:t>每份均具有同等法律效力</w:t>
      </w:r>
      <w:r>
        <w:rPr>
          <w:rFonts w:hint="eastAsia" w:ascii="宋体" w:hAnsi="宋体"/>
          <w:szCs w:val="21"/>
        </w:rPr>
        <w:t>。</w:t>
      </w:r>
    </w:p>
    <w:p w14:paraId="0E5485CB">
      <w:pPr>
        <w:widowControl/>
        <w:spacing w:line="360" w:lineRule="auto"/>
        <w:ind w:left="640" w:leftChars="305" w:firstLine="210" w:firstLineChars="100"/>
        <w:jc w:val="left"/>
        <w:rPr>
          <w:rFonts w:ascii="宋体" w:hAnsi="宋体"/>
          <w:kern w:val="0"/>
          <w:szCs w:val="21"/>
        </w:rPr>
      </w:pPr>
    </w:p>
    <w:p w14:paraId="4FA0799F">
      <w:pPr>
        <w:widowControl/>
        <w:spacing w:line="360" w:lineRule="auto"/>
        <w:ind w:left="640" w:leftChars="305" w:firstLine="210" w:firstLineChars="100"/>
        <w:jc w:val="left"/>
        <w:rPr>
          <w:rFonts w:ascii="宋体" w:hAnsi="宋体"/>
          <w:kern w:val="0"/>
          <w:szCs w:val="21"/>
        </w:rPr>
      </w:pPr>
    </w:p>
    <w:p w14:paraId="35AA7C01">
      <w:pPr>
        <w:widowControl/>
        <w:spacing w:line="360" w:lineRule="auto"/>
        <w:ind w:left="640" w:leftChars="305" w:firstLine="210" w:firstLineChars="100"/>
        <w:jc w:val="left"/>
        <w:rPr>
          <w:rFonts w:ascii="宋体" w:hAnsi="宋体"/>
          <w:kern w:val="0"/>
          <w:szCs w:val="21"/>
        </w:rPr>
      </w:pPr>
    </w:p>
    <w:p w14:paraId="5E1FC81D">
      <w:pPr>
        <w:widowControl/>
        <w:spacing w:line="360" w:lineRule="auto"/>
        <w:ind w:left="640" w:leftChars="305" w:firstLine="210" w:firstLineChars="100"/>
        <w:jc w:val="left"/>
        <w:rPr>
          <w:rFonts w:ascii="宋体" w:hAnsi="宋体"/>
          <w:kern w:val="0"/>
          <w:szCs w:val="21"/>
        </w:rPr>
      </w:pPr>
      <w:r>
        <w:rPr>
          <w:rFonts w:ascii="宋体" w:hAnsi="宋体"/>
          <w:kern w:val="0"/>
          <w:szCs w:val="21"/>
        </w:rPr>
        <w:t>　　</w:t>
      </w:r>
    </w:p>
    <w:p w14:paraId="77FB2C1A">
      <w:pPr>
        <w:spacing w:before="156" w:beforeLines="50" w:after="156" w:afterLines="50"/>
        <w:ind w:firstLine="643"/>
        <w:jc w:val="center"/>
        <w:outlineLvl w:val="0"/>
        <w:rPr>
          <w:rFonts w:ascii="宋体"/>
          <w:b/>
          <w:sz w:val="32"/>
          <w:szCs w:val="32"/>
        </w:rPr>
      </w:pPr>
    </w:p>
    <w:p w14:paraId="65A246EA">
      <w:pPr>
        <w:spacing w:before="156" w:beforeLines="50" w:after="156" w:afterLines="50"/>
        <w:ind w:firstLine="643"/>
        <w:jc w:val="center"/>
        <w:outlineLvl w:val="0"/>
        <w:rPr>
          <w:rFonts w:ascii="宋体"/>
          <w:b/>
          <w:sz w:val="32"/>
          <w:szCs w:val="32"/>
        </w:rPr>
      </w:pPr>
    </w:p>
    <w:p w14:paraId="1EAFA217">
      <w:pPr>
        <w:pStyle w:val="49"/>
        <w:ind w:firstLine="643"/>
        <w:rPr>
          <w:rFonts w:ascii="宋体"/>
          <w:b/>
          <w:sz w:val="32"/>
          <w:szCs w:val="32"/>
        </w:rPr>
      </w:pPr>
    </w:p>
    <w:p w14:paraId="35BECE5E">
      <w:pPr>
        <w:ind w:firstLine="643"/>
        <w:rPr>
          <w:rFonts w:ascii="宋体"/>
          <w:b/>
          <w:sz w:val="32"/>
          <w:szCs w:val="32"/>
        </w:rPr>
      </w:pPr>
    </w:p>
    <w:p w14:paraId="30A73B58">
      <w:pPr>
        <w:pStyle w:val="49"/>
        <w:ind w:firstLine="643"/>
        <w:rPr>
          <w:rFonts w:ascii="宋体"/>
          <w:b/>
          <w:sz w:val="32"/>
          <w:szCs w:val="32"/>
        </w:rPr>
      </w:pPr>
    </w:p>
    <w:p w14:paraId="4F2B9E7B">
      <w:pPr>
        <w:rPr>
          <w:rFonts w:ascii="宋体"/>
          <w:b/>
          <w:sz w:val="32"/>
          <w:szCs w:val="32"/>
        </w:rPr>
      </w:pPr>
    </w:p>
    <w:p w14:paraId="789836B5">
      <w:pPr>
        <w:rPr>
          <w:rFonts w:ascii="宋体"/>
          <w:b/>
          <w:sz w:val="32"/>
          <w:szCs w:val="32"/>
        </w:rPr>
      </w:pPr>
    </w:p>
    <w:p w14:paraId="1E2E32CE">
      <w:pPr>
        <w:rPr>
          <w:rFonts w:ascii="宋体"/>
          <w:b/>
          <w:sz w:val="32"/>
          <w:szCs w:val="32"/>
        </w:rPr>
      </w:pPr>
    </w:p>
    <w:p w14:paraId="7813F060">
      <w:pPr>
        <w:rPr>
          <w:rFonts w:ascii="宋体"/>
          <w:b/>
          <w:sz w:val="32"/>
          <w:szCs w:val="32"/>
        </w:rPr>
      </w:pPr>
    </w:p>
    <w:p w14:paraId="1E0869C4">
      <w:pPr>
        <w:rPr>
          <w:rFonts w:ascii="宋体"/>
          <w:b/>
          <w:sz w:val="32"/>
          <w:szCs w:val="32"/>
        </w:rPr>
      </w:pPr>
    </w:p>
    <w:p w14:paraId="3F989C54">
      <w:pPr>
        <w:rPr>
          <w:rFonts w:ascii="宋体"/>
          <w:b/>
          <w:sz w:val="32"/>
          <w:szCs w:val="32"/>
        </w:rPr>
      </w:pPr>
    </w:p>
    <w:p w14:paraId="2AE97B12">
      <w:pPr>
        <w:rPr>
          <w:rFonts w:ascii="宋体"/>
          <w:b/>
          <w:sz w:val="32"/>
          <w:szCs w:val="32"/>
        </w:rPr>
      </w:pPr>
    </w:p>
    <w:p w14:paraId="3F92F983">
      <w:pPr>
        <w:rPr>
          <w:rFonts w:ascii="宋体"/>
          <w:b/>
          <w:sz w:val="32"/>
          <w:szCs w:val="32"/>
        </w:rPr>
      </w:pPr>
    </w:p>
    <w:p w14:paraId="7C14A891">
      <w:pPr>
        <w:ind w:firstLine="480"/>
      </w:pPr>
    </w:p>
    <w:p w14:paraId="68AF3B9F">
      <w:pPr>
        <w:spacing w:before="156" w:beforeLines="50" w:after="156" w:afterLines="50"/>
        <w:ind w:firstLine="643"/>
        <w:jc w:val="center"/>
        <w:outlineLvl w:val="0"/>
        <w:rPr>
          <w:rFonts w:ascii="宋体"/>
          <w:b/>
          <w:sz w:val="32"/>
          <w:szCs w:val="32"/>
        </w:rPr>
      </w:pPr>
      <w:r>
        <w:rPr>
          <w:rFonts w:hint="eastAsia" w:ascii="宋体"/>
          <w:b/>
          <w:sz w:val="32"/>
          <w:szCs w:val="32"/>
        </w:rPr>
        <w:t>第六章  投标文件格式</w:t>
      </w:r>
      <w:bookmarkEnd w:id="582"/>
      <w:bookmarkEnd w:id="583"/>
    </w:p>
    <w:p w14:paraId="04441823">
      <w:pPr>
        <w:ind w:firstLine="400"/>
        <w:rPr>
          <w:rFonts w:eastAsia="黑体"/>
          <w:sz w:val="20"/>
        </w:rPr>
      </w:pPr>
    </w:p>
    <w:p w14:paraId="32159F35">
      <w:pPr>
        <w:ind w:firstLine="880"/>
        <w:jc w:val="center"/>
        <w:rPr>
          <w:rFonts w:eastAsia="黑体"/>
          <w:sz w:val="44"/>
          <w:szCs w:val="44"/>
        </w:rPr>
      </w:pPr>
    </w:p>
    <w:p w14:paraId="2E940307">
      <w:pPr>
        <w:ind w:firstLine="562"/>
        <w:jc w:val="center"/>
        <w:rPr>
          <w:rFonts w:ascii="宋体" w:hAnsi="宋体"/>
          <w:b/>
          <w:sz w:val="28"/>
          <w:szCs w:val="28"/>
          <w:bdr w:val="single" w:color="000000" w:sz="4" w:space="0"/>
        </w:rPr>
      </w:pPr>
      <w:r>
        <w:rPr>
          <w:rFonts w:hint="eastAsia" w:ascii="宋体" w:hAnsi="宋体"/>
          <w:b/>
          <w:sz w:val="28"/>
          <w:szCs w:val="28"/>
        </w:rPr>
        <w:t>一、资信证明格式文件</w:t>
      </w:r>
    </w:p>
    <w:p w14:paraId="07458BC4">
      <w:pPr>
        <w:ind w:firstLine="400"/>
        <w:jc w:val="center"/>
        <w:rPr>
          <w:rFonts w:eastAsia="黑体"/>
          <w:sz w:val="20"/>
        </w:rPr>
      </w:pPr>
    </w:p>
    <w:p w14:paraId="119DFD8D">
      <w:pPr>
        <w:ind w:firstLine="400"/>
        <w:rPr>
          <w:rFonts w:eastAsia="黑体"/>
          <w:sz w:val="20"/>
        </w:rPr>
      </w:pPr>
    </w:p>
    <w:p w14:paraId="0061599C">
      <w:pPr>
        <w:ind w:firstLine="883"/>
        <w:jc w:val="center"/>
        <w:rPr>
          <w:rFonts w:ascii="宋体"/>
          <w:b/>
          <w:sz w:val="44"/>
          <w:szCs w:val="44"/>
        </w:rPr>
      </w:pPr>
      <w:bookmarkStart w:id="725" w:name="_Toc449028949"/>
      <w:bookmarkStart w:id="726" w:name="_Toc350698753"/>
      <w:r>
        <w:rPr>
          <w:rFonts w:hint="eastAsia" w:ascii="宋体"/>
          <w:b/>
          <w:sz w:val="44"/>
          <w:szCs w:val="44"/>
        </w:rPr>
        <w:t>资信证明文件</w:t>
      </w:r>
      <w:bookmarkEnd w:id="725"/>
      <w:bookmarkEnd w:id="726"/>
    </w:p>
    <w:p w14:paraId="39DD263F">
      <w:pPr>
        <w:ind w:firstLine="640"/>
        <w:jc w:val="center"/>
        <w:rPr>
          <w:rFonts w:ascii="宋体"/>
          <w:sz w:val="32"/>
          <w:szCs w:val="32"/>
        </w:rPr>
      </w:pPr>
      <w:r>
        <w:rPr>
          <w:rFonts w:hint="eastAsia" w:ascii="宋体"/>
          <w:sz w:val="32"/>
          <w:szCs w:val="32"/>
        </w:rPr>
        <w:t>（投标文件一）</w:t>
      </w:r>
    </w:p>
    <w:p w14:paraId="3D7F5C82">
      <w:pPr>
        <w:ind w:firstLine="880"/>
        <w:jc w:val="center"/>
        <w:rPr>
          <w:rFonts w:eastAsia="黑体"/>
          <w:sz w:val="44"/>
          <w:szCs w:val="44"/>
        </w:rPr>
      </w:pPr>
    </w:p>
    <w:p w14:paraId="3898416C">
      <w:pPr>
        <w:ind w:firstLine="640"/>
        <w:jc w:val="center"/>
        <w:rPr>
          <w:rFonts w:ascii="宋体"/>
          <w:sz w:val="32"/>
          <w:szCs w:val="32"/>
        </w:rPr>
      </w:pPr>
      <w:r>
        <w:rPr>
          <w:rFonts w:hint="eastAsia" w:ascii="宋体"/>
          <w:sz w:val="32"/>
          <w:szCs w:val="32"/>
          <w:u w:val="single"/>
        </w:rPr>
        <w:t xml:space="preserve">        </w:t>
      </w:r>
      <w:r>
        <w:rPr>
          <w:rFonts w:hint="eastAsia" w:ascii="宋体"/>
          <w:sz w:val="32"/>
          <w:szCs w:val="32"/>
        </w:rPr>
        <w:t>项目</w:t>
      </w:r>
    </w:p>
    <w:p w14:paraId="5E6FF8F4">
      <w:pPr>
        <w:ind w:firstLine="560"/>
        <w:jc w:val="center"/>
        <w:rPr>
          <w:rFonts w:ascii="宋体"/>
          <w:sz w:val="44"/>
          <w:szCs w:val="44"/>
        </w:rPr>
      </w:pPr>
      <w:r>
        <w:rPr>
          <w:rFonts w:hint="eastAsia" w:ascii="宋体"/>
          <w:sz w:val="28"/>
          <w:szCs w:val="28"/>
        </w:rPr>
        <w:t>项目编号：</w:t>
      </w:r>
      <w:r>
        <w:rPr>
          <w:rFonts w:hint="eastAsia" w:ascii="宋体"/>
          <w:sz w:val="28"/>
          <w:szCs w:val="28"/>
          <w:u w:val="single"/>
        </w:rPr>
        <w:t xml:space="preserve">     </w:t>
      </w:r>
    </w:p>
    <w:p w14:paraId="79F4DABF">
      <w:pPr>
        <w:ind w:firstLine="560"/>
        <w:rPr>
          <w:rFonts w:ascii="宋体"/>
          <w:sz w:val="28"/>
          <w:szCs w:val="28"/>
        </w:rPr>
      </w:pPr>
    </w:p>
    <w:p w14:paraId="0E0C9316">
      <w:pPr>
        <w:ind w:firstLine="560"/>
        <w:rPr>
          <w:rFonts w:ascii="宋体"/>
          <w:sz w:val="28"/>
          <w:szCs w:val="28"/>
        </w:rPr>
      </w:pPr>
    </w:p>
    <w:p w14:paraId="5EB521ED">
      <w:pPr>
        <w:ind w:firstLine="560"/>
        <w:rPr>
          <w:rFonts w:ascii="宋体"/>
          <w:sz w:val="28"/>
          <w:szCs w:val="28"/>
        </w:rPr>
      </w:pPr>
    </w:p>
    <w:p w14:paraId="5168390C">
      <w:pPr>
        <w:ind w:firstLine="560"/>
        <w:rPr>
          <w:rFonts w:ascii="宋体"/>
          <w:sz w:val="28"/>
          <w:szCs w:val="28"/>
        </w:rPr>
      </w:pPr>
    </w:p>
    <w:p w14:paraId="4B7F741D">
      <w:pPr>
        <w:ind w:firstLine="560"/>
        <w:rPr>
          <w:rFonts w:ascii="宋体"/>
          <w:sz w:val="28"/>
          <w:szCs w:val="28"/>
        </w:rPr>
      </w:pPr>
    </w:p>
    <w:p w14:paraId="638A8943">
      <w:pPr>
        <w:ind w:firstLine="560"/>
        <w:rPr>
          <w:rFonts w:ascii="宋体"/>
          <w:sz w:val="28"/>
          <w:szCs w:val="28"/>
        </w:rPr>
      </w:pPr>
    </w:p>
    <w:p w14:paraId="443DB63A">
      <w:pPr>
        <w:ind w:firstLine="560"/>
        <w:rPr>
          <w:rFonts w:ascii="宋体"/>
          <w:sz w:val="28"/>
          <w:szCs w:val="28"/>
        </w:rPr>
      </w:pPr>
    </w:p>
    <w:p w14:paraId="03A2E928">
      <w:pPr>
        <w:ind w:firstLine="560"/>
        <w:jc w:val="center"/>
        <w:rPr>
          <w:rFonts w:ascii="宋体"/>
          <w:sz w:val="28"/>
          <w:szCs w:val="28"/>
          <w:u w:val="single"/>
        </w:rPr>
      </w:pPr>
      <w:r>
        <w:rPr>
          <w:rFonts w:hint="eastAsia" w:ascii="宋体"/>
          <w:sz w:val="28"/>
          <w:szCs w:val="28"/>
        </w:rPr>
        <w:t>投标人：</w:t>
      </w:r>
      <w:r>
        <w:rPr>
          <w:rFonts w:hint="eastAsia" w:ascii="宋体"/>
          <w:sz w:val="28"/>
          <w:szCs w:val="28"/>
          <w:u w:val="single"/>
        </w:rPr>
        <w:t xml:space="preserve">                              </w:t>
      </w:r>
      <w:r>
        <w:rPr>
          <w:rFonts w:hint="eastAsia" w:ascii="宋体"/>
          <w:sz w:val="28"/>
          <w:szCs w:val="28"/>
        </w:rPr>
        <w:t>（盖单位章）</w:t>
      </w:r>
    </w:p>
    <w:p w14:paraId="638DDCE6">
      <w:pPr>
        <w:ind w:firstLine="560" w:firstLineChars="200"/>
        <w:rPr>
          <w:rFonts w:ascii="宋体"/>
          <w:sz w:val="28"/>
          <w:szCs w:val="28"/>
        </w:rPr>
      </w:pPr>
      <w:r>
        <w:rPr>
          <w:rFonts w:hint="eastAsia" w:ascii="宋体"/>
          <w:sz w:val="28"/>
          <w:szCs w:val="28"/>
        </w:rPr>
        <w:t>法定代表人：</w:t>
      </w:r>
      <w:r>
        <w:rPr>
          <w:rFonts w:hint="eastAsia" w:ascii="宋体"/>
          <w:sz w:val="28"/>
          <w:szCs w:val="28"/>
          <w:u w:val="single"/>
        </w:rPr>
        <w:t xml:space="preserve">                              </w:t>
      </w:r>
      <w:r>
        <w:rPr>
          <w:rFonts w:hint="eastAsia" w:ascii="宋体"/>
          <w:sz w:val="28"/>
          <w:szCs w:val="28"/>
        </w:rPr>
        <w:t>（签字或盖章）</w:t>
      </w:r>
    </w:p>
    <w:p w14:paraId="64B3F7BF">
      <w:pPr>
        <w:ind w:firstLine="560"/>
        <w:jc w:val="center"/>
        <w:rPr>
          <w:rFonts w:ascii="宋体"/>
          <w:sz w:val="28"/>
          <w:szCs w:val="28"/>
        </w:rPr>
      </w:pP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14:paraId="3F096EA3">
      <w:pPr>
        <w:spacing w:line="720" w:lineRule="auto"/>
        <w:ind w:firstLine="723"/>
        <w:jc w:val="center"/>
        <w:rPr>
          <w:rFonts w:ascii="宋体"/>
          <w:b/>
          <w:sz w:val="36"/>
          <w:szCs w:val="36"/>
        </w:rPr>
      </w:pPr>
    </w:p>
    <w:p w14:paraId="25955D3E">
      <w:pPr>
        <w:jc w:val="center"/>
        <w:rPr>
          <w:b/>
          <w:sz w:val="44"/>
          <w:szCs w:val="44"/>
        </w:rPr>
      </w:pPr>
      <w:r>
        <w:rPr>
          <w:rFonts w:hint="eastAsia"/>
          <w:b/>
          <w:sz w:val="36"/>
          <w:szCs w:val="36"/>
        </w:rPr>
        <w:t>目   录</w:t>
      </w:r>
    </w:p>
    <w:p w14:paraId="741D976A">
      <w:pPr>
        <w:spacing w:line="400" w:lineRule="exact"/>
        <w:ind w:firstLine="562" w:firstLineChars="200"/>
        <w:rPr>
          <w:rFonts w:ascii="宋体" w:hAnsi="宋体" w:cs="宋体"/>
          <w:b/>
          <w:sz w:val="28"/>
          <w:szCs w:val="28"/>
        </w:rPr>
      </w:pPr>
    </w:p>
    <w:p w14:paraId="67D9F7DC">
      <w:pPr>
        <w:spacing w:line="360" w:lineRule="auto"/>
        <w:ind w:firstLine="420" w:firstLineChars="200"/>
        <w:rPr>
          <w:rFonts w:ascii="宋体" w:hAnsi="宋体" w:cs="宋体"/>
          <w:szCs w:val="21"/>
        </w:rPr>
      </w:pPr>
      <w:r>
        <w:rPr>
          <w:rFonts w:hint="eastAsia" w:ascii="宋体" w:hAnsi="宋体" w:cs="宋体"/>
          <w:szCs w:val="21"/>
        </w:rPr>
        <w:t xml:space="preserve">（1）法定代表人身份证明及其有效身份证复印件（或法定代表人授权委托书及其有效身份证复印件）（格式见附件）；                                                                                                                                                                                                                                                                                                                                                                                                                                                                                                                                                                                                                                                                                                                                                                                                                                                                                                                                                                                                                                                                                                                                                                                                                                                                                                                                                                                                                                                                                                                                                                                                                                                                                        </w:t>
      </w:r>
    </w:p>
    <w:p w14:paraId="37C04EA4">
      <w:pPr>
        <w:spacing w:line="360" w:lineRule="auto"/>
        <w:ind w:firstLine="420" w:firstLineChars="200"/>
        <w:rPr>
          <w:rFonts w:ascii="宋体" w:hAnsi="宋体" w:cs="宋体"/>
          <w:szCs w:val="21"/>
        </w:rPr>
      </w:pPr>
      <w:r>
        <w:rPr>
          <w:rFonts w:hint="eastAsia" w:ascii="宋体" w:hAnsi="宋体" w:cs="宋体"/>
          <w:szCs w:val="21"/>
        </w:rPr>
        <w:t>（2）投标人有效的营业执照、税务登记证、组织机构代码证（或三合一证书）；</w:t>
      </w:r>
    </w:p>
    <w:p w14:paraId="7C5BF2D2">
      <w:pPr>
        <w:spacing w:line="360" w:lineRule="auto"/>
        <w:ind w:firstLine="420" w:firstLineChars="200"/>
        <w:rPr>
          <w:rFonts w:ascii="宋体" w:hAnsi="宋体" w:cs="宋体"/>
          <w:szCs w:val="21"/>
        </w:rPr>
      </w:pPr>
      <w:r>
        <w:rPr>
          <w:rFonts w:hint="eastAsia" w:ascii="宋体" w:hAnsi="宋体" w:cs="宋体"/>
          <w:szCs w:val="21"/>
        </w:rPr>
        <w:t>（3）诚信投标承诺书（格式见附件）；</w:t>
      </w:r>
    </w:p>
    <w:p w14:paraId="3C11D4ED">
      <w:pPr>
        <w:spacing w:line="360" w:lineRule="auto"/>
        <w:ind w:firstLine="420" w:firstLineChars="200"/>
        <w:rPr>
          <w:rFonts w:ascii="宋体" w:hAnsi="宋体" w:cs="宋体"/>
          <w:szCs w:val="21"/>
        </w:rPr>
      </w:pPr>
      <w:r>
        <w:rPr>
          <w:rFonts w:hint="eastAsia" w:ascii="宋体" w:hAnsi="宋体" w:cs="宋体"/>
          <w:szCs w:val="21"/>
        </w:rPr>
        <w:t>（4）投标人业绩要求</w:t>
      </w:r>
    </w:p>
    <w:p w14:paraId="734FF513">
      <w:pPr>
        <w:spacing w:line="360" w:lineRule="auto"/>
        <w:ind w:firstLine="420" w:firstLineChars="200"/>
        <w:rPr>
          <w:rFonts w:ascii="宋体" w:hAnsi="宋体" w:cs="宋体"/>
          <w:szCs w:val="21"/>
        </w:rPr>
      </w:pPr>
      <w:r>
        <w:rPr>
          <w:rFonts w:hint="eastAsia" w:ascii="宋体" w:hAnsi="宋体" w:cs="宋体"/>
          <w:szCs w:val="21"/>
        </w:rPr>
        <w:t>（5）具有《特种设备安装改造维修许可证》（电梯）或《特种设备生产许可证》（电梯）含修理</w:t>
      </w:r>
    </w:p>
    <w:p w14:paraId="17E1C656">
      <w:pPr>
        <w:spacing w:line="360" w:lineRule="auto"/>
        <w:ind w:firstLine="420" w:firstLineChars="200"/>
        <w:rPr>
          <w:rFonts w:ascii="宋体" w:hAnsi="宋体" w:cs="宋体"/>
          <w:szCs w:val="21"/>
        </w:rPr>
      </w:pPr>
      <w:r>
        <w:rPr>
          <w:rFonts w:hint="eastAsia" w:ascii="宋体" w:hAnsi="宋体" w:cs="宋体"/>
          <w:szCs w:val="21"/>
        </w:rPr>
        <w:t>（6）招标文件中要求的资信评审和资信评分的支持资料；</w:t>
      </w:r>
    </w:p>
    <w:p w14:paraId="4BD4EAFA">
      <w:pPr>
        <w:spacing w:line="360" w:lineRule="auto"/>
        <w:ind w:firstLine="420" w:firstLineChars="200"/>
        <w:rPr>
          <w:rFonts w:ascii="宋体" w:hAnsi="宋体" w:cs="宋体"/>
          <w:szCs w:val="21"/>
        </w:rPr>
      </w:pPr>
      <w:r>
        <w:rPr>
          <w:rFonts w:hint="eastAsia" w:ascii="宋体" w:hAnsi="宋体" w:cs="宋体"/>
          <w:szCs w:val="21"/>
        </w:rPr>
        <w:t>（7）投标人认为需要提供的其他资信证明材料。</w:t>
      </w:r>
    </w:p>
    <w:p w14:paraId="37148DCA">
      <w:pPr>
        <w:spacing w:line="360" w:lineRule="auto"/>
        <w:ind w:firstLine="420" w:firstLineChars="200"/>
        <w:rPr>
          <w:rFonts w:ascii="宋体" w:hAnsi="宋体" w:cs="宋体"/>
          <w:szCs w:val="21"/>
        </w:rPr>
      </w:pPr>
    </w:p>
    <w:p w14:paraId="3D36DE63">
      <w:pPr>
        <w:spacing w:line="360" w:lineRule="auto"/>
        <w:ind w:firstLine="420" w:firstLineChars="200"/>
        <w:rPr>
          <w:rFonts w:hAnsi="宋体"/>
          <w:szCs w:val="21"/>
        </w:rPr>
      </w:pPr>
    </w:p>
    <w:p w14:paraId="4220438B">
      <w:pPr>
        <w:spacing w:line="400" w:lineRule="exact"/>
        <w:ind w:firstLine="562" w:firstLineChars="200"/>
        <w:rPr>
          <w:b/>
          <w:sz w:val="28"/>
          <w:szCs w:val="28"/>
        </w:rPr>
      </w:pPr>
    </w:p>
    <w:p w14:paraId="0E867AB2">
      <w:pPr>
        <w:spacing w:line="400" w:lineRule="exact"/>
        <w:ind w:firstLine="562" w:firstLineChars="200"/>
        <w:rPr>
          <w:b/>
          <w:sz w:val="28"/>
          <w:szCs w:val="28"/>
        </w:rPr>
      </w:pPr>
    </w:p>
    <w:p w14:paraId="24A34B9B">
      <w:pPr>
        <w:spacing w:line="400" w:lineRule="exact"/>
        <w:ind w:firstLine="562" w:firstLineChars="200"/>
        <w:rPr>
          <w:b/>
          <w:sz w:val="28"/>
          <w:szCs w:val="28"/>
        </w:rPr>
      </w:pPr>
    </w:p>
    <w:p w14:paraId="5D974F59">
      <w:pPr>
        <w:spacing w:line="400" w:lineRule="exact"/>
        <w:ind w:firstLine="562" w:firstLineChars="200"/>
        <w:rPr>
          <w:b/>
          <w:sz w:val="28"/>
          <w:szCs w:val="28"/>
        </w:rPr>
      </w:pPr>
    </w:p>
    <w:p w14:paraId="5EA7B14A">
      <w:pPr>
        <w:spacing w:line="400" w:lineRule="exact"/>
        <w:ind w:firstLine="562" w:firstLineChars="200"/>
        <w:rPr>
          <w:b/>
          <w:sz w:val="28"/>
          <w:szCs w:val="28"/>
        </w:rPr>
      </w:pPr>
    </w:p>
    <w:p w14:paraId="3EECA7A1">
      <w:pPr>
        <w:spacing w:line="400" w:lineRule="exact"/>
        <w:ind w:firstLine="562" w:firstLineChars="200"/>
        <w:rPr>
          <w:b/>
          <w:sz w:val="28"/>
          <w:szCs w:val="28"/>
        </w:rPr>
      </w:pPr>
    </w:p>
    <w:p w14:paraId="4FDE9231">
      <w:pPr>
        <w:spacing w:line="400" w:lineRule="exact"/>
        <w:ind w:firstLine="562"/>
        <w:rPr>
          <w:b/>
          <w:sz w:val="28"/>
          <w:szCs w:val="28"/>
        </w:rPr>
        <w:sectPr>
          <w:headerReference r:id="rId6" w:type="default"/>
          <w:footerReference r:id="rId7" w:type="default"/>
          <w:pgSz w:w="11906" w:h="16838"/>
          <w:pgMar w:top="1440" w:right="1080" w:bottom="1440" w:left="1080" w:header="851" w:footer="992" w:gutter="0"/>
          <w:cols w:space="720" w:num="1"/>
          <w:docGrid w:type="lines" w:linePitch="312" w:charSpace="0"/>
        </w:sectPr>
      </w:pPr>
    </w:p>
    <w:p w14:paraId="1C688503">
      <w:pPr>
        <w:spacing w:line="360" w:lineRule="auto"/>
        <w:ind w:firstLine="562"/>
        <w:rPr>
          <w:b/>
          <w:sz w:val="28"/>
          <w:szCs w:val="28"/>
        </w:rPr>
      </w:pPr>
      <w:r>
        <w:rPr>
          <w:rFonts w:hint="eastAsia"/>
          <w:b/>
          <w:sz w:val="28"/>
          <w:szCs w:val="28"/>
        </w:rPr>
        <w:t>附件1</w:t>
      </w:r>
    </w:p>
    <w:p w14:paraId="0B88A0F1">
      <w:pPr>
        <w:spacing w:line="360" w:lineRule="auto"/>
        <w:ind w:left="720" w:firstLine="562"/>
        <w:jc w:val="center"/>
        <w:rPr>
          <w:rFonts w:ascii="宋体"/>
          <w:b/>
          <w:sz w:val="28"/>
          <w:szCs w:val="28"/>
        </w:rPr>
      </w:pPr>
      <w:r>
        <w:rPr>
          <w:rFonts w:hint="eastAsia"/>
          <w:b/>
          <w:sz w:val="28"/>
          <w:szCs w:val="28"/>
        </w:rPr>
        <w:t>法定代表人身份证明或授权委托书</w:t>
      </w:r>
    </w:p>
    <w:p w14:paraId="39C3062D">
      <w:pPr>
        <w:pStyle w:val="224"/>
        <w:spacing w:before="312" w:beforeLines="100" w:after="312" w:afterLines="100" w:line="480" w:lineRule="exact"/>
        <w:ind w:firstLine="180" w:firstLineChars="75"/>
        <w:rPr>
          <w:rFonts w:ascii="宋体"/>
          <w:b/>
          <w:color w:val="auto"/>
          <w:sz w:val="24"/>
          <w:szCs w:val="24"/>
        </w:rPr>
      </w:pPr>
      <w:r>
        <w:rPr>
          <w:rFonts w:hint="eastAsia" w:ascii="宋体"/>
          <w:color w:val="auto"/>
          <w:sz w:val="24"/>
          <w:szCs w:val="24"/>
        </w:rPr>
        <w:t>1.法定代表人身份证明</w:t>
      </w:r>
    </w:p>
    <w:p w14:paraId="5A8415D4">
      <w:pPr>
        <w:spacing w:line="480" w:lineRule="exact"/>
        <w:ind w:firstLine="480" w:firstLineChars="200"/>
        <w:rPr>
          <w:rFonts w:ascii="宋体"/>
          <w:sz w:val="24"/>
        </w:rPr>
      </w:pPr>
      <w:r>
        <w:rPr>
          <w:rFonts w:hint="eastAsia" w:ascii="宋体"/>
          <w:sz w:val="24"/>
        </w:rPr>
        <w:t>投标人名称：</w:t>
      </w:r>
      <w:r>
        <w:rPr>
          <w:rFonts w:hint="eastAsia" w:ascii="宋体"/>
          <w:sz w:val="24"/>
          <w:u w:val="single"/>
        </w:rPr>
        <w:t xml:space="preserve">                                </w:t>
      </w:r>
      <w:r>
        <w:rPr>
          <w:rFonts w:hint="eastAsia" w:ascii="宋体"/>
          <w:sz w:val="24"/>
        </w:rPr>
        <w:t xml:space="preserve"> </w:t>
      </w:r>
    </w:p>
    <w:p w14:paraId="48B79B9B">
      <w:pPr>
        <w:spacing w:line="480" w:lineRule="exact"/>
        <w:ind w:firstLine="480" w:firstLineChars="200"/>
        <w:rPr>
          <w:rFonts w:ascii="宋体"/>
          <w:sz w:val="24"/>
        </w:rPr>
      </w:pPr>
      <w:r>
        <w:rPr>
          <w:rFonts w:hint="eastAsia" w:ascii="宋体"/>
          <w:sz w:val="24"/>
        </w:rPr>
        <w:t xml:space="preserve">单位性质： </w:t>
      </w:r>
      <w:r>
        <w:rPr>
          <w:rFonts w:hint="eastAsia" w:ascii="宋体"/>
          <w:sz w:val="24"/>
          <w:u w:val="single"/>
        </w:rPr>
        <w:t xml:space="preserve">                                  </w:t>
      </w:r>
      <w:r>
        <w:rPr>
          <w:rFonts w:hint="eastAsia" w:ascii="宋体"/>
          <w:sz w:val="24"/>
        </w:rPr>
        <w:t xml:space="preserve"> </w:t>
      </w:r>
    </w:p>
    <w:p w14:paraId="48089A52">
      <w:pPr>
        <w:spacing w:line="480" w:lineRule="exact"/>
        <w:ind w:firstLine="480" w:firstLineChars="200"/>
        <w:rPr>
          <w:rFonts w:ascii="宋体"/>
          <w:sz w:val="24"/>
        </w:rPr>
      </w:pPr>
      <w:r>
        <w:rPr>
          <w:rFonts w:hint="eastAsia" w:ascii="宋体"/>
          <w:sz w:val="24"/>
        </w:rPr>
        <w:t>地    址：</w:t>
      </w:r>
      <w:r>
        <w:rPr>
          <w:rFonts w:hint="eastAsia" w:ascii="宋体"/>
          <w:sz w:val="24"/>
          <w:u w:val="single"/>
        </w:rPr>
        <w:t xml:space="preserve">                                   </w:t>
      </w:r>
      <w:r>
        <w:rPr>
          <w:rFonts w:hint="eastAsia" w:ascii="宋体"/>
          <w:sz w:val="24"/>
        </w:rPr>
        <w:t xml:space="preserve"> </w:t>
      </w:r>
    </w:p>
    <w:p w14:paraId="165DBEA8">
      <w:pPr>
        <w:spacing w:line="480" w:lineRule="exact"/>
        <w:ind w:firstLine="480" w:firstLineChars="200"/>
        <w:rPr>
          <w:rFonts w:ascii="宋体"/>
          <w:sz w:val="24"/>
        </w:rPr>
      </w:pPr>
      <w:r>
        <w:rPr>
          <w:rFonts w:hint="eastAsia" w:ascii="宋体"/>
          <w:sz w:val="24"/>
        </w:rPr>
        <w:t>成立时间：</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39F7F087">
      <w:pPr>
        <w:spacing w:line="480" w:lineRule="exact"/>
        <w:ind w:firstLine="480" w:firstLineChars="200"/>
        <w:rPr>
          <w:rFonts w:ascii="宋体"/>
          <w:sz w:val="24"/>
        </w:rPr>
      </w:pPr>
      <w:r>
        <w:rPr>
          <w:rFonts w:hint="eastAsia" w:ascii="宋体"/>
          <w:sz w:val="24"/>
        </w:rPr>
        <w:t>经营期限：</w:t>
      </w:r>
      <w:r>
        <w:rPr>
          <w:rFonts w:hint="eastAsia" w:ascii="宋体"/>
          <w:sz w:val="24"/>
          <w:u w:val="single"/>
        </w:rPr>
        <w:t xml:space="preserve">                                </w:t>
      </w:r>
      <w:r>
        <w:rPr>
          <w:rFonts w:hint="eastAsia" w:ascii="宋体"/>
          <w:sz w:val="24"/>
        </w:rPr>
        <w:t xml:space="preserve"> </w:t>
      </w:r>
    </w:p>
    <w:p w14:paraId="0565A599">
      <w:pPr>
        <w:spacing w:line="480" w:lineRule="exact"/>
        <w:ind w:firstLine="720" w:firstLineChars="100"/>
        <w:rPr>
          <w:rFonts w:ascii="宋体"/>
          <w:sz w:val="24"/>
        </w:rPr>
      </w:pPr>
      <w:r>
        <w:rPr>
          <w:rFonts w:hint="eastAsia" w:ascii="宋体"/>
          <w:spacing w:val="240"/>
          <w:sz w:val="24"/>
        </w:rPr>
        <w:t>姓</w:t>
      </w:r>
      <w:r>
        <w:rPr>
          <w:rFonts w:hint="eastAsia" w:ascii="宋体"/>
          <w:sz w:val="24"/>
        </w:rPr>
        <w:t>名：</w:t>
      </w:r>
      <w:r>
        <w:rPr>
          <w:rFonts w:hint="eastAsia" w:ascii="宋体"/>
          <w:sz w:val="24"/>
          <w:u w:val="single"/>
        </w:rPr>
        <w:t xml:space="preserve">           </w:t>
      </w:r>
      <w:r>
        <w:rPr>
          <w:rFonts w:hint="eastAsia" w:ascii="宋体"/>
          <w:sz w:val="24"/>
        </w:rPr>
        <w:t>性别：</w:t>
      </w:r>
      <w:r>
        <w:rPr>
          <w:rFonts w:hint="eastAsia" w:ascii="宋体"/>
          <w:sz w:val="24"/>
          <w:u w:val="single"/>
        </w:rPr>
        <w:t xml:space="preserve">        </w:t>
      </w:r>
      <w:r>
        <w:rPr>
          <w:rFonts w:hint="eastAsia" w:ascii="宋体"/>
          <w:sz w:val="24"/>
        </w:rPr>
        <w:t>年龄：</w:t>
      </w:r>
      <w:r>
        <w:rPr>
          <w:rFonts w:hint="eastAsia" w:ascii="宋体"/>
          <w:sz w:val="24"/>
          <w:u w:val="single"/>
        </w:rPr>
        <w:t xml:space="preserve">    </w:t>
      </w:r>
      <w:r>
        <w:rPr>
          <w:rFonts w:hint="eastAsia" w:ascii="宋体"/>
          <w:sz w:val="24"/>
        </w:rPr>
        <w:t>职务：</w:t>
      </w:r>
      <w:r>
        <w:rPr>
          <w:rFonts w:hint="eastAsia" w:ascii="宋体"/>
          <w:sz w:val="24"/>
          <w:u w:val="single"/>
        </w:rPr>
        <w:t xml:space="preserve">       </w:t>
      </w:r>
      <w:r>
        <w:rPr>
          <w:rFonts w:hint="eastAsia" w:ascii="宋体"/>
          <w:sz w:val="24"/>
        </w:rPr>
        <w:t>_</w:t>
      </w:r>
    </w:p>
    <w:p w14:paraId="2533127F">
      <w:pPr>
        <w:spacing w:line="480" w:lineRule="exact"/>
        <w:ind w:firstLine="480" w:firstLineChars="200"/>
        <w:rPr>
          <w:rFonts w:ascii="宋体"/>
          <w:sz w:val="24"/>
        </w:rPr>
      </w:pPr>
      <w:r>
        <w:rPr>
          <w:rFonts w:hint="eastAsia" w:ascii="宋体"/>
          <w:sz w:val="24"/>
        </w:rPr>
        <w:t>系</w:t>
      </w:r>
      <w:r>
        <w:rPr>
          <w:rFonts w:hint="eastAsia" w:ascii="宋体"/>
          <w:sz w:val="24"/>
          <w:u w:val="single"/>
        </w:rPr>
        <w:t xml:space="preserve">                                </w:t>
      </w:r>
      <w:r>
        <w:rPr>
          <w:rFonts w:hint="eastAsia" w:ascii="宋体"/>
          <w:sz w:val="24"/>
        </w:rPr>
        <w:t>（投标人名称）的法定代表人。</w:t>
      </w:r>
    </w:p>
    <w:p w14:paraId="11F8F7B8">
      <w:pPr>
        <w:spacing w:line="480" w:lineRule="exact"/>
        <w:ind w:firstLine="960" w:firstLineChars="400"/>
        <w:rPr>
          <w:rFonts w:ascii="宋体"/>
          <w:sz w:val="24"/>
        </w:rPr>
      </w:pPr>
      <w:r>
        <w:rPr>
          <w:rFonts w:hint="eastAsia" w:ascii="宋体"/>
          <w:sz w:val="24"/>
        </w:rPr>
        <w:t>特此证明。</w:t>
      </w:r>
    </w:p>
    <w:p w14:paraId="0148BA01">
      <w:pPr>
        <w:spacing w:line="360" w:lineRule="auto"/>
        <w:ind w:firstLine="3480" w:firstLineChars="1450"/>
        <w:rPr>
          <w:rFonts w:ascii="宋体"/>
          <w:sz w:val="24"/>
        </w:rPr>
      </w:pPr>
      <w:r>
        <w:rPr>
          <w:rFonts w:hint="eastAsia" w:ascii="宋体"/>
          <w:sz w:val="24"/>
        </w:rPr>
        <w:t>投标人：</w:t>
      </w:r>
      <w:r>
        <w:rPr>
          <w:rFonts w:hint="eastAsia" w:ascii="宋体"/>
          <w:sz w:val="24"/>
          <w:u w:val="single"/>
        </w:rPr>
        <w:t xml:space="preserve">                 </w:t>
      </w:r>
      <w:r>
        <w:rPr>
          <w:rFonts w:hint="eastAsia" w:ascii="宋体"/>
          <w:sz w:val="24"/>
        </w:rPr>
        <w:t>（盖单位章）</w:t>
      </w:r>
    </w:p>
    <w:p w14:paraId="4CE54B58">
      <w:pPr>
        <w:wordWrap w:val="0"/>
        <w:spacing w:line="360" w:lineRule="auto"/>
        <w:jc w:val="right"/>
      </w:pPr>
      <w:r>
        <w:rPr>
          <w:rFonts w:hint="eastAsia" w:ascii="宋体"/>
          <w:sz w:val="24"/>
        </w:rPr>
        <w:t xml:space="preserve">                                        </w:t>
      </w:r>
      <w:r>
        <w:rPr>
          <w:rFonts w:hint="eastAsia" w:ascii="宋体"/>
          <w:sz w:val="24"/>
          <w:u w:val="single"/>
        </w:rPr>
        <w:t xml:space="preserve">       </w:t>
      </w:r>
      <w:r>
        <w:rPr>
          <w:rFonts w:hint="eastAsia" w:ascii="宋体"/>
          <w:sz w:val="24"/>
        </w:rPr>
        <w:t xml:space="preserve">年 </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 xml:space="preserve">日  </w:t>
      </w:r>
    </w:p>
    <w:p w14:paraId="30515E55">
      <w:pPr>
        <w:pStyle w:val="224"/>
        <w:spacing w:before="312" w:beforeLines="100" w:after="312" w:afterLines="100" w:line="480" w:lineRule="exact"/>
        <w:ind w:firstLine="180" w:firstLineChars="75"/>
        <w:rPr>
          <w:rFonts w:ascii="宋体"/>
          <w:color w:val="auto"/>
          <w:sz w:val="24"/>
          <w:szCs w:val="24"/>
        </w:rPr>
      </w:pPr>
      <w:r>
        <w:rPr>
          <w:rFonts w:hint="eastAsia" w:ascii="宋体"/>
          <w:color w:val="auto"/>
          <w:sz w:val="24"/>
          <w:szCs w:val="24"/>
        </w:rPr>
        <w:t>2.授权委托书</w:t>
      </w:r>
    </w:p>
    <w:p w14:paraId="37CA2637">
      <w:pPr>
        <w:spacing w:line="480" w:lineRule="exact"/>
        <w:ind w:firstLine="480" w:firstLineChars="200"/>
        <w:rPr>
          <w:rFonts w:ascii="宋体"/>
          <w:sz w:val="24"/>
        </w:rPr>
      </w:pPr>
      <w:r>
        <w:rPr>
          <w:rFonts w:hint="eastAsia" w:ascii="宋体"/>
          <w:sz w:val="24"/>
        </w:rPr>
        <w:t xml:space="preserve">本人 </w:t>
      </w:r>
      <w:r>
        <w:rPr>
          <w:rFonts w:hint="eastAsia" w:ascii="宋体"/>
          <w:sz w:val="24"/>
          <w:u w:val="single"/>
        </w:rPr>
        <w:t xml:space="preserve">    </w:t>
      </w:r>
      <w:r>
        <w:rPr>
          <w:rFonts w:hint="eastAsia" w:ascii="宋体"/>
          <w:sz w:val="24"/>
        </w:rPr>
        <w:t>（姓名）系</w:t>
      </w:r>
      <w:r>
        <w:rPr>
          <w:rFonts w:hint="eastAsia" w:ascii="宋体"/>
          <w:sz w:val="24"/>
          <w:u w:val="single"/>
        </w:rPr>
        <w:t xml:space="preserve">       </w:t>
      </w:r>
      <w:r>
        <w:rPr>
          <w:rFonts w:hint="eastAsia" w:ascii="宋体"/>
          <w:sz w:val="24"/>
        </w:rPr>
        <w:t>（投标人）的法定代表人，现委托</w:t>
      </w:r>
      <w:r>
        <w:rPr>
          <w:rFonts w:hint="eastAsia" w:ascii="宋体"/>
          <w:sz w:val="24"/>
          <w:u w:val="single"/>
        </w:rPr>
        <w:t xml:space="preserve">   </w:t>
      </w:r>
      <w:r>
        <w:rPr>
          <w:rFonts w:hint="eastAsia" w:ascii="宋体"/>
          <w:sz w:val="24"/>
        </w:rPr>
        <w:t>（姓名）为我方代理人。代理人根据授权，以我方名义签署、澄清、说明、补正、递交、撤回、修改 “</w:t>
      </w:r>
      <w:r>
        <w:rPr>
          <w:rFonts w:hint="eastAsia" w:ascii="宋体"/>
          <w:sz w:val="24"/>
          <w:u w:val="single"/>
        </w:rPr>
        <w:t xml:space="preserve">      </w:t>
      </w:r>
      <w:r>
        <w:rPr>
          <w:rFonts w:hint="eastAsia" w:ascii="宋体"/>
          <w:sz w:val="24"/>
        </w:rPr>
        <w:t xml:space="preserve"> ”(项目名称、编号）招标文件，全权处理与该项目投标、评审答疑、签订合同以及与合同执行有关的一切事务，其法律后果由我方承担。</w:t>
      </w:r>
    </w:p>
    <w:p w14:paraId="70A0C5B8">
      <w:pPr>
        <w:spacing w:line="480" w:lineRule="exact"/>
        <w:ind w:firstLine="480" w:firstLineChars="200"/>
        <w:rPr>
          <w:rFonts w:ascii="宋体"/>
          <w:sz w:val="24"/>
        </w:rPr>
      </w:pPr>
      <w:r>
        <w:rPr>
          <w:rFonts w:hint="eastAsia" w:ascii="宋体"/>
          <w:sz w:val="24"/>
        </w:rPr>
        <w:t>委托期限：</w:t>
      </w:r>
      <w:r>
        <w:rPr>
          <w:rFonts w:hint="eastAsia" w:ascii="宋体"/>
          <w:sz w:val="24"/>
          <w:u w:val="single"/>
        </w:rPr>
        <w:t xml:space="preserve">      。</w:t>
      </w:r>
      <w:r>
        <w:rPr>
          <w:rFonts w:hint="eastAsia" w:ascii="宋体"/>
          <w:sz w:val="24"/>
        </w:rPr>
        <w:t xml:space="preserve">                                </w:t>
      </w:r>
    </w:p>
    <w:p w14:paraId="56174E4C">
      <w:pPr>
        <w:spacing w:line="480" w:lineRule="exact"/>
        <w:ind w:firstLine="480" w:firstLineChars="200"/>
        <w:rPr>
          <w:rFonts w:ascii="宋体"/>
          <w:sz w:val="24"/>
        </w:rPr>
      </w:pPr>
      <w:r>
        <w:rPr>
          <w:rFonts w:hint="eastAsia" w:ascii="宋体"/>
          <w:sz w:val="24"/>
        </w:rPr>
        <w:t>代理人无转委托权。</w:t>
      </w:r>
    </w:p>
    <w:p w14:paraId="5DD8545E">
      <w:pPr>
        <w:spacing w:line="480" w:lineRule="exact"/>
        <w:ind w:firstLine="482" w:firstLineChars="200"/>
        <w:rPr>
          <w:rFonts w:ascii="宋体"/>
          <w:b/>
          <w:bCs/>
          <w:sz w:val="24"/>
        </w:rPr>
      </w:pPr>
      <w:r>
        <w:rPr>
          <w:rFonts w:hint="eastAsia" w:ascii="宋体"/>
          <w:b/>
          <w:bCs/>
          <w:sz w:val="24"/>
        </w:rPr>
        <w:t>附：授权委托人有效身份证及法定代表人有效身份证</w:t>
      </w:r>
    </w:p>
    <w:p w14:paraId="2A099382">
      <w:pPr>
        <w:spacing w:line="480" w:lineRule="exact"/>
        <w:ind w:firstLine="2280" w:firstLineChars="950"/>
        <w:rPr>
          <w:rFonts w:ascii="宋体"/>
          <w:sz w:val="24"/>
        </w:rPr>
      </w:pPr>
      <w:r>
        <w:rPr>
          <w:rFonts w:hint="eastAsia" w:ascii="宋体"/>
          <w:sz w:val="24"/>
        </w:rPr>
        <w:t xml:space="preserve">                 投标人：             （盖单位章）</w:t>
      </w:r>
    </w:p>
    <w:p w14:paraId="15F3FB84">
      <w:pPr>
        <w:spacing w:line="480" w:lineRule="exact"/>
        <w:jc w:val="right"/>
        <w:rPr>
          <w:rFonts w:ascii="宋体"/>
          <w:sz w:val="24"/>
        </w:rPr>
      </w:pPr>
      <w:r>
        <w:rPr>
          <w:rFonts w:hint="eastAsia" w:ascii="宋体"/>
          <w:sz w:val="24"/>
        </w:rPr>
        <w:t>法定代表人（身份证号码）：             （签字或盖章）</w:t>
      </w:r>
    </w:p>
    <w:p w14:paraId="16BFF4AB">
      <w:pPr>
        <w:spacing w:line="480" w:lineRule="exact"/>
        <w:ind w:firstLine="2820" w:firstLineChars="1175"/>
        <w:rPr>
          <w:rFonts w:ascii="宋体"/>
          <w:sz w:val="24"/>
        </w:rPr>
      </w:pPr>
      <w:r>
        <w:rPr>
          <w:rFonts w:hint="eastAsia" w:ascii="宋体"/>
          <w:sz w:val="24"/>
        </w:rPr>
        <w:t xml:space="preserve">              年    月    日</w:t>
      </w:r>
    </w:p>
    <w:p w14:paraId="039B2012">
      <w:pPr>
        <w:spacing w:line="360" w:lineRule="exact"/>
        <w:ind w:firstLine="413" w:firstLineChars="147"/>
        <w:rPr>
          <w:b/>
          <w:sz w:val="28"/>
          <w:szCs w:val="28"/>
          <w:u w:val="single"/>
        </w:rPr>
      </w:pPr>
    </w:p>
    <w:p w14:paraId="39C54D59">
      <w:pPr>
        <w:spacing w:line="360" w:lineRule="exact"/>
        <w:ind w:firstLine="413" w:firstLineChars="147"/>
        <w:rPr>
          <w:b/>
          <w:sz w:val="28"/>
          <w:szCs w:val="28"/>
          <w:u w:val="single"/>
        </w:rPr>
      </w:pPr>
    </w:p>
    <w:p w14:paraId="354E7382">
      <w:pPr>
        <w:spacing w:line="360" w:lineRule="exact"/>
        <w:ind w:firstLine="443" w:firstLineChars="147"/>
        <w:rPr>
          <w:rFonts w:ascii="宋体"/>
          <w:b/>
          <w:sz w:val="30"/>
          <w:szCs w:val="30"/>
        </w:rPr>
      </w:pPr>
      <w:r>
        <w:rPr>
          <w:rFonts w:hint="eastAsia" w:ascii="宋体"/>
          <w:b/>
          <w:sz w:val="30"/>
          <w:szCs w:val="30"/>
        </w:rPr>
        <w:t>附件2</w:t>
      </w:r>
    </w:p>
    <w:p w14:paraId="100697CD">
      <w:pPr>
        <w:spacing w:line="360" w:lineRule="auto"/>
        <w:ind w:firstLine="562"/>
        <w:jc w:val="center"/>
        <w:rPr>
          <w:b/>
          <w:sz w:val="28"/>
          <w:szCs w:val="28"/>
        </w:rPr>
      </w:pPr>
      <w:bookmarkStart w:id="727" w:name="_Toc449028950"/>
      <w:bookmarkStart w:id="728" w:name="_Toc440443268"/>
      <w:r>
        <w:rPr>
          <w:rFonts w:hint="eastAsia"/>
          <w:b/>
          <w:sz w:val="28"/>
          <w:szCs w:val="28"/>
        </w:rPr>
        <w:t>诚信投标承诺书 </w:t>
      </w:r>
    </w:p>
    <w:p w14:paraId="78F8D413">
      <w:pPr>
        <w:spacing w:line="500" w:lineRule="exact"/>
        <w:ind w:firstLine="420" w:firstLineChars="200"/>
        <w:rPr>
          <w:rFonts w:ascii="宋体" w:hAnsi="宋体"/>
          <w:szCs w:val="21"/>
        </w:rPr>
      </w:pPr>
      <w:r>
        <w:rPr>
          <w:rFonts w:hint="eastAsia" w:ascii="宋体" w:hAnsi="宋体"/>
          <w:szCs w:val="21"/>
        </w:rPr>
        <w:t>本人以企业法定代表人的身份郑重承诺：</w:t>
      </w:r>
    </w:p>
    <w:p w14:paraId="59F3DCF0">
      <w:pPr>
        <w:spacing w:line="500" w:lineRule="exact"/>
        <w:ind w:firstLine="420" w:firstLineChars="200"/>
        <w:rPr>
          <w:rFonts w:ascii="宋体" w:hAnsi="宋体"/>
          <w:szCs w:val="21"/>
        </w:rPr>
      </w:pPr>
      <w:r>
        <w:rPr>
          <w:rFonts w:hint="eastAsia" w:ascii="宋体" w:hAnsi="宋体"/>
          <w:szCs w:val="21"/>
        </w:rPr>
        <w:t>一、将遵循公开、公正和诚实信用的原则自愿参加</w:t>
      </w:r>
      <w:r>
        <w:rPr>
          <w:rFonts w:hint="eastAsia" w:ascii="宋体" w:hAnsi="宋体"/>
          <w:szCs w:val="21"/>
          <w:u w:val="single"/>
        </w:rPr>
        <w:t xml:space="preserve">                   </w:t>
      </w:r>
      <w:r>
        <w:rPr>
          <w:rFonts w:hint="eastAsia" w:ascii="宋体" w:hAnsi="宋体"/>
          <w:szCs w:val="21"/>
        </w:rPr>
        <w:t>项目的投标，所提供的一切材料都是真实、有效、合法的；</w:t>
      </w:r>
    </w:p>
    <w:p w14:paraId="3C847C10">
      <w:pPr>
        <w:spacing w:line="500" w:lineRule="exact"/>
        <w:ind w:firstLine="420" w:firstLineChars="200"/>
        <w:rPr>
          <w:rFonts w:ascii="宋体" w:hAnsi="宋体"/>
          <w:szCs w:val="21"/>
        </w:rPr>
      </w:pPr>
      <w:r>
        <w:rPr>
          <w:rFonts w:hint="eastAsia" w:ascii="宋体" w:hAnsi="宋体"/>
          <w:szCs w:val="21"/>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参加招投标活动前三年内，本单位在经营活动中没有重大违法记录，没有因违法经营受到刑事处罚或者责令停产停业、吊销许可证或者执照、较大数额罚款等行政处罚。</w:t>
      </w:r>
    </w:p>
    <w:p w14:paraId="4348091D">
      <w:pPr>
        <w:spacing w:line="500" w:lineRule="exact"/>
        <w:ind w:firstLine="420" w:firstLineChars="200"/>
        <w:rPr>
          <w:rFonts w:ascii="宋体" w:hAnsi="宋体"/>
          <w:szCs w:val="21"/>
        </w:rPr>
      </w:pPr>
      <w:r>
        <w:rPr>
          <w:rFonts w:hint="eastAsia" w:ascii="宋体" w:hAnsi="宋体"/>
          <w:szCs w:val="21"/>
        </w:rPr>
        <w:t>三、不出借、转让资质证书，不让他人挂靠投标，不以他人名义投标或者以其他方式弄虚作假，骗取中标；</w:t>
      </w:r>
    </w:p>
    <w:p w14:paraId="41627495">
      <w:pPr>
        <w:spacing w:line="500" w:lineRule="exact"/>
        <w:ind w:firstLine="420" w:firstLineChars="200"/>
        <w:rPr>
          <w:rFonts w:ascii="宋体" w:hAnsi="宋体"/>
          <w:szCs w:val="21"/>
        </w:rPr>
      </w:pPr>
      <w:r>
        <w:rPr>
          <w:rFonts w:hint="eastAsia" w:ascii="宋体" w:hAnsi="宋体"/>
          <w:szCs w:val="21"/>
        </w:rPr>
        <w:t>四、不与其他投标人相互串通投标报价，不排挤其他投标人的公平竞争、损害采购人的合法权益；</w:t>
      </w:r>
    </w:p>
    <w:p w14:paraId="63584B50">
      <w:pPr>
        <w:spacing w:line="500" w:lineRule="exact"/>
        <w:ind w:firstLine="420" w:firstLineChars="200"/>
        <w:rPr>
          <w:rFonts w:ascii="宋体" w:hAnsi="宋体"/>
          <w:szCs w:val="21"/>
        </w:rPr>
      </w:pPr>
      <w:r>
        <w:rPr>
          <w:rFonts w:hint="eastAsia" w:ascii="宋体" w:hAnsi="宋体"/>
          <w:szCs w:val="21"/>
        </w:rPr>
        <w:t>五、不与采购人、招标代理机构或其他投标人串通投标，损害国家利益、社会公共利益或者他人的合法权益；</w:t>
      </w:r>
    </w:p>
    <w:p w14:paraId="24AE7AD8">
      <w:pPr>
        <w:spacing w:line="500" w:lineRule="exact"/>
        <w:ind w:firstLine="420" w:firstLineChars="200"/>
        <w:rPr>
          <w:rFonts w:ascii="宋体" w:hAnsi="宋体"/>
          <w:szCs w:val="21"/>
        </w:rPr>
      </w:pPr>
      <w:r>
        <w:rPr>
          <w:rFonts w:hint="eastAsia" w:ascii="宋体" w:hAnsi="宋体"/>
          <w:szCs w:val="21"/>
        </w:rPr>
        <w:t>六、我公司没有下列情形：1、被人民法院列入失信被执行人的；2、我公司及其法定代表人、拟任项目经理（建造师）前三年有行贿犯罪行为的；3、被市场监督管理部门列入经营异常名录或者严重违法企业名单的；4、被税务部门列入重大税收违法案件当事人的；5、被监管部门列入严重违法失信行为记录名单的；6、在“信用中国”网站上披露仍在公示期的严重失信行为的；7、参与招投标活动前3年在经营活动中有重大违法记录的。</w:t>
      </w:r>
    </w:p>
    <w:p w14:paraId="04D2C220">
      <w:pPr>
        <w:spacing w:line="500" w:lineRule="exact"/>
        <w:ind w:firstLine="420" w:firstLineChars="200"/>
        <w:rPr>
          <w:rFonts w:ascii="宋体" w:hAnsi="宋体"/>
          <w:szCs w:val="21"/>
        </w:rPr>
      </w:pPr>
      <w:r>
        <w:rPr>
          <w:rFonts w:hint="eastAsia" w:ascii="宋体" w:hAnsi="宋体"/>
          <w:szCs w:val="21"/>
        </w:rPr>
        <w:t>七、严格遵守开标现场纪律，服从监管人员管理；</w:t>
      </w:r>
    </w:p>
    <w:p w14:paraId="49ACA2A5">
      <w:pPr>
        <w:spacing w:line="500" w:lineRule="exact"/>
        <w:ind w:firstLine="420" w:firstLineChars="200"/>
        <w:rPr>
          <w:rFonts w:ascii="宋体" w:hAnsi="宋体"/>
          <w:szCs w:val="21"/>
        </w:rPr>
      </w:pPr>
      <w:r>
        <w:rPr>
          <w:rFonts w:hint="eastAsia" w:ascii="宋体" w:hAnsi="宋体"/>
          <w:szCs w:val="21"/>
        </w:rPr>
        <w:t>八、保证中标后不转包，若有分包征得采购人同意；</w:t>
      </w:r>
    </w:p>
    <w:p w14:paraId="270B3B4B">
      <w:pPr>
        <w:spacing w:line="500" w:lineRule="exact"/>
        <w:ind w:firstLine="420" w:firstLineChars="200"/>
        <w:rPr>
          <w:rFonts w:ascii="宋体" w:hAnsi="宋体"/>
          <w:szCs w:val="21"/>
        </w:rPr>
      </w:pPr>
      <w:r>
        <w:rPr>
          <w:rFonts w:hint="eastAsia" w:ascii="宋体" w:hAnsi="宋体"/>
          <w:szCs w:val="21"/>
        </w:rPr>
        <w:t>九、保证中标之后，按照投标文件要求提供相关后续服务；</w:t>
      </w:r>
    </w:p>
    <w:p w14:paraId="506E8B18">
      <w:pPr>
        <w:spacing w:line="500" w:lineRule="exact"/>
        <w:ind w:firstLine="420" w:firstLineChars="200"/>
        <w:rPr>
          <w:rFonts w:ascii="宋体" w:hAnsi="宋体"/>
          <w:szCs w:val="21"/>
        </w:rPr>
      </w:pPr>
      <w:r>
        <w:rPr>
          <w:rFonts w:hint="eastAsia" w:ascii="宋体" w:hAnsi="宋体"/>
          <w:szCs w:val="21"/>
        </w:rPr>
        <w:t>十、保证企业及所属相关人员在本次投标中无行贿等犯罪行为；</w:t>
      </w:r>
    </w:p>
    <w:p w14:paraId="4023A062">
      <w:pPr>
        <w:spacing w:line="500" w:lineRule="exact"/>
        <w:ind w:firstLine="420" w:firstLineChars="200"/>
        <w:rPr>
          <w:rFonts w:ascii="宋体" w:hAnsi="宋体"/>
          <w:szCs w:val="21"/>
        </w:rPr>
      </w:pPr>
      <w:r>
        <w:rPr>
          <w:rFonts w:hint="eastAsia" w:ascii="宋体" w:hAnsi="宋体"/>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72B56863">
      <w:pPr>
        <w:spacing w:line="500" w:lineRule="exact"/>
        <w:ind w:firstLine="420" w:firstLineChars="200"/>
        <w:rPr>
          <w:rFonts w:ascii="宋体" w:hAnsi="宋体"/>
          <w:szCs w:val="21"/>
        </w:rPr>
      </w:pPr>
      <w:r>
        <w:rPr>
          <w:rFonts w:hint="eastAsia" w:ascii="宋体" w:hAnsi="宋体"/>
          <w:szCs w:val="21"/>
        </w:rPr>
        <w:t>以上内容我已仔细阅读，本公司若有违反承诺内容的行为，自愿接受取消投标或者中标资格、记入不良行为记录等有关处理，愿意承担法律责任，给采购人造成损失的，依法承担赔偿责任。</w:t>
      </w:r>
    </w:p>
    <w:p w14:paraId="60A5A1BD">
      <w:pPr>
        <w:spacing w:line="500" w:lineRule="exact"/>
        <w:ind w:firstLine="420" w:firstLineChars="200"/>
        <w:rPr>
          <w:rFonts w:ascii="宋体" w:hAnsi="宋体"/>
          <w:szCs w:val="21"/>
        </w:rPr>
      </w:pPr>
      <w:r>
        <w:rPr>
          <w:rFonts w:hint="eastAsia" w:ascii="宋体" w:hAnsi="宋体"/>
          <w:szCs w:val="21"/>
        </w:rPr>
        <w:t> </w:t>
      </w:r>
    </w:p>
    <w:p w14:paraId="1D39D812">
      <w:pPr>
        <w:spacing w:line="500" w:lineRule="exact"/>
        <w:ind w:firstLine="420" w:firstLineChars="200"/>
        <w:rPr>
          <w:rFonts w:ascii="宋体" w:hAnsi="宋体"/>
          <w:szCs w:val="21"/>
        </w:rPr>
      </w:pPr>
      <w:r>
        <w:rPr>
          <w:rFonts w:hint="eastAsia" w:ascii="宋体" w:hAnsi="宋体"/>
          <w:szCs w:val="21"/>
        </w:rPr>
        <w:t>开户银行：                          基本账户：</w:t>
      </w:r>
    </w:p>
    <w:p w14:paraId="3D575729">
      <w:pPr>
        <w:spacing w:line="500" w:lineRule="exact"/>
        <w:ind w:firstLine="420" w:firstLineChars="200"/>
        <w:rPr>
          <w:rFonts w:ascii="宋体" w:hAnsi="宋体"/>
          <w:szCs w:val="21"/>
        </w:rPr>
      </w:pPr>
      <w:r>
        <w:rPr>
          <w:rFonts w:hint="eastAsia" w:ascii="宋体" w:hAnsi="宋体"/>
          <w:szCs w:val="21"/>
        </w:rPr>
        <w:t>投标单位（盖单位章）：          法定代表人（签字或盖章）：</w:t>
      </w:r>
    </w:p>
    <w:p w14:paraId="6A24DC95">
      <w:pPr>
        <w:spacing w:line="500" w:lineRule="exact"/>
        <w:ind w:firstLine="420" w:firstLineChars="200"/>
        <w:rPr>
          <w:rFonts w:ascii="宋体" w:hAnsi="宋体"/>
          <w:szCs w:val="21"/>
        </w:rPr>
      </w:pPr>
    </w:p>
    <w:p w14:paraId="29069A0B">
      <w:pPr>
        <w:spacing w:line="360" w:lineRule="auto"/>
        <w:ind w:firstLine="480"/>
        <w:jc w:val="center"/>
        <w:rPr>
          <w:b/>
          <w:sz w:val="28"/>
          <w:szCs w:val="28"/>
        </w:rPr>
      </w:pP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hint="eastAsia" w:ascii="宋体" w:hAnsi="宋体"/>
          <w:szCs w:val="21"/>
        </w:rPr>
        <w:t>日</w:t>
      </w:r>
    </w:p>
    <w:p w14:paraId="6968CA23">
      <w:pPr>
        <w:spacing w:line="360" w:lineRule="auto"/>
        <w:ind w:firstLine="562"/>
        <w:jc w:val="center"/>
        <w:rPr>
          <w:b/>
          <w:sz w:val="28"/>
          <w:szCs w:val="28"/>
        </w:rPr>
      </w:pPr>
    </w:p>
    <w:p w14:paraId="2296B3FA">
      <w:pPr>
        <w:pStyle w:val="5"/>
        <w:ind w:firstLine="562"/>
      </w:pPr>
    </w:p>
    <w:p w14:paraId="399B6B49">
      <w:pPr>
        <w:ind w:firstLine="562"/>
        <w:rPr>
          <w:b/>
          <w:sz w:val="28"/>
          <w:szCs w:val="28"/>
        </w:rPr>
      </w:pPr>
    </w:p>
    <w:p w14:paraId="1B99D23E">
      <w:pPr>
        <w:pStyle w:val="5"/>
        <w:ind w:firstLine="562"/>
      </w:pPr>
    </w:p>
    <w:p w14:paraId="2DFC88C6">
      <w:pPr>
        <w:ind w:firstLine="562"/>
        <w:rPr>
          <w:b/>
          <w:sz w:val="28"/>
          <w:szCs w:val="28"/>
        </w:rPr>
      </w:pPr>
    </w:p>
    <w:p w14:paraId="34471A2E">
      <w:pPr>
        <w:pStyle w:val="5"/>
        <w:ind w:firstLine="562"/>
      </w:pPr>
    </w:p>
    <w:p w14:paraId="37752110">
      <w:pPr>
        <w:ind w:firstLine="562"/>
        <w:rPr>
          <w:b/>
          <w:sz w:val="28"/>
          <w:szCs w:val="28"/>
        </w:rPr>
      </w:pPr>
    </w:p>
    <w:p w14:paraId="58E5A209">
      <w:pPr>
        <w:pStyle w:val="5"/>
        <w:ind w:firstLine="562"/>
      </w:pPr>
    </w:p>
    <w:p w14:paraId="1008FC96">
      <w:pPr>
        <w:ind w:firstLine="562"/>
        <w:rPr>
          <w:b/>
          <w:sz w:val="28"/>
          <w:szCs w:val="28"/>
        </w:rPr>
      </w:pPr>
    </w:p>
    <w:p w14:paraId="400489E9">
      <w:pPr>
        <w:ind w:firstLine="562"/>
        <w:jc w:val="center"/>
        <w:rPr>
          <w:rFonts w:ascii="宋体" w:hAnsi="宋体"/>
          <w:b/>
          <w:sz w:val="28"/>
          <w:szCs w:val="28"/>
        </w:rPr>
      </w:pPr>
    </w:p>
    <w:p w14:paraId="59393075">
      <w:pPr>
        <w:ind w:firstLine="562"/>
        <w:jc w:val="center"/>
        <w:rPr>
          <w:rFonts w:ascii="宋体" w:hAnsi="宋体"/>
          <w:b/>
          <w:sz w:val="28"/>
          <w:szCs w:val="28"/>
        </w:rPr>
      </w:pPr>
    </w:p>
    <w:p w14:paraId="718C9C4B">
      <w:pPr>
        <w:ind w:firstLine="562"/>
        <w:jc w:val="center"/>
        <w:rPr>
          <w:rFonts w:ascii="宋体" w:hAnsi="宋体"/>
          <w:b/>
          <w:sz w:val="28"/>
          <w:szCs w:val="28"/>
        </w:rPr>
      </w:pPr>
    </w:p>
    <w:p w14:paraId="3CEE417C">
      <w:pPr>
        <w:ind w:firstLine="562"/>
        <w:jc w:val="center"/>
        <w:rPr>
          <w:rFonts w:ascii="宋体" w:hAnsi="宋体"/>
          <w:b/>
          <w:sz w:val="28"/>
          <w:szCs w:val="28"/>
        </w:rPr>
      </w:pPr>
    </w:p>
    <w:p w14:paraId="57C4CF6D">
      <w:pPr>
        <w:ind w:firstLine="562"/>
        <w:jc w:val="center"/>
        <w:rPr>
          <w:rFonts w:ascii="宋体" w:hAnsi="宋体"/>
          <w:b/>
          <w:sz w:val="28"/>
          <w:szCs w:val="28"/>
        </w:rPr>
      </w:pPr>
    </w:p>
    <w:p w14:paraId="14EFA0E6">
      <w:pPr>
        <w:ind w:firstLine="562"/>
        <w:jc w:val="center"/>
        <w:rPr>
          <w:rFonts w:ascii="宋体"/>
          <w:sz w:val="24"/>
        </w:rPr>
      </w:pPr>
      <w:r>
        <w:rPr>
          <w:rFonts w:hint="eastAsia" w:ascii="宋体" w:hAnsi="宋体"/>
          <w:b/>
          <w:sz w:val="28"/>
          <w:szCs w:val="28"/>
        </w:rPr>
        <w:t>二、技术标格式文件</w:t>
      </w:r>
    </w:p>
    <w:p w14:paraId="680FCCF4">
      <w:pPr>
        <w:ind w:firstLine="400"/>
        <w:jc w:val="center"/>
        <w:rPr>
          <w:rFonts w:eastAsia="黑体"/>
          <w:sz w:val="20"/>
        </w:rPr>
      </w:pPr>
    </w:p>
    <w:p w14:paraId="3456F583">
      <w:pPr>
        <w:ind w:firstLine="400"/>
        <w:rPr>
          <w:rFonts w:ascii="宋体"/>
          <w:sz w:val="20"/>
        </w:rPr>
      </w:pPr>
    </w:p>
    <w:p w14:paraId="203DF928">
      <w:pPr>
        <w:ind w:firstLine="400"/>
        <w:rPr>
          <w:rFonts w:ascii="宋体"/>
          <w:sz w:val="20"/>
        </w:rPr>
      </w:pPr>
    </w:p>
    <w:p w14:paraId="07AC551D">
      <w:pPr>
        <w:pStyle w:val="49"/>
      </w:pPr>
    </w:p>
    <w:p w14:paraId="4EE8DB4C">
      <w:pPr>
        <w:ind w:firstLine="883"/>
        <w:jc w:val="center"/>
        <w:rPr>
          <w:rFonts w:ascii="宋体"/>
          <w:b/>
          <w:sz w:val="44"/>
          <w:szCs w:val="44"/>
        </w:rPr>
      </w:pPr>
      <w:r>
        <w:rPr>
          <w:rFonts w:hint="eastAsia" w:ascii="宋体"/>
          <w:b/>
          <w:sz w:val="44"/>
          <w:szCs w:val="44"/>
        </w:rPr>
        <w:t>技术标</w:t>
      </w:r>
    </w:p>
    <w:p w14:paraId="5850780B">
      <w:pPr>
        <w:ind w:firstLine="880"/>
        <w:jc w:val="center"/>
        <w:rPr>
          <w:rFonts w:ascii="宋体"/>
          <w:sz w:val="36"/>
          <w:szCs w:val="36"/>
        </w:rPr>
      </w:pPr>
      <w:r>
        <w:rPr>
          <w:rFonts w:hint="eastAsia" w:ascii="宋体"/>
          <w:sz w:val="44"/>
          <w:szCs w:val="44"/>
        </w:rPr>
        <w:t>（</w:t>
      </w:r>
      <w:r>
        <w:rPr>
          <w:rFonts w:hint="eastAsia" w:ascii="宋体"/>
          <w:sz w:val="36"/>
          <w:szCs w:val="36"/>
        </w:rPr>
        <w:t>投标文件二）</w:t>
      </w:r>
    </w:p>
    <w:p w14:paraId="5E85B405">
      <w:pPr>
        <w:ind w:firstLine="720"/>
        <w:jc w:val="center"/>
        <w:rPr>
          <w:rFonts w:ascii="宋体"/>
          <w:sz w:val="36"/>
          <w:szCs w:val="36"/>
        </w:rPr>
      </w:pPr>
    </w:p>
    <w:p w14:paraId="0C0083AC">
      <w:pPr>
        <w:ind w:firstLine="640"/>
        <w:jc w:val="center"/>
        <w:rPr>
          <w:rFonts w:ascii="宋体"/>
          <w:sz w:val="32"/>
          <w:szCs w:val="32"/>
        </w:rPr>
      </w:pPr>
      <w:r>
        <w:rPr>
          <w:rFonts w:hint="eastAsia" w:ascii="宋体"/>
          <w:sz w:val="32"/>
          <w:szCs w:val="32"/>
          <w:u w:val="single"/>
        </w:rPr>
        <w:t xml:space="preserve">        </w:t>
      </w:r>
      <w:r>
        <w:rPr>
          <w:rFonts w:hint="eastAsia" w:ascii="宋体"/>
          <w:sz w:val="32"/>
          <w:szCs w:val="32"/>
        </w:rPr>
        <w:t>项目</w:t>
      </w:r>
    </w:p>
    <w:p w14:paraId="6BFCE288">
      <w:pPr>
        <w:ind w:firstLine="560"/>
        <w:jc w:val="center"/>
        <w:rPr>
          <w:rFonts w:ascii="宋体"/>
          <w:sz w:val="44"/>
          <w:szCs w:val="44"/>
        </w:rPr>
      </w:pPr>
      <w:r>
        <w:rPr>
          <w:rFonts w:hint="eastAsia" w:ascii="宋体"/>
          <w:sz w:val="28"/>
          <w:szCs w:val="28"/>
        </w:rPr>
        <w:t>项目编号</w:t>
      </w:r>
      <w:r>
        <w:rPr>
          <w:rFonts w:hint="eastAsia" w:ascii="宋体"/>
          <w:sz w:val="28"/>
          <w:szCs w:val="28"/>
          <w:u w:val="single"/>
        </w:rPr>
        <w:t xml:space="preserve">  </w:t>
      </w:r>
    </w:p>
    <w:p w14:paraId="26AC5BF2">
      <w:pPr>
        <w:ind w:firstLine="560"/>
        <w:rPr>
          <w:rFonts w:ascii="宋体"/>
          <w:sz w:val="28"/>
          <w:szCs w:val="28"/>
        </w:rPr>
      </w:pPr>
    </w:p>
    <w:p w14:paraId="43B436E5">
      <w:pPr>
        <w:ind w:firstLine="560"/>
        <w:rPr>
          <w:rFonts w:ascii="宋体"/>
          <w:sz w:val="28"/>
          <w:szCs w:val="28"/>
        </w:rPr>
      </w:pPr>
    </w:p>
    <w:p w14:paraId="113D0428">
      <w:pPr>
        <w:ind w:firstLine="560"/>
        <w:rPr>
          <w:rFonts w:ascii="宋体"/>
          <w:sz w:val="28"/>
          <w:szCs w:val="28"/>
        </w:rPr>
      </w:pPr>
    </w:p>
    <w:p w14:paraId="04D93F17">
      <w:pPr>
        <w:ind w:firstLine="560"/>
        <w:rPr>
          <w:rFonts w:ascii="宋体"/>
          <w:sz w:val="28"/>
          <w:szCs w:val="28"/>
        </w:rPr>
      </w:pPr>
    </w:p>
    <w:p w14:paraId="0B012C6E">
      <w:pPr>
        <w:ind w:firstLine="560"/>
        <w:rPr>
          <w:rFonts w:ascii="宋体"/>
          <w:sz w:val="28"/>
          <w:szCs w:val="28"/>
        </w:rPr>
      </w:pPr>
    </w:p>
    <w:p w14:paraId="623249C0">
      <w:pPr>
        <w:ind w:firstLine="560"/>
        <w:rPr>
          <w:rFonts w:ascii="宋体"/>
          <w:sz w:val="28"/>
          <w:szCs w:val="28"/>
        </w:rPr>
      </w:pPr>
    </w:p>
    <w:p w14:paraId="03FBEB74">
      <w:pPr>
        <w:ind w:firstLine="560"/>
        <w:rPr>
          <w:rFonts w:ascii="宋体"/>
          <w:sz w:val="28"/>
          <w:szCs w:val="28"/>
        </w:rPr>
      </w:pPr>
    </w:p>
    <w:p w14:paraId="6AE044E8">
      <w:pPr>
        <w:ind w:firstLine="560"/>
        <w:jc w:val="center"/>
        <w:rPr>
          <w:rFonts w:ascii="宋体"/>
          <w:sz w:val="28"/>
          <w:szCs w:val="28"/>
          <w:u w:val="single"/>
        </w:rPr>
      </w:pPr>
      <w:r>
        <w:rPr>
          <w:rFonts w:hint="eastAsia" w:ascii="宋体"/>
          <w:sz w:val="28"/>
          <w:szCs w:val="28"/>
        </w:rPr>
        <w:t>投标人：</w:t>
      </w:r>
      <w:r>
        <w:rPr>
          <w:rFonts w:hint="eastAsia" w:ascii="宋体"/>
          <w:sz w:val="28"/>
          <w:szCs w:val="28"/>
          <w:u w:val="single"/>
        </w:rPr>
        <w:t xml:space="preserve">                              </w:t>
      </w:r>
      <w:r>
        <w:rPr>
          <w:rFonts w:hint="eastAsia" w:ascii="宋体"/>
          <w:sz w:val="28"/>
          <w:szCs w:val="28"/>
        </w:rPr>
        <w:t>（盖单位章）</w:t>
      </w:r>
    </w:p>
    <w:p w14:paraId="40A8BCB0">
      <w:pPr>
        <w:ind w:firstLine="700" w:firstLineChars="250"/>
        <w:rPr>
          <w:rFonts w:ascii="宋体"/>
          <w:sz w:val="28"/>
          <w:szCs w:val="28"/>
        </w:rPr>
      </w:pPr>
      <w:r>
        <w:rPr>
          <w:rFonts w:hint="eastAsia" w:ascii="宋体"/>
          <w:sz w:val="28"/>
          <w:szCs w:val="28"/>
        </w:rPr>
        <w:t>法定代表人：</w:t>
      </w:r>
      <w:r>
        <w:rPr>
          <w:rFonts w:hint="eastAsia" w:ascii="宋体"/>
          <w:sz w:val="28"/>
          <w:szCs w:val="28"/>
          <w:u w:val="single"/>
        </w:rPr>
        <w:t xml:space="preserve">                             </w:t>
      </w:r>
      <w:r>
        <w:rPr>
          <w:rFonts w:hint="eastAsia" w:ascii="宋体"/>
          <w:sz w:val="28"/>
          <w:szCs w:val="28"/>
        </w:rPr>
        <w:t>（签字或盖章）</w:t>
      </w:r>
    </w:p>
    <w:p w14:paraId="4AD2EF4D">
      <w:pPr>
        <w:ind w:firstLine="560"/>
        <w:jc w:val="center"/>
        <w:rPr>
          <w:rFonts w:ascii="宋体"/>
          <w:sz w:val="28"/>
          <w:szCs w:val="28"/>
        </w:rPr>
      </w:pP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14:paraId="59A862BB">
      <w:pPr>
        <w:pStyle w:val="5"/>
        <w:ind w:firstLine="562"/>
        <w:rPr>
          <w:rFonts w:ascii="宋体"/>
        </w:rPr>
      </w:pPr>
    </w:p>
    <w:p w14:paraId="7D27AA7B">
      <w:pPr>
        <w:ind w:firstLine="560"/>
        <w:rPr>
          <w:rFonts w:ascii="宋体"/>
          <w:sz w:val="28"/>
          <w:szCs w:val="28"/>
        </w:rPr>
      </w:pPr>
    </w:p>
    <w:p w14:paraId="0EBFAAE0">
      <w:pPr>
        <w:pStyle w:val="3"/>
        <w:ind w:firstLine="643"/>
        <w:rPr>
          <w:sz w:val="32"/>
        </w:rPr>
      </w:pPr>
      <w:bookmarkStart w:id="729" w:name="_Toc95223539"/>
      <w:r>
        <w:rPr>
          <w:rFonts w:hint="eastAsia"/>
          <w:sz w:val="32"/>
        </w:rPr>
        <w:t>投标文件二：技术标目录</w:t>
      </w:r>
      <w:bookmarkEnd w:id="729"/>
    </w:p>
    <w:p w14:paraId="5CB991B9">
      <w:pPr>
        <w:adjustRightInd w:val="0"/>
        <w:snapToGrid w:val="0"/>
        <w:spacing w:line="560" w:lineRule="exact"/>
        <w:ind w:firstLine="420"/>
        <w:rPr>
          <w:rFonts w:ascii="宋体" w:hAnsi="宋体"/>
          <w:szCs w:val="21"/>
        </w:rPr>
      </w:pPr>
      <w:r>
        <w:rPr>
          <w:rFonts w:ascii="宋体" w:hAnsi="宋体"/>
          <w:szCs w:val="21"/>
        </w:rPr>
        <w:t>按评审要求提供</w:t>
      </w:r>
    </w:p>
    <w:p w14:paraId="6BE77483">
      <w:pPr>
        <w:pStyle w:val="5"/>
        <w:ind w:firstLine="562"/>
      </w:pPr>
    </w:p>
    <w:p w14:paraId="0CBA7B11">
      <w:pPr>
        <w:ind w:firstLine="723"/>
        <w:jc w:val="center"/>
        <w:rPr>
          <w:b/>
          <w:sz w:val="36"/>
          <w:szCs w:val="36"/>
        </w:rPr>
      </w:pPr>
    </w:p>
    <w:p w14:paraId="32F1D2AB">
      <w:pPr>
        <w:ind w:firstLine="723"/>
        <w:jc w:val="center"/>
        <w:rPr>
          <w:b/>
          <w:sz w:val="36"/>
          <w:szCs w:val="36"/>
        </w:rPr>
      </w:pPr>
    </w:p>
    <w:bookmarkEnd w:id="727"/>
    <w:bookmarkEnd w:id="728"/>
    <w:p w14:paraId="0B1DEA31">
      <w:pPr>
        <w:wordWrap w:val="0"/>
        <w:spacing w:before="100" w:beforeAutospacing="1" w:after="100" w:afterAutospacing="1"/>
        <w:ind w:firstLine="562"/>
        <w:jc w:val="center"/>
        <w:rPr>
          <w:rFonts w:ascii="宋体" w:hAnsi="宋体"/>
          <w:b/>
          <w:sz w:val="28"/>
          <w:szCs w:val="28"/>
        </w:rPr>
      </w:pPr>
    </w:p>
    <w:p w14:paraId="46BE4E10">
      <w:pPr>
        <w:ind w:firstLine="562"/>
        <w:jc w:val="center"/>
        <w:rPr>
          <w:rFonts w:ascii="宋体" w:hAnsi="宋体"/>
          <w:b/>
          <w:sz w:val="28"/>
          <w:szCs w:val="28"/>
        </w:rPr>
      </w:pPr>
    </w:p>
    <w:p w14:paraId="6E2548AD">
      <w:pPr>
        <w:ind w:firstLine="562"/>
        <w:jc w:val="center"/>
        <w:rPr>
          <w:rFonts w:ascii="宋体" w:hAnsi="宋体"/>
          <w:b/>
          <w:sz w:val="28"/>
          <w:szCs w:val="28"/>
        </w:rPr>
      </w:pPr>
    </w:p>
    <w:p w14:paraId="1EAA16FE">
      <w:pPr>
        <w:ind w:firstLine="562"/>
        <w:jc w:val="center"/>
        <w:rPr>
          <w:rFonts w:ascii="宋体" w:hAnsi="宋体"/>
          <w:b/>
          <w:sz w:val="28"/>
          <w:szCs w:val="28"/>
        </w:rPr>
      </w:pPr>
    </w:p>
    <w:p w14:paraId="2F2989C1">
      <w:pPr>
        <w:ind w:firstLine="562"/>
        <w:jc w:val="center"/>
        <w:rPr>
          <w:rFonts w:ascii="宋体" w:hAnsi="宋体"/>
          <w:b/>
          <w:sz w:val="28"/>
          <w:szCs w:val="28"/>
        </w:rPr>
      </w:pPr>
    </w:p>
    <w:p w14:paraId="571A4254">
      <w:pPr>
        <w:ind w:firstLine="562"/>
        <w:jc w:val="center"/>
        <w:rPr>
          <w:rFonts w:ascii="宋体" w:hAnsi="宋体"/>
          <w:b/>
          <w:sz w:val="28"/>
          <w:szCs w:val="28"/>
        </w:rPr>
      </w:pPr>
    </w:p>
    <w:p w14:paraId="25FE8435">
      <w:pPr>
        <w:ind w:firstLine="562"/>
        <w:jc w:val="center"/>
        <w:rPr>
          <w:rFonts w:ascii="宋体" w:hAnsi="宋体"/>
          <w:b/>
          <w:sz w:val="28"/>
          <w:szCs w:val="28"/>
        </w:rPr>
      </w:pPr>
    </w:p>
    <w:p w14:paraId="3D600D8A">
      <w:pPr>
        <w:ind w:firstLine="562"/>
        <w:jc w:val="center"/>
        <w:rPr>
          <w:rFonts w:ascii="宋体" w:hAnsi="宋体"/>
          <w:b/>
          <w:sz w:val="28"/>
          <w:szCs w:val="28"/>
        </w:rPr>
      </w:pPr>
    </w:p>
    <w:p w14:paraId="0B414E4C">
      <w:pPr>
        <w:ind w:firstLine="562"/>
        <w:jc w:val="center"/>
        <w:rPr>
          <w:rFonts w:ascii="宋体" w:hAnsi="宋体"/>
          <w:b/>
          <w:sz w:val="28"/>
          <w:szCs w:val="28"/>
        </w:rPr>
      </w:pPr>
    </w:p>
    <w:p w14:paraId="63E61143">
      <w:pPr>
        <w:ind w:firstLine="562"/>
        <w:jc w:val="center"/>
        <w:rPr>
          <w:rFonts w:ascii="宋体" w:hAnsi="宋体"/>
          <w:b/>
          <w:sz w:val="28"/>
          <w:szCs w:val="28"/>
        </w:rPr>
      </w:pPr>
    </w:p>
    <w:p w14:paraId="5F26137E">
      <w:pPr>
        <w:ind w:firstLine="562"/>
        <w:jc w:val="center"/>
        <w:rPr>
          <w:rFonts w:ascii="宋体" w:hAnsi="宋体"/>
          <w:b/>
          <w:sz w:val="28"/>
          <w:szCs w:val="28"/>
        </w:rPr>
      </w:pPr>
    </w:p>
    <w:p w14:paraId="4886A69A">
      <w:pPr>
        <w:ind w:firstLine="562"/>
        <w:jc w:val="center"/>
        <w:rPr>
          <w:rFonts w:ascii="宋体" w:hAnsi="宋体"/>
          <w:b/>
          <w:sz w:val="28"/>
          <w:szCs w:val="28"/>
        </w:rPr>
      </w:pPr>
    </w:p>
    <w:p w14:paraId="3C0F26B6">
      <w:pPr>
        <w:ind w:firstLine="562"/>
        <w:jc w:val="center"/>
        <w:rPr>
          <w:rFonts w:ascii="宋体" w:hAnsi="宋体"/>
          <w:b/>
          <w:sz w:val="28"/>
          <w:szCs w:val="28"/>
        </w:rPr>
      </w:pPr>
    </w:p>
    <w:p w14:paraId="316A25F5">
      <w:pPr>
        <w:ind w:firstLine="562"/>
        <w:jc w:val="center"/>
        <w:rPr>
          <w:rFonts w:ascii="宋体" w:hAnsi="宋体"/>
          <w:b/>
          <w:sz w:val="28"/>
          <w:szCs w:val="28"/>
        </w:rPr>
      </w:pPr>
    </w:p>
    <w:p w14:paraId="74B0DC21">
      <w:pPr>
        <w:ind w:firstLine="562"/>
        <w:jc w:val="center"/>
        <w:rPr>
          <w:rFonts w:ascii="宋体" w:hAnsi="宋体"/>
          <w:b/>
          <w:sz w:val="28"/>
          <w:szCs w:val="28"/>
        </w:rPr>
      </w:pPr>
    </w:p>
    <w:p w14:paraId="4227276D">
      <w:pPr>
        <w:ind w:firstLine="562"/>
        <w:jc w:val="center"/>
        <w:rPr>
          <w:rFonts w:ascii="宋体"/>
          <w:sz w:val="24"/>
        </w:rPr>
      </w:pPr>
      <w:r>
        <w:rPr>
          <w:rFonts w:hint="eastAsia" w:ascii="宋体" w:hAnsi="宋体"/>
          <w:b/>
          <w:sz w:val="28"/>
          <w:szCs w:val="28"/>
        </w:rPr>
        <w:t>三、商务标格式文件</w:t>
      </w:r>
    </w:p>
    <w:p w14:paraId="56DBC5E7">
      <w:pPr>
        <w:ind w:firstLine="400"/>
        <w:jc w:val="center"/>
        <w:rPr>
          <w:rFonts w:eastAsia="黑体"/>
          <w:sz w:val="20"/>
        </w:rPr>
      </w:pPr>
    </w:p>
    <w:p w14:paraId="413EF9A3">
      <w:pPr>
        <w:ind w:firstLine="400"/>
        <w:rPr>
          <w:rFonts w:ascii="宋体"/>
          <w:sz w:val="20"/>
        </w:rPr>
      </w:pPr>
    </w:p>
    <w:p w14:paraId="7EBE14D5">
      <w:pPr>
        <w:ind w:firstLine="400"/>
        <w:rPr>
          <w:rFonts w:ascii="宋体"/>
          <w:sz w:val="20"/>
        </w:rPr>
      </w:pPr>
    </w:p>
    <w:p w14:paraId="7548EECB">
      <w:pPr>
        <w:pStyle w:val="49"/>
      </w:pPr>
    </w:p>
    <w:p w14:paraId="692846B0">
      <w:pPr>
        <w:ind w:firstLine="883"/>
        <w:jc w:val="center"/>
        <w:rPr>
          <w:rFonts w:ascii="宋体"/>
          <w:b/>
          <w:sz w:val="44"/>
          <w:szCs w:val="44"/>
        </w:rPr>
      </w:pPr>
      <w:bookmarkStart w:id="730" w:name="_Toc449028954"/>
      <w:r>
        <w:rPr>
          <w:rFonts w:hint="eastAsia" w:ascii="宋体"/>
          <w:b/>
          <w:sz w:val="44"/>
          <w:szCs w:val="44"/>
        </w:rPr>
        <w:t>商务标</w:t>
      </w:r>
      <w:bookmarkEnd w:id="730"/>
    </w:p>
    <w:p w14:paraId="0823389F">
      <w:pPr>
        <w:ind w:firstLine="880"/>
        <w:jc w:val="center"/>
        <w:rPr>
          <w:rFonts w:ascii="宋体"/>
          <w:sz w:val="36"/>
          <w:szCs w:val="36"/>
        </w:rPr>
      </w:pPr>
      <w:r>
        <w:rPr>
          <w:rFonts w:hint="eastAsia" w:ascii="宋体"/>
          <w:sz w:val="44"/>
          <w:szCs w:val="44"/>
        </w:rPr>
        <w:t>（</w:t>
      </w:r>
      <w:r>
        <w:rPr>
          <w:rFonts w:hint="eastAsia" w:ascii="宋体"/>
          <w:sz w:val="36"/>
          <w:szCs w:val="36"/>
        </w:rPr>
        <w:t>投标文件三）</w:t>
      </w:r>
    </w:p>
    <w:p w14:paraId="23DD1CFA">
      <w:pPr>
        <w:ind w:firstLine="720"/>
        <w:jc w:val="center"/>
        <w:rPr>
          <w:rFonts w:ascii="宋体"/>
          <w:sz w:val="36"/>
          <w:szCs w:val="36"/>
        </w:rPr>
      </w:pPr>
    </w:p>
    <w:p w14:paraId="23936088">
      <w:pPr>
        <w:ind w:firstLine="640"/>
        <w:jc w:val="center"/>
        <w:rPr>
          <w:rFonts w:ascii="宋体"/>
          <w:sz w:val="32"/>
          <w:szCs w:val="32"/>
        </w:rPr>
      </w:pPr>
      <w:r>
        <w:rPr>
          <w:rFonts w:hint="eastAsia" w:ascii="宋体"/>
          <w:sz w:val="32"/>
          <w:szCs w:val="32"/>
          <w:u w:val="single"/>
        </w:rPr>
        <w:t xml:space="preserve">        </w:t>
      </w:r>
      <w:r>
        <w:rPr>
          <w:rFonts w:hint="eastAsia" w:ascii="宋体"/>
          <w:sz w:val="32"/>
          <w:szCs w:val="32"/>
        </w:rPr>
        <w:t>项目</w:t>
      </w:r>
    </w:p>
    <w:p w14:paraId="45644E1F">
      <w:pPr>
        <w:ind w:firstLine="560"/>
        <w:jc w:val="center"/>
        <w:rPr>
          <w:rFonts w:ascii="宋体"/>
          <w:sz w:val="44"/>
          <w:szCs w:val="44"/>
        </w:rPr>
      </w:pPr>
      <w:r>
        <w:rPr>
          <w:rFonts w:hint="eastAsia" w:ascii="宋体"/>
          <w:sz w:val="28"/>
          <w:szCs w:val="28"/>
        </w:rPr>
        <w:t>项目编号</w:t>
      </w:r>
      <w:r>
        <w:rPr>
          <w:rFonts w:hint="eastAsia" w:ascii="宋体"/>
          <w:sz w:val="28"/>
          <w:szCs w:val="28"/>
          <w:u w:val="single"/>
        </w:rPr>
        <w:t xml:space="preserve">  </w:t>
      </w:r>
    </w:p>
    <w:p w14:paraId="04709846">
      <w:pPr>
        <w:ind w:firstLine="560"/>
        <w:rPr>
          <w:rFonts w:ascii="宋体"/>
          <w:sz w:val="28"/>
          <w:szCs w:val="28"/>
        </w:rPr>
      </w:pPr>
    </w:p>
    <w:p w14:paraId="5E6D564C">
      <w:pPr>
        <w:ind w:firstLine="560"/>
        <w:rPr>
          <w:rFonts w:ascii="宋体"/>
          <w:sz w:val="28"/>
          <w:szCs w:val="28"/>
        </w:rPr>
      </w:pPr>
    </w:p>
    <w:p w14:paraId="6BDBA722">
      <w:pPr>
        <w:ind w:firstLine="560"/>
        <w:rPr>
          <w:rFonts w:ascii="宋体"/>
          <w:sz w:val="28"/>
          <w:szCs w:val="28"/>
        </w:rPr>
      </w:pPr>
    </w:p>
    <w:p w14:paraId="59A92CF1">
      <w:pPr>
        <w:ind w:firstLine="560"/>
        <w:rPr>
          <w:rFonts w:ascii="宋体"/>
          <w:sz w:val="28"/>
          <w:szCs w:val="28"/>
        </w:rPr>
      </w:pPr>
    </w:p>
    <w:p w14:paraId="23B407D7">
      <w:pPr>
        <w:ind w:firstLine="560"/>
        <w:rPr>
          <w:rFonts w:ascii="宋体"/>
          <w:sz w:val="28"/>
          <w:szCs w:val="28"/>
        </w:rPr>
      </w:pPr>
    </w:p>
    <w:p w14:paraId="7E1835B3">
      <w:pPr>
        <w:ind w:firstLine="560"/>
        <w:rPr>
          <w:rFonts w:ascii="宋体"/>
          <w:sz w:val="28"/>
          <w:szCs w:val="28"/>
        </w:rPr>
      </w:pPr>
    </w:p>
    <w:p w14:paraId="3C87A6D3">
      <w:pPr>
        <w:ind w:firstLine="560"/>
        <w:rPr>
          <w:rFonts w:ascii="宋体"/>
          <w:sz w:val="28"/>
          <w:szCs w:val="28"/>
        </w:rPr>
      </w:pPr>
    </w:p>
    <w:p w14:paraId="7BA68F5B">
      <w:pPr>
        <w:ind w:firstLine="560"/>
        <w:jc w:val="center"/>
        <w:rPr>
          <w:rFonts w:ascii="宋体"/>
          <w:sz w:val="28"/>
          <w:szCs w:val="28"/>
          <w:u w:val="single"/>
        </w:rPr>
      </w:pPr>
      <w:r>
        <w:rPr>
          <w:rFonts w:hint="eastAsia" w:ascii="宋体"/>
          <w:sz w:val="28"/>
          <w:szCs w:val="28"/>
        </w:rPr>
        <w:t>投标人：</w:t>
      </w:r>
      <w:r>
        <w:rPr>
          <w:rFonts w:hint="eastAsia" w:ascii="宋体"/>
          <w:sz w:val="28"/>
          <w:szCs w:val="28"/>
          <w:u w:val="single"/>
        </w:rPr>
        <w:t xml:space="preserve">                              </w:t>
      </w:r>
      <w:r>
        <w:rPr>
          <w:rFonts w:hint="eastAsia" w:ascii="宋体"/>
          <w:sz w:val="28"/>
          <w:szCs w:val="28"/>
        </w:rPr>
        <w:t>（盖单位章）</w:t>
      </w:r>
    </w:p>
    <w:p w14:paraId="4F66DFB8">
      <w:pPr>
        <w:ind w:firstLine="700" w:firstLineChars="250"/>
        <w:rPr>
          <w:rFonts w:ascii="宋体"/>
          <w:sz w:val="28"/>
          <w:szCs w:val="28"/>
        </w:rPr>
      </w:pPr>
      <w:r>
        <w:rPr>
          <w:rFonts w:hint="eastAsia" w:ascii="宋体"/>
          <w:sz w:val="28"/>
          <w:szCs w:val="28"/>
        </w:rPr>
        <w:t>法定代表人：</w:t>
      </w:r>
      <w:r>
        <w:rPr>
          <w:rFonts w:hint="eastAsia" w:ascii="宋体"/>
          <w:sz w:val="28"/>
          <w:szCs w:val="28"/>
          <w:u w:val="single"/>
        </w:rPr>
        <w:t xml:space="preserve">                             </w:t>
      </w:r>
      <w:r>
        <w:rPr>
          <w:rFonts w:hint="eastAsia" w:ascii="宋体"/>
          <w:sz w:val="28"/>
          <w:szCs w:val="28"/>
        </w:rPr>
        <w:t>（签字或盖章）</w:t>
      </w:r>
    </w:p>
    <w:p w14:paraId="149FA620">
      <w:pPr>
        <w:ind w:firstLine="560"/>
        <w:jc w:val="center"/>
        <w:rPr>
          <w:rFonts w:ascii="宋体"/>
          <w:sz w:val="28"/>
          <w:szCs w:val="28"/>
        </w:rPr>
      </w:pP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14:paraId="4915B45D">
      <w:pPr>
        <w:ind w:firstLine="723"/>
        <w:jc w:val="center"/>
        <w:rPr>
          <w:b/>
          <w:sz w:val="36"/>
          <w:szCs w:val="36"/>
        </w:rPr>
      </w:pPr>
    </w:p>
    <w:p w14:paraId="639951EB">
      <w:pPr>
        <w:ind w:firstLine="723"/>
        <w:jc w:val="center"/>
        <w:rPr>
          <w:b/>
          <w:sz w:val="36"/>
          <w:szCs w:val="36"/>
        </w:rPr>
      </w:pPr>
    </w:p>
    <w:p w14:paraId="02C450B3">
      <w:pPr>
        <w:ind w:firstLine="723"/>
        <w:jc w:val="center"/>
        <w:rPr>
          <w:b/>
          <w:sz w:val="36"/>
          <w:szCs w:val="36"/>
        </w:rPr>
      </w:pPr>
    </w:p>
    <w:p w14:paraId="250831F4">
      <w:pPr>
        <w:ind w:firstLine="723"/>
        <w:jc w:val="center"/>
        <w:rPr>
          <w:b/>
          <w:sz w:val="36"/>
          <w:szCs w:val="36"/>
        </w:rPr>
      </w:pPr>
    </w:p>
    <w:p w14:paraId="74533E41">
      <w:pPr>
        <w:ind w:firstLine="723"/>
        <w:jc w:val="center"/>
        <w:rPr>
          <w:b/>
          <w:sz w:val="44"/>
          <w:szCs w:val="44"/>
        </w:rPr>
      </w:pPr>
      <w:r>
        <w:rPr>
          <w:rFonts w:hint="eastAsia"/>
          <w:b/>
          <w:sz w:val="36"/>
          <w:szCs w:val="36"/>
        </w:rPr>
        <w:t>目   录</w:t>
      </w:r>
    </w:p>
    <w:p w14:paraId="58BB04AB">
      <w:pPr>
        <w:spacing w:line="400" w:lineRule="exact"/>
        <w:ind w:firstLine="562" w:firstLineChars="200"/>
        <w:rPr>
          <w:rFonts w:ascii="宋体" w:hAnsi="宋体" w:cs="宋体"/>
          <w:b/>
          <w:sz w:val="28"/>
          <w:szCs w:val="28"/>
        </w:rPr>
      </w:pPr>
    </w:p>
    <w:p w14:paraId="38347C4F">
      <w:pPr>
        <w:spacing w:line="360" w:lineRule="auto"/>
        <w:ind w:firstLine="420" w:firstLineChars="200"/>
        <w:rPr>
          <w:rFonts w:ascii="宋体" w:hAnsi="宋体" w:cs="宋体"/>
          <w:szCs w:val="21"/>
        </w:rPr>
      </w:pPr>
      <w:r>
        <w:rPr>
          <w:rFonts w:hint="eastAsia" w:ascii="宋体" w:hAnsi="宋体" w:cs="宋体"/>
          <w:szCs w:val="21"/>
        </w:rPr>
        <w:t>（1）开标一览表（格式见附件）；</w:t>
      </w:r>
    </w:p>
    <w:p w14:paraId="56951409">
      <w:pPr>
        <w:spacing w:line="360" w:lineRule="auto"/>
        <w:ind w:firstLine="420" w:firstLineChars="200"/>
        <w:rPr>
          <w:rFonts w:ascii="宋体" w:hAnsi="宋体" w:cs="宋体"/>
          <w:szCs w:val="21"/>
        </w:rPr>
      </w:pPr>
      <w:r>
        <w:rPr>
          <w:rFonts w:hint="eastAsia" w:ascii="宋体" w:hAnsi="宋体" w:cs="宋体"/>
          <w:szCs w:val="21"/>
        </w:rPr>
        <w:t>（2）投标函（格式见附件）；</w:t>
      </w:r>
    </w:p>
    <w:p w14:paraId="46C36F69">
      <w:pPr>
        <w:spacing w:line="360" w:lineRule="auto"/>
        <w:ind w:firstLine="420" w:firstLineChars="200"/>
        <w:rPr>
          <w:rFonts w:ascii="宋体" w:hAnsi="宋体" w:cs="宋体"/>
          <w:szCs w:val="21"/>
        </w:rPr>
      </w:pPr>
      <w:r>
        <w:rPr>
          <w:rFonts w:hint="eastAsia" w:ascii="宋体" w:hAnsi="宋体" w:cs="宋体"/>
          <w:szCs w:val="21"/>
        </w:rPr>
        <w:t>（3）招标文件中要求的资信评审和资信评分的支持资料；</w:t>
      </w:r>
    </w:p>
    <w:p w14:paraId="4CB23976">
      <w:pPr>
        <w:spacing w:line="360" w:lineRule="auto"/>
        <w:ind w:firstLine="420" w:firstLineChars="200"/>
        <w:rPr>
          <w:rFonts w:ascii="宋体" w:hAnsi="宋体" w:cs="宋体"/>
          <w:szCs w:val="21"/>
        </w:rPr>
      </w:pPr>
      <w:r>
        <w:rPr>
          <w:rFonts w:hint="eastAsia" w:ascii="宋体" w:hAnsi="宋体" w:cs="宋体"/>
          <w:szCs w:val="21"/>
        </w:rPr>
        <w:t>（4）投标人认为需要提供的其他资信证明材料。</w:t>
      </w:r>
    </w:p>
    <w:p w14:paraId="0A084D28">
      <w:pPr>
        <w:ind w:firstLine="602"/>
        <w:jc w:val="center"/>
        <w:rPr>
          <w:rFonts w:ascii="宋体" w:hAnsi="宋体"/>
          <w:b/>
          <w:sz w:val="30"/>
          <w:szCs w:val="30"/>
        </w:rPr>
      </w:pPr>
    </w:p>
    <w:p w14:paraId="7BDE8783">
      <w:pPr>
        <w:ind w:firstLine="602"/>
        <w:jc w:val="center"/>
        <w:rPr>
          <w:rFonts w:ascii="宋体" w:hAnsi="宋体"/>
          <w:b/>
          <w:sz w:val="30"/>
          <w:szCs w:val="30"/>
        </w:rPr>
      </w:pPr>
    </w:p>
    <w:p w14:paraId="2F8F02E1">
      <w:pPr>
        <w:ind w:firstLine="602"/>
        <w:jc w:val="center"/>
        <w:rPr>
          <w:rFonts w:ascii="宋体" w:hAnsi="宋体"/>
          <w:b/>
          <w:sz w:val="30"/>
          <w:szCs w:val="30"/>
        </w:rPr>
      </w:pPr>
    </w:p>
    <w:p w14:paraId="30D393FE">
      <w:pPr>
        <w:ind w:firstLine="602"/>
        <w:jc w:val="center"/>
        <w:rPr>
          <w:rFonts w:ascii="宋体" w:hAnsi="宋体"/>
          <w:b/>
          <w:sz w:val="30"/>
          <w:szCs w:val="30"/>
        </w:rPr>
      </w:pPr>
    </w:p>
    <w:p w14:paraId="5E4B1352">
      <w:pPr>
        <w:ind w:firstLine="602"/>
        <w:jc w:val="center"/>
        <w:rPr>
          <w:rFonts w:ascii="宋体" w:hAnsi="宋体"/>
          <w:b/>
          <w:sz w:val="30"/>
          <w:szCs w:val="30"/>
        </w:rPr>
      </w:pPr>
    </w:p>
    <w:p w14:paraId="7709C40D">
      <w:pPr>
        <w:ind w:firstLine="602"/>
        <w:jc w:val="center"/>
        <w:rPr>
          <w:rFonts w:ascii="宋体" w:hAnsi="宋体"/>
          <w:b/>
          <w:sz w:val="30"/>
          <w:szCs w:val="30"/>
        </w:rPr>
      </w:pPr>
    </w:p>
    <w:p w14:paraId="005B7E70">
      <w:pPr>
        <w:ind w:firstLine="602"/>
        <w:jc w:val="center"/>
        <w:rPr>
          <w:rFonts w:ascii="宋体" w:hAnsi="宋体"/>
          <w:b/>
          <w:sz w:val="30"/>
          <w:szCs w:val="30"/>
        </w:rPr>
      </w:pPr>
    </w:p>
    <w:p w14:paraId="52AE0CD3">
      <w:pPr>
        <w:ind w:firstLine="602"/>
        <w:jc w:val="center"/>
        <w:rPr>
          <w:rFonts w:ascii="宋体" w:hAnsi="宋体"/>
          <w:b/>
          <w:sz w:val="30"/>
          <w:szCs w:val="30"/>
        </w:rPr>
      </w:pPr>
    </w:p>
    <w:p w14:paraId="33E000A7">
      <w:pPr>
        <w:ind w:firstLine="602"/>
        <w:jc w:val="center"/>
        <w:rPr>
          <w:rFonts w:ascii="宋体" w:hAnsi="宋体"/>
          <w:b/>
          <w:sz w:val="30"/>
          <w:szCs w:val="30"/>
        </w:rPr>
      </w:pPr>
    </w:p>
    <w:p w14:paraId="7E5C44C6">
      <w:pPr>
        <w:ind w:firstLine="602"/>
        <w:jc w:val="center"/>
        <w:rPr>
          <w:rFonts w:ascii="宋体" w:hAnsi="宋体"/>
          <w:b/>
          <w:sz w:val="30"/>
          <w:szCs w:val="30"/>
        </w:rPr>
      </w:pPr>
    </w:p>
    <w:p w14:paraId="2CED2E1A">
      <w:pPr>
        <w:ind w:firstLine="602"/>
        <w:jc w:val="center"/>
        <w:rPr>
          <w:rFonts w:ascii="宋体" w:hAnsi="宋体"/>
          <w:b/>
          <w:sz w:val="30"/>
          <w:szCs w:val="30"/>
        </w:rPr>
      </w:pPr>
    </w:p>
    <w:p w14:paraId="0485E82C">
      <w:pPr>
        <w:ind w:firstLine="602"/>
        <w:jc w:val="center"/>
        <w:rPr>
          <w:rFonts w:ascii="宋体" w:hAnsi="宋体"/>
          <w:b/>
          <w:sz w:val="30"/>
          <w:szCs w:val="30"/>
        </w:rPr>
      </w:pPr>
    </w:p>
    <w:p w14:paraId="5F9AB934">
      <w:pPr>
        <w:ind w:firstLine="602"/>
        <w:jc w:val="center"/>
        <w:rPr>
          <w:rFonts w:ascii="宋体" w:hAnsi="宋体"/>
          <w:b/>
          <w:sz w:val="30"/>
          <w:szCs w:val="30"/>
        </w:rPr>
      </w:pPr>
    </w:p>
    <w:p w14:paraId="58F35016">
      <w:pPr>
        <w:ind w:firstLine="602"/>
        <w:jc w:val="center"/>
        <w:rPr>
          <w:rFonts w:ascii="宋体" w:hAnsi="宋体"/>
          <w:b/>
          <w:sz w:val="30"/>
          <w:szCs w:val="30"/>
        </w:rPr>
      </w:pPr>
    </w:p>
    <w:p w14:paraId="44925E8D">
      <w:pPr>
        <w:ind w:firstLine="602"/>
        <w:jc w:val="center"/>
        <w:rPr>
          <w:rFonts w:ascii="宋体" w:hAnsi="宋体"/>
          <w:b/>
          <w:sz w:val="30"/>
          <w:szCs w:val="30"/>
        </w:rPr>
      </w:pPr>
    </w:p>
    <w:p w14:paraId="1ECF7FEA">
      <w:pPr>
        <w:ind w:firstLine="602"/>
        <w:jc w:val="center"/>
        <w:rPr>
          <w:rFonts w:ascii="宋体" w:hAnsi="宋体"/>
          <w:b/>
          <w:sz w:val="30"/>
          <w:szCs w:val="30"/>
        </w:rPr>
      </w:pPr>
    </w:p>
    <w:p w14:paraId="67D02B5A">
      <w:pPr>
        <w:ind w:firstLine="602"/>
        <w:jc w:val="center"/>
        <w:rPr>
          <w:rFonts w:ascii="宋体" w:hAnsi="宋体"/>
          <w:b/>
          <w:sz w:val="30"/>
          <w:szCs w:val="30"/>
        </w:rPr>
      </w:pPr>
    </w:p>
    <w:p w14:paraId="1A074257">
      <w:pPr>
        <w:spacing w:line="400" w:lineRule="exact"/>
        <w:ind w:firstLine="4130" w:firstLineChars="935"/>
        <w:rPr>
          <w:b/>
          <w:sz w:val="44"/>
          <w:szCs w:val="44"/>
        </w:rPr>
      </w:pPr>
    </w:p>
    <w:p w14:paraId="0881E40F">
      <w:pPr>
        <w:spacing w:line="360" w:lineRule="exact"/>
        <w:ind w:firstLine="531" w:firstLineChars="147"/>
        <w:jc w:val="center"/>
        <w:rPr>
          <w:rFonts w:ascii="宋体"/>
          <w:b/>
          <w:sz w:val="36"/>
          <w:szCs w:val="36"/>
        </w:rPr>
      </w:pPr>
      <w:r>
        <w:rPr>
          <w:rFonts w:hint="eastAsia" w:ascii="宋体"/>
          <w:b/>
          <w:sz w:val="36"/>
          <w:szCs w:val="36"/>
        </w:rPr>
        <w:t>开标一览表</w:t>
      </w:r>
    </w:p>
    <w:p w14:paraId="45EA9DD6">
      <w:pPr>
        <w:spacing w:line="360" w:lineRule="exact"/>
        <w:ind w:firstLine="354" w:firstLineChars="147"/>
        <w:rPr>
          <w:rFonts w:ascii="宋体"/>
          <w:b/>
          <w:sz w:val="24"/>
        </w:rPr>
      </w:pPr>
    </w:p>
    <w:tbl>
      <w:tblPr>
        <w:tblStyle w:val="50"/>
        <w:tblW w:w="8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6609"/>
      </w:tblGrid>
      <w:tr w14:paraId="0EF71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jc w:val="center"/>
        </w:trPr>
        <w:tc>
          <w:tcPr>
            <w:tcW w:w="2146" w:type="dxa"/>
            <w:tcBorders>
              <w:top w:val="single" w:color="auto" w:sz="12" w:space="0"/>
              <w:bottom w:val="single" w:color="auto" w:sz="12" w:space="0"/>
              <w:right w:val="single" w:color="auto" w:sz="12" w:space="0"/>
            </w:tcBorders>
            <w:vAlign w:val="center"/>
          </w:tcPr>
          <w:p w14:paraId="6B863A7D">
            <w:pPr>
              <w:spacing w:line="700" w:lineRule="exact"/>
              <w:jc w:val="center"/>
              <w:rPr>
                <w:rFonts w:ascii="宋体"/>
                <w:sz w:val="24"/>
              </w:rPr>
            </w:pPr>
            <w:r>
              <w:rPr>
                <w:rFonts w:hint="eastAsia" w:ascii="宋体"/>
                <w:sz w:val="24"/>
              </w:rPr>
              <w:t>项目名称</w:t>
            </w:r>
          </w:p>
        </w:tc>
        <w:tc>
          <w:tcPr>
            <w:tcW w:w="6609" w:type="dxa"/>
            <w:tcBorders>
              <w:top w:val="single" w:color="auto" w:sz="12" w:space="0"/>
              <w:left w:val="single" w:color="auto" w:sz="12" w:space="0"/>
              <w:bottom w:val="single" w:color="auto" w:sz="12" w:space="0"/>
            </w:tcBorders>
            <w:vAlign w:val="center"/>
          </w:tcPr>
          <w:p w14:paraId="62FEBE3B">
            <w:pPr>
              <w:spacing w:line="700" w:lineRule="exact"/>
              <w:jc w:val="left"/>
              <w:rPr>
                <w:sz w:val="24"/>
              </w:rPr>
            </w:pPr>
            <w:r>
              <w:rPr>
                <w:rFonts w:hint="eastAsia"/>
                <w:sz w:val="24"/>
              </w:rPr>
              <w:t xml:space="preserve">         </w:t>
            </w:r>
          </w:p>
        </w:tc>
      </w:tr>
      <w:tr w14:paraId="3F206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jc w:val="center"/>
        </w:trPr>
        <w:tc>
          <w:tcPr>
            <w:tcW w:w="2146" w:type="dxa"/>
            <w:tcBorders>
              <w:top w:val="single" w:color="auto" w:sz="12" w:space="0"/>
              <w:right w:val="single" w:color="auto" w:sz="12" w:space="0"/>
            </w:tcBorders>
            <w:vAlign w:val="center"/>
          </w:tcPr>
          <w:p w14:paraId="5340BFCF">
            <w:pPr>
              <w:spacing w:line="700" w:lineRule="exact"/>
              <w:jc w:val="center"/>
              <w:rPr>
                <w:rFonts w:ascii="宋体"/>
                <w:sz w:val="24"/>
              </w:rPr>
            </w:pPr>
            <w:r>
              <w:rPr>
                <w:rFonts w:hint="eastAsia" w:ascii="宋体"/>
                <w:sz w:val="24"/>
              </w:rPr>
              <w:t>项目编号</w:t>
            </w:r>
          </w:p>
        </w:tc>
        <w:tc>
          <w:tcPr>
            <w:tcW w:w="6609" w:type="dxa"/>
            <w:tcBorders>
              <w:top w:val="single" w:color="auto" w:sz="12" w:space="0"/>
              <w:left w:val="single" w:color="auto" w:sz="12" w:space="0"/>
            </w:tcBorders>
            <w:vAlign w:val="center"/>
          </w:tcPr>
          <w:p w14:paraId="0EF9464C">
            <w:pPr>
              <w:spacing w:line="700" w:lineRule="exact"/>
              <w:rPr>
                <w:rFonts w:ascii="宋体"/>
                <w:sz w:val="24"/>
              </w:rPr>
            </w:pPr>
          </w:p>
        </w:tc>
      </w:tr>
      <w:tr w14:paraId="16794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jc w:val="center"/>
        </w:trPr>
        <w:tc>
          <w:tcPr>
            <w:tcW w:w="2146" w:type="dxa"/>
            <w:tcBorders>
              <w:right w:val="single" w:color="auto" w:sz="12" w:space="0"/>
            </w:tcBorders>
            <w:vAlign w:val="center"/>
          </w:tcPr>
          <w:p w14:paraId="65A14CC0">
            <w:pPr>
              <w:spacing w:line="700" w:lineRule="exact"/>
              <w:ind w:firstLine="120" w:firstLineChars="50"/>
              <w:rPr>
                <w:rFonts w:ascii="宋体"/>
                <w:sz w:val="24"/>
              </w:rPr>
            </w:pPr>
            <w:r>
              <w:rPr>
                <w:rFonts w:hint="eastAsia" w:ascii="宋体"/>
                <w:sz w:val="24"/>
              </w:rPr>
              <w:t>投标人名称</w:t>
            </w:r>
          </w:p>
        </w:tc>
        <w:tc>
          <w:tcPr>
            <w:tcW w:w="6609" w:type="dxa"/>
            <w:tcBorders>
              <w:left w:val="single" w:color="auto" w:sz="12" w:space="0"/>
            </w:tcBorders>
          </w:tcPr>
          <w:p w14:paraId="380FC0CE">
            <w:pPr>
              <w:pStyle w:val="26"/>
              <w:spacing w:line="700" w:lineRule="exact"/>
              <w:ind w:left="86" w:leftChars="41"/>
              <w:rPr>
                <w:rFonts w:ascii="宋体" w:eastAsia="宋体"/>
                <w:sz w:val="24"/>
              </w:rPr>
            </w:pPr>
          </w:p>
        </w:tc>
      </w:tr>
      <w:tr w14:paraId="1F5E2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jc w:val="center"/>
        </w:trPr>
        <w:tc>
          <w:tcPr>
            <w:tcW w:w="2146" w:type="dxa"/>
            <w:tcBorders>
              <w:right w:val="single" w:color="auto" w:sz="12" w:space="0"/>
            </w:tcBorders>
            <w:vAlign w:val="center"/>
          </w:tcPr>
          <w:p w14:paraId="4486BF5C">
            <w:pPr>
              <w:spacing w:line="700" w:lineRule="exact"/>
              <w:jc w:val="center"/>
              <w:rPr>
                <w:rFonts w:ascii="宋体"/>
                <w:sz w:val="24"/>
              </w:rPr>
            </w:pPr>
            <w:r>
              <w:rPr>
                <w:rFonts w:hint="eastAsia" w:ascii="宋体"/>
                <w:sz w:val="24"/>
              </w:rPr>
              <w:t>投标报价/服务期</w:t>
            </w:r>
          </w:p>
        </w:tc>
        <w:tc>
          <w:tcPr>
            <w:tcW w:w="6609" w:type="dxa"/>
            <w:tcBorders>
              <w:left w:val="single" w:color="auto" w:sz="12" w:space="0"/>
            </w:tcBorders>
            <w:vAlign w:val="center"/>
          </w:tcPr>
          <w:p w14:paraId="5CCF7F7B">
            <w:pPr>
              <w:spacing w:line="360" w:lineRule="auto"/>
              <w:rPr>
                <w:rFonts w:ascii="宋体"/>
                <w:sz w:val="24"/>
              </w:rPr>
            </w:pPr>
            <w:r>
              <w:rPr>
                <w:rFonts w:hint="eastAsia" w:ascii="宋体"/>
                <w:sz w:val="24"/>
              </w:rPr>
              <w:t>投标报价单价 （大写）：</w:t>
            </w:r>
            <w:r>
              <w:rPr>
                <w:rFonts w:hint="eastAsia" w:ascii="宋体"/>
                <w:sz w:val="24"/>
                <w:u w:val="single"/>
              </w:rPr>
              <w:t xml:space="preserve">              </w:t>
            </w:r>
            <w:r>
              <w:rPr>
                <w:rFonts w:hint="eastAsia" w:ascii="宋体"/>
                <w:sz w:val="24"/>
              </w:rPr>
              <w:t>元/台/年</w:t>
            </w:r>
          </w:p>
          <w:p w14:paraId="5FE92457">
            <w:pPr>
              <w:spacing w:line="360" w:lineRule="auto"/>
              <w:ind w:firstLine="1680" w:firstLineChars="700"/>
              <w:rPr>
                <w:rFonts w:ascii="宋体"/>
                <w:sz w:val="24"/>
              </w:rPr>
            </w:pPr>
            <w:r>
              <w:rPr>
                <w:rFonts w:hint="eastAsia" w:ascii="宋体"/>
                <w:sz w:val="24"/>
              </w:rPr>
              <w:t>(小写) ：</w:t>
            </w:r>
            <w:r>
              <w:rPr>
                <w:rFonts w:hint="eastAsia" w:ascii="宋体"/>
                <w:sz w:val="24"/>
                <w:u w:val="single"/>
              </w:rPr>
              <w:t xml:space="preserve">               </w:t>
            </w:r>
            <w:r>
              <w:rPr>
                <w:rFonts w:hint="eastAsia" w:ascii="宋体"/>
                <w:sz w:val="24"/>
              </w:rPr>
              <w:t>元/台/年</w:t>
            </w:r>
          </w:p>
          <w:p w14:paraId="1A8A3AEF">
            <w:pPr>
              <w:spacing w:line="360" w:lineRule="auto"/>
              <w:rPr>
                <w:rFonts w:ascii="宋体"/>
                <w:sz w:val="24"/>
              </w:rPr>
            </w:pPr>
            <w:r>
              <w:rPr>
                <w:rFonts w:hint="eastAsia" w:ascii="宋体"/>
                <w:sz w:val="24"/>
              </w:rPr>
              <w:t>合计：18台</w:t>
            </w:r>
          </w:p>
          <w:p w14:paraId="44DDB635">
            <w:pPr>
              <w:spacing w:line="360" w:lineRule="auto"/>
              <w:rPr>
                <w:rFonts w:ascii="宋体"/>
                <w:sz w:val="24"/>
              </w:rPr>
            </w:pPr>
          </w:p>
          <w:p w14:paraId="647CABB2">
            <w:pPr>
              <w:spacing w:line="360" w:lineRule="auto"/>
              <w:rPr>
                <w:rFonts w:ascii="宋体"/>
                <w:sz w:val="24"/>
              </w:rPr>
            </w:pPr>
            <w:r>
              <w:rPr>
                <w:rFonts w:hint="eastAsia" w:ascii="宋体"/>
                <w:sz w:val="24"/>
              </w:rPr>
              <w:t>投标总报价 （大写）：</w:t>
            </w:r>
            <w:r>
              <w:rPr>
                <w:rFonts w:hint="eastAsia" w:ascii="宋体"/>
                <w:sz w:val="24"/>
                <w:u w:val="single"/>
              </w:rPr>
              <w:t xml:space="preserve">                   </w:t>
            </w:r>
            <w:r>
              <w:rPr>
                <w:rFonts w:hint="eastAsia" w:ascii="宋体"/>
                <w:sz w:val="24"/>
              </w:rPr>
              <w:t>元/年</w:t>
            </w:r>
          </w:p>
          <w:p w14:paraId="45663B32">
            <w:pPr>
              <w:spacing w:line="360" w:lineRule="auto"/>
              <w:ind w:firstLine="1080" w:firstLineChars="450"/>
              <w:rPr>
                <w:rFonts w:ascii="宋体"/>
                <w:sz w:val="24"/>
              </w:rPr>
            </w:pPr>
            <w:r>
              <w:rPr>
                <w:rFonts w:hint="eastAsia" w:ascii="宋体"/>
                <w:sz w:val="24"/>
              </w:rPr>
              <w:t>(小写) ：</w:t>
            </w:r>
            <w:r>
              <w:rPr>
                <w:rFonts w:hint="eastAsia" w:ascii="宋体"/>
                <w:sz w:val="24"/>
                <w:u w:val="single"/>
              </w:rPr>
              <w:t xml:space="preserve">                    </w:t>
            </w:r>
            <w:r>
              <w:rPr>
                <w:rFonts w:hint="eastAsia" w:ascii="宋体"/>
                <w:sz w:val="24"/>
              </w:rPr>
              <w:t>元/年</w:t>
            </w:r>
          </w:p>
          <w:p w14:paraId="1D8A1A5A">
            <w:pPr>
              <w:spacing w:line="360" w:lineRule="auto"/>
              <w:ind w:firstLine="1080" w:firstLineChars="450"/>
              <w:rPr>
                <w:rFonts w:ascii="宋体"/>
                <w:sz w:val="24"/>
              </w:rPr>
            </w:pPr>
          </w:p>
          <w:p w14:paraId="2F520754">
            <w:pPr>
              <w:pStyle w:val="18"/>
              <w:ind w:firstLine="480"/>
            </w:pPr>
            <w:r>
              <w:rPr>
                <w:rFonts w:hint="eastAsia" w:ascii="宋体"/>
                <w:sz w:val="24"/>
              </w:rPr>
              <w:t>服务期：</w:t>
            </w:r>
            <w:r>
              <w:rPr>
                <w:rFonts w:hint="eastAsia" w:ascii="宋体"/>
                <w:sz w:val="24"/>
                <w:u w:val="single"/>
              </w:rPr>
              <w:t xml:space="preserve">                   。</w:t>
            </w:r>
          </w:p>
        </w:tc>
      </w:tr>
    </w:tbl>
    <w:p w14:paraId="59E9C01D">
      <w:pPr>
        <w:snapToGrid w:val="0"/>
        <w:spacing w:line="460" w:lineRule="exact"/>
        <w:ind w:left="2940" w:leftChars="1400" w:firstLine="723" w:firstLineChars="300"/>
        <w:rPr>
          <w:rFonts w:ascii="宋体"/>
          <w:b/>
          <w:sz w:val="24"/>
        </w:rPr>
      </w:pPr>
    </w:p>
    <w:p w14:paraId="79302080">
      <w:pPr>
        <w:ind w:firstLine="720" w:firstLineChars="300"/>
        <w:rPr>
          <w:rFonts w:ascii="宋体"/>
          <w:sz w:val="24"/>
        </w:rPr>
      </w:pPr>
      <w:r>
        <w:rPr>
          <w:rFonts w:hint="eastAsia" w:ascii="宋体"/>
          <w:sz w:val="24"/>
        </w:rPr>
        <w:t>法定代表人（签字或盖章）：         投标人（签字或盖章）：</w:t>
      </w:r>
    </w:p>
    <w:p w14:paraId="686E0694">
      <w:pPr>
        <w:snapToGrid w:val="0"/>
        <w:spacing w:before="312" w:beforeLines="100" w:after="312" w:afterLines="100" w:line="360" w:lineRule="auto"/>
        <w:jc w:val="center"/>
        <w:rPr>
          <w:rFonts w:cs="Arial"/>
          <w:b/>
          <w:bCs/>
          <w:sz w:val="30"/>
          <w:szCs w:val="30"/>
        </w:rPr>
        <w:sectPr>
          <w:pgSz w:w="11906" w:h="16838"/>
          <w:pgMar w:top="1440" w:right="1080" w:bottom="1440" w:left="1080" w:header="851" w:footer="992" w:gutter="0"/>
          <w:pgNumType w:fmt="numberInDash"/>
          <w:cols w:space="720" w:num="1"/>
          <w:docGrid w:type="lines" w:linePitch="312" w:charSpace="0"/>
        </w:sectPr>
      </w:pPr>
      <w:r>
        <w:rPr>
          <w:rFonts w:hint="eastAsia" w:ascii="宋体"/>
          <w:sz w:val="24"/>
        </w:rPr>
        <w:t xml:space="preserve">                                      日  期：</w:t>
      </w:r>
      <w:r>
        <w:rPr>
          <w:rFonts w:hint="eastAsia" w:ascii="宋体" w:hAnsi="宋体"/>
          <w:sz w:val="24"/>
          <w:u w:val="single"/>
        </w:rPr>
        <w:t xml:space="preserve">      </w:t>
      </w:r>
      <w:r>
        <w:rPr>
          <w:rFonts w:hint="eastAsia" w:ascii="宋体"/>
          <w:sz w:val="24"/>
        </w:rPr>
        <w:t>年</w:t>
      </w:r>
      <w:r>
        <w:rPr>
          <w:rFonts w:hint="eastAsia" w:ascii="宋体" w:hAnsi="宋体"/>
          <w:sz w:val="24"/>
          <w:u w:val="single"/>
        </w:rPr>
        <w:t xml:space="preserve">   </w:t>
      </w:r>
      <w:r>
        <w:rPr>
          <w:rFonts w:hint="eastAsia" w:ascii="宋体"/>
          <w:sz w:val="24"/>
        </w:rPr>
        <w:t>月</w:t>
      </w:r>
      <w:r>
        <w:rPr>
          <w:rFonts w:hint="eastAsia" w:ascii="宋体" w:hAnsi="宋体"/>
          <w:sz w:val="24"/>
          <w:u w:val="single"/>
        </w:rPr>
        <w:t xml:space="preserve">   </w:t>
      </w:r>
      <w:r>
        <w:rPr>
          <w:rFonts w:hint="eastAsia" w:ascii="宋体"/>
          <w:sz w:val="24"/>
        </w:rPr>
        <w:t xml:space="preserve">日 </w:t>
      </w:r>
    </w:p>
    <w:p w14:paraId="51858304">
      <w:pPr>
        <w:spacing w:line="360" w:lineRule="exact"/>
        <w:ind w:firstLine="443" w:firstLineChars="147"/>
        <w:rPr>
          <w:rFonts w:ascii="宋体" w:hAnsi="宋体"/>
          <w:b/>
          <w:sz w:val="30"/>
          <w:szCs w:val="30"/>
        </w:rPr>
      </w:pPr>
    </w:p>
    <w:p w14:paraId="6E2E0779">
      <w:pPr>
        <w:spacing w:line="360" w:lineRule="exact"/>
        <w:ind w:firstLine="723"/>
        <w:jc w:val="center"/>
        <w:rPr>
          <w:rFonts w:ascii="宋体"/>
          <w:b/>
          <w:sz w:val="36"/>
          <w:szCs w:val="36"/>
        </w:rPr>
      </w:pPr>
      <w:r>
        <w:rPr>
          <w:rFonts w:hint="eastAsia" w:ascii="宋体"/>
          <w:b/>
          <w:sz w:val="36"/>
          <w:szCs w:val="36"/>
        </w:rPr>
        <w:t>投  标  函</w:t>
      </w:r>
    </w:p>
    <w:p w14:paraId="65034527">
      <w:pPr>
        <w:spacing w:line="440" w:lineRule="exact"/>
        <w:rPr>
          <w:rFonts w:ascii="宋体"/>
          <w:sz w:val="24"/>
        </w:rPr>
      </w:pPr>
    </w:p>
    <w:p w14:paraId="7569D73B">
      <w:pPr>
        <w:spacing w:line="440" w:lineRule="exact"/>
        <w:rPr>
          <w:rFonts w:ascii="宋体"/>
          <w:sz w:val="24"/>
        </w:rPr>
      </w:pPr>
      <w:r>
        <w:rPr>
          <w:rFonts w:hint="eastAsia" w:ascii="宋体"/>
          <w:sz w:val="24"/>
        </w:rPr>
        <w:t>致：</w:t>
      </w:r>
      <w:r>
        <w:rPr>
          <w:rFonts w:hint="eastAsia" w:ascii="宋体"/>
          <w:sz w:val="24"/>
          <w:u w:val="single"/>
        </w:rPr>
        <w:t xml:space="preserve">       (采购人)       </w:t>
      </w:r>
      <w:r>
        <w:rPr>
          <w:rFonts w:hint="eastAsia" w:ascii="宋体"/>
          <w:sz w:val="24"/>
        </w:rPr>
        <w:t xml:space="preserve"> </w:t>
      </w:r>
    </w:p>
    <w:p w14:paraId="27147583">
      <w:pPr>
        <w:spacing w:line="440" w:lineRule="exact"/>
        <w:ind w:firstLine="480" w:firstLineChars="200"/>
        <w:rPr>
          <w:rFonts w:ascii="宋体"/>
          <w:sz w:val="24"/>
        </w:rPr>
      </w:pPr>
      <w:r>
        <w:rPr>
          <w:rFonts w:hint="eastAsia" w:ascii="宋体"/>
          <w:sz w:val="24"/>
        </w:rPr>
        <w:t>1.我们决定参加贵单位组织的“</w:t>
      </w:r>
      <w:r>
        <w:rPr>
          <w:rFonts w:hint="eastAsia" w:ascii="宋体"/>
          <w:sz w:val="24"/>
          <w:u w:val="single"/>
        </w:rPr>
        <w:t xml:space="preserve"> （项目名称）    </w:t>
      </w:r>
      <w:r>
        <w:rPr>
          <w:rFonts w:hint="eastAsia" w:ascii="宋体"/>
          <w:sz w:val="24"/>
        </w:rPr>
        <w:t>（编号：</w:t>
      </w:r>
      <w:r>
        <w:rPr>
          <w:rFonts w:hint="eastAsia" w:ascii="宋体"/>
          <w:sz w:val="24"/>
          <w:u w:val="single"/>
        </w:rPr>
        <w:t xml:space="preserve">             </w:t>
      </w:r>
      <w:r>
        <w:rPr>
          <w:rFonts w:hint="eastAsia" w:ascii="宋体"/>
          <w:sz w:val="24"/>
        </w:rPr>
        <w:t xml:space="preserve">）”的采购。我方授权 </w:t>
      </w:r>
      <w:r>
        <w:rPr>
          <w:rFonts w:hint="eastAsia" w:ascii="宋体"/>
          <w:sz w:val="24"/>
          <w:u w:val="single"/>
        </w:rPr>
        <w:t xml:space="preserve">              </w:t>
      </w:r>
      <w:r>
        <w:rPr>
          <w:rFonts w:hint="eastAsia" w:ascii="宋体"/>
          <w:sz w:val="24"/>
        </w:rPr>
        <w:t>(姓名和职务)代表我方</w:t>
      </w:r>
      <w:r>
        <w:rPr>
          <w:rFonts w:hint="eastAsia" w:ascii="宋体"/>
          <w:sz w:val="24"/>
          <w:u w:val="single"/>
        </w:rPr>
        <w:t xml:space="preserve">               </w:t>
      </w:r>
      <w:r>
        <w:rPr>
          <w:rFonts w:hint="eastAsia" w:ascii="宋体"/>
          <w:sz w:val="24"/>
        </w:rPr>
        <w:t>（投标人的名称）全权处理本项目投标的有关事宜。</w:t>
      </w:r>
    </w:p>
    <w:p w14:paraId="0238627A">
      <w:pPr>
        <w:spacing w:line="440" w:lineRule="exact"/>
        <w:ind w:firstLine="480" w:firstLineChars="200"/>
        <w:rPr>
          <w:rFonts w:ascii="宋体"/>
          <w:sz w:val="24"/>
        </w:rPr>
      </w:pPr>
      <w:r>
        <w:rPr>
          <w:rFonts w:hint="eastAsia" w:ascii="宋体"/>
          <w:sz w:val="24"/>
        </w:rPr>
        <w:t xml:space="preserve">2.我方愿意按照招标文件规定的各项要求，向采购人提供“ </w:t>
      </w:r>
      <w:r>
        <w:rPr>
          <w:rFonts w:hint="eastAsia" w:ascii="宋体"/>
          <w:sz w:val="24"/>
          <w:u w:val="single"/>
        </w:rPr>
        <w:t xml:space="preserve">     </w:t>
      </w:r>
      <w:r>
        <w:rPr>
          <w:rFonts w:hint="eastAsia" w:ascii="宋体"/>
          <w:sz w:val="24"/>
        </w:rPr>
        <w:t>（项目编号）”项目的服务，总投标价为</w:t>
      </w:r>
      <w:r>
        <w:rPr>
          <w:rFonts w:hint="eastAsia" w:ascii="宋体"/>
          <w:sz w:val="24"/>
          <w:u w:val="single"/>
        </w:rPr>
        <w:t xml:space="preserve">人民币（大写）      （小写）         </w:t>
      </w:r>
      <w:r>
        <w:rPr>
          <w:rFonts w:hint="eastAsia" w:ascii="宋体"/>
          <w:sz w:val="24"/>
        </w:rPr>
        <w:t xml:space="preserve"> ；服务期 ：</w:t>
      </w:r>
      <w:r>
        <w:rPr>
          <w:rFonts w:hint="eastAsia" w:ascii="宋体"/>
          <w:sz w:val="24"/>
          <w:u w:val="single"/>
        </w:rPr>
        <w:t xml:space="preserve">     </w:t>
      </w:r>
      <w:r>
        <w:rPr>
          <w:rFonts w:hint="eastAsia" w:ascii="宋体"/>
          <w:sz w:val="24"/>
        </w:rPr>
        <w:t>。</w:t>
      </w:r>
    </w:p>
    <w:p w14:paraId="3E3C18B8">
      <w:pPr>
        <w:spacing w:line="440" w:lineRule="exact"/>
        <w:ind w:firstLine="480" w:firstLineChars="200"/>
        <w:rPr>
          <w:rFonts w:ascii="宋体"/>
          <w:sz w:val="24"/>
        </w:rPr>
      </w:pPr>
      <w:r>
        <w:rPr>
          <w:rFonts w:hint="eastAsia" w:ascii="宋体"/>
          <w:sz w:val="24"/>
        </w:rPr>
        <w:t>3.一旦我方成为合同签字人，我方将严格履行合同规定的责任和义务。</w:t>
      </w:r>
    </w:p>
    <w:p w14:paraId="551C434A">
      <w:pPr>
        <w:spacing w:line="440" w:lineRule="exact"/>
        <w:ind w:firstLine="480" w:firstLineChars="200"/>
        <w:rPr>
          <w:rFonts w:ascii="宋体"/>
          <w:sz w:val="24"/>
        </w:rPr>
      </w:pPr>
      <w:r>
        <w:rPr>
          <w:rFonts w:hint="eastAsia" w:ascii="宋体"/>
          <w:sz w:val="24"/>
        </w:rPr>
        <w:t>4.我方愿意提供可能另外要求的、与采购投标有关的文件资料，并保证我方已提供和将要提供的文件是真实的、准确的。</w:t>
      </w:r>
    </w:p>
    <w:p w14:paraId="18862601">
      <w:pPr>
        <w:spacing w:line="440" w:lineRule="exact"/>
        <w:ind w:firstLine="480" w:firstLineChars="200"/>
        <w:rPr>
          <w:rFonts w:ascii="宋体"/>
          <w:sz w:val="24"/>
        </w:rPr>
      </w:pPr>
      <w:r>
        <w:rPr>
          <w:rFonts w:hint="eastAsia" w:ascii="宋体"/>
          <w:sz w:val="24"/>
        </w:rPr>
        <w:t>5、我单位提供如下通讯地址：</w:t>
      </w:r>
      <w:r>
        <w:rPr>
          <w:rFonts w:hint="eastAsia" w:ascii="宋体"/>
          <w:sz w:val="24"/>
          <w:u w:val="single"/>
        </w:rPr>
        <w:t xml:space="preserve">              </w:t>
      </w:r>
      <w:r>
        <w:rPr>
          <w:rFonts w:hint="eastAsia" w:ascii="宋体"/>
          <w:sz w:val="24"/>
        </w:rPr>
        <w:t xml:space="preserve">  电子邮箱（地址），确认本项目相关法律文书均通过提供的以上地址送达，相关文书只要发送至以上电子邮箱（地址）即视为送达，投标人愿意承担一切法律后果。</w:t>
      </w:r>
    </w:p>
    <w:p w14:paraId="42AF1E3C">
      <w:pPr>
        <w:spacing w:line="440" w:lineRule="exact"/>
        <w:rPr>
          <w:rFonts w:ascii="宋体"/>
          <w:sz w:val="24"/>
        </w:rPr>
      </w:pPr>
      <w:r>
        <w:rPr>
          <w:rFonts w:hint="eastAsia" w:ascii="宋体"/>
          <w:sz w:val="24"/>
        </w:rPr>
        <w:t> </w:t>
      </w:r>
    </w:p>
    <w:p w14:paraId="4E6AB00E">
      <w:pPr>
        <w:spacing w:line="440" w:lineRule="exact"/>
        <w:jc w:val="right"/>
        <w:rPr>
          <w:rFonts w:ascii="宋体"/>
          <w:sz w:val="24"/>
        </w:rPr>
      </w:pPr>
      <w:r>
        <w:rPr>
          <w:rFonts w:hint="eastAsia" w:ascii="宋体"/>
          <w:sz w:val="24"/>
        </w:rPr>
        <w:t>投标人名称：</w:t>
      </w:r>
      <w:r>
        <w:rPr>
          <w:rFonts w:hint="eastAsia" w:ascii="宋体"/>
          <w:sz w:val="24"/>
          <w:u w:val="single"/>
        </w:rPr>
        <w:t xml:space="preserve">                        </w:t>
      </w:r>
      <w:r>
        <w:rPr>
          <w:rFonts w:hint="eastAsia" w:ascii="宋体"/>
          <w:sz w:val="24"/>
        </w:rPr>
        <w:t>（盖单位章）</w:t>
      </w:r>
    </w:p>
    <w:p w14:paraId="15E47DDC">
      <w:pPr>
        <w:spacing w:line="440" w:lineRule="exact"/>
        <w:jc w:val="right"/>
        <w:rPr>
          <w:rFonts w:ascii="宋体"/>
          <w:sz w:val="24"/>
        </w:rPr>
      </w:pPr>
    </w:p>
    <w:p w14:paraId="75036D50">
      <w:pPr>
        <w:spacing w:line="440" w:lineRule="exact"/>
        <w:jc w:val="right"/>
        <w:rPr>
          <w:rFonts w:ascii="宋体"/>
          <w:sz w:val="24"/>
        </w:rPr>
      </w:pPr>
      <w:r>
        <w:rPr>
          <w:rFonts w:hint="eastAsia" w:ascii="宋体"/>
          <w:sz w:val="24"/>
        </w:rPr>
        <w:t>投标人法定代表人：</w:t>
      </w:r>
      <w:r>
        <w:rPr>
          <w:rFonts w:hint="eastAsia" w:ascii="宋体"/>
          <w:sz w:val="24"/>
          <w:u w:val="single"/>
        </w:rPr>
        <w:t xml:space="preserve">                      </w:t>
      </w:r>
      <w:r>
        <w:rPr>
          <w:rFonts w:hint="eastAsia" w:ascii="宋体"/>
          <w:sz w:val="24"/>
        </w:rPr>
        <w:t>（签字或盖章）</w:t>
      </w:r>
    </w:p>
    <w:p w14:paraId="65FFF297">
      <w:pPr>
        <w:spacing w:line="440" w:lineRule="exact"/>
        <w:ind w:firstLine="3240" w:firstLineChars="1350"/>
        <w:rPr>
          <w:rFonts w:ascii="宋体"/>
          <w:sz w:val="24"/>
        </w:rPr>
      </w:pPr>
      <w:r>
        <w:rPr>
          <w:rFonts w:hint="eastAsia" w:ascii="宋体"/>
          <w:sz w:val="24"/>
        </w:rPr>
        <w:t>日    期：</w:t>
      </w:r>
      <w:r>
        <w:rPr>
          <w:rFonts w:hint="eastAsia" w:ascii="宋体"/>
          <w:sz w:val="24"/>
          <w:u w:val="single"/>
        </w:rPr>
        <w:t xml:space="preserve">                 </w:t>
      </w:r>
    </w:p>
    <w:p w14:paraId="1EF84C71">
      <w:pPr>
        <w:spacing w:line="440" w:lineRule="exact"/>
        <w:ind w:firstLine="3240" w:firstLineChars="1350"/>
        <w:rPr>
          <w:rFonts w:ascii="宋体"/>
          <w:sz w:val="24"/>
        </w:rPr>
      </w:pPr>
      <w:r>
        <w:rPr>
          <w:rFonts w:hint="eastAsia" w:ascii="宋体"/>
          <w:sz w:val="24"/>
        </w:rPr>
        <w:t>通讯地址：</w:t>
      </w:r>
      <w:r>
        <w:rPr>
          <w:rFonts w:hint="eastAsia" w:ascii="宋体"/>
          <w:sz w:val="24"/>
          <w:u w:val="single"/>
        </w:rPr>
        <w:t xml:space="preserve">                 </w:t>
      </w:r>
    </w:p>
    <w:p w14:paraId="7909B88F">
      <w:pPr>
        <w:spacing w:line="440" w:lineRule="exact"/>
        <w:ind w:firstLine="3240" w:firstLineChars="1350"/>
        <w:rPr>
          <w:rFonts w:ascii="宋体"/>
          <w:sz w:val="24"/>
        </w:rPr>
      </w:pPr>
      <w:r>
        <w:rPr>
          <w:rFonts w:hint="eastAsia" w:ascii="宋体"/>
          <w:sz w:val="24"/>
        </w:rPr>
        <w:t>电    话：</w:t>
      </w:r>
      <w:r>
        <w:rPr>
          <w:rFonts w:hint="eastAsia" w:ascii="宋体"/>
          <w:sz w:val="24"/>
          <w:u w:val="single"/>
        </w:rPr>
        <w:t xml:space="preserve">                 </w:t>
      </w:r>
    </w:p>
    <w:p w14:paraId="2AAB1579">
      <w:pPr>
        <w:spacing w:line="360" w:lineRule="exact"/>
        <w:ind w:firstLine="562"/>
        <w:rPr>
          <w:rFonts w:ascii="宋体"/>
          <w:b/>
          <w:sz w:val="28"/>
          <w:szCs w:val="28"/>
        </w:rPr>
      </w:pPr>
    </w:p>
    <w:p w14:paraId="3D4ED50F">
      <w:pPr>
        <w:snapToGrid w:val="0"/>
        <w:spacing w:before="156" w:beforeLines="50" w:after="156" w:afterLines="50" w:line="440" w:lineRule="exact"/>
        <w:ind w:firstLine="562"/>
        <w:jc w:val="center"/>
        <w:rPr>
          <w:rFonts w:ascii="宋体" w:cs="宋体"/>
          <w:b/>
          <w:bCs/>
          <w:sz w:val="28"/>
          <w:szCs w:val="28"/>
        </w:rPr>
      </w:pPr>
    </w:p>
    <w:p w14:paraId="5C600222">
      <w:pPr>
        <w:snapToGrid w:val="0"/>
        <w:spacing w:before="156" w:beforeLines="50" w:after="156" w:afterLines="50" w:line="440" w:lineRule="exact"/>
        <w:ind w:firstLine="562"/>
        <w:jc w:val="center"/>
        <w:rPr>
          <w:rFonts w:ascii="宋体" w:cs="宋体"/>
          <w:b/>
          <w:bCs/>
          <w:sz w:val="28"/>
          <w:szCs w:val="28"/>
        </w:rPr>
      </w:pPr>
    </w:p>
    <w:p w14:paraId="6A84B14E">
      <w:pPr>
        <w:spacing w:line="500" w:lineRule="exact"/>
        <w:ind w:firstLine="723"/>
        <w:jc w:val="center"/>
        <w:rPr>
          <w:rFonts w:ascii="宋体"/>
          <w:b/>
          <w:sz w:val="36"/>
          <w:szCs w:val="36"/>
        </w:rPr>
      </w:pPr>
    </w:p>
    <w:p w14:paraId="501565DF">
      <w:pPr>
        <w:spacing w:line="500" w:lineRule="exact"/>
        <w:ind w:firstLine="723"/>
        <w:jc w:val="center"/>
        <w:rPr>
          <w:rFonts w:ascii="宋体"/>
          <w:b/>
          <w:sz w:val="36"/>
          <w:szCs w:val="36"/>
        </w:rPr>
      </w:pPr>
    </w:p>
    <w:p w14:paraId="77FB6B71">
      <w:pPr>
        <w:spacing w:line="500" w:lineRule="exact"/>
        <w:ind w:firstLine="723"/>
        <w:jc w:val="center"/>
        <w:rPr>
          <w:rFonts w:ascii="宋体"/>
          <w:b/>
          <w:sz w:val="36"/>
          <w:szCs w:val="36"/>
        </w:rPr>
      </w:pPr>
      <w:r>
        <w:rPr>
          <w:rFonts w:hint="eastAsia" w:ascii="宋体"/>
          <w:b/>
          <w:sz w:val="36"/>
          <w:szCs w:val="36"/>
        </w:rPr>
        <w:t>投标人认为需要提供的其他材料（如有）</w:t>
      </w:r>
    </w:p>
    <w:bookmarkEnd w:id="584"/>
    <w:bookmarkEnd w:id="585"/>
    <w:bookmarkEnd w:id="586"/>
    <w:bookmarkEnd w:id="587"/>
    <w:bookmarkEnd w:id="588"/>
    <w:bookmarkEnd w:id="589"/>
    <w:bookmarkEnd w:id="590"/>
    <w:bookmarkEnd w:id="591"/>
    <w:p w14:paraId="2CCA0633">
      <w:pPr>
        <w:pStyle w:val="2"/>
        <w:ind w:firstLine="602"/>
        <w:rPr>
          <w:sz w:val="30"/>
          <w:szCs w:val="30"/>
        </w:rPr>
      </w:pPr>
      <w:bookmarkStart w:id="731" w:name="_Toc7702"/>
      <w:bookmarkStart w:id="732" w:name="_Toc11858"/>
      <w:bookmarkStart w:id="733" w:name="_Toc29328_WPSOffice_Level1"/>
      <w:bookmarkStart w:id="734" w:name="_Toc150"/>
      <w:bookmarkStart w:id="735" w:name="_Toc19487_WPSOffice_Level1"/>
      <w:bookmarkStart w:id="736" w:name="_Toc14229"/>
      <w:bookmarkStart w:id="737" w:name="_Toc35864597"/>
      <w:r>
        <w:rPr>
          <w:rFonts w:hint="eastAsia"/>
          <w:sz w:val="30"/>
          <w:szCs w:val="30"/>
        </w:rPr>
        <w:t>第七章 招标单位、代理机构对本招标文件的确认</w:t>
      </w:r>
      <w:bookmarkEnd w:id="731"/>
      <w:bookmarkEnd w:id="732"/>
      <w:bookmarkEnd w:id="733"/>
      <w:bookmarkEnd w:id="734"/>
      <w:bookmarkEnd w:id="735"/>
      <w:bookmarkEnd w:id="736"/>
      <w:bookmarkEnd w:id="737"/>
    </w:p>
    <w:tbl>
      <w:tblPr>
        <w:tblStyle w:val="50"/>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0"/>
      </w:tblGrid>
      <w:tr w14:paraId="773B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jc w:val="center"/>
        </w:trPr>
        <w:tc>
          <w:tcPr>
            <w:tcW w:w="9880" w:type="dxa"/>
          </w:tcPr>
          <w:p w14:paraId="22F09A47">
            <w:pPr>
              <w:adjustRightInd w:val="0"/>
              <w:snapToGrid w:val="0"/>
              <w:spacing w:line="560" w:lineRule="exact"/>
              <w:ind w:firstLine="560"/>
              <w:rPr>
                <w:rFonts w:ascii="宋体" w:cs="宋体"/>
                <w:sz w:val="28"/>
                <w:szCs w:val="28"/>
              </w:rPr>
            </w:pPr>
          </w:p>
          <w:p w14:paraId="3A4AFF80">
            <w:pPr>
              <w:widowControl/>
              <w:spacing w:line="360" w:lineRule="auto"/>
              <w:ind w:firstLine="560"/>
              <w:jc w:val="left"/>
              <w:rPr>
                <w:rFonts w:ascii="宋体" w:cs="宋体"/>
                <w:sz w:val="28"/>
                <w:szCs w:val="28"/>
              </w:rPr>
            </w:pPr>
            <w:r>
              <w:rPr>
                <w:rFonts w:hint="eastAsia" w:ascii="宋体" w:hAnsi="宋体" w:cs="宋体"/>
                <w:sz w:val="28"/>
                <w:szCs w:val="28"/>
              </w:rPr>
              <w:t>我单位对</w:t>
            </w:r>
            <w:r>
              <w:rPr>
                <w:rFonts w:hint="eastAsia" w:ascii="宋体" w:hAnsi="宋体" w:cs="宋体"/>
                <w:sz w:val="28"/>
                <w:szCs w:val="28"/>
                <w:u w:val="single"/>
              </w:rPr>
              <w:t xml:space="preserve">  滁州市第二人民医院电梯维保服务项目  </w:t>
            </w:r>
            <w:r>
              <w:rPr>
                <w:rFonts w:hint="eastAsia" w:ascii="宋体" w:hAnsi="宋体" w:cs="宋体"/>
                <w:sz w:val="28"/>
                <w:szCs w:val="28"/>
              </w:rPr>
              <w:t>的招标文件进行确认。</w:t>
            </w:r>
          </w:p>
          <w:p w14:paraId="0F4F7B8F">
            <w:pPr>
              <w:adjustRightInd w:val="0"/>
              <w:snapToGrid w:val="0"/>
              <w:spacing w:line="560" w:lineRule="exact"/>
              <w:ind w:firstLine="560" w:firstLineChars="200"/>
              <w:rPr>
                <w:rFonts w:ascii="宋体" w:hAnsi="宋体"/>
                <w:sz w:val="28"/>
                <w:szCs w:val="28"/>
              </w:rPr>
            </w:pPr>
            <w:r>
              <w:rPr>
                <w:rFonts w:hint="eastAsia" w:ascii="宋体" w:hAnsi="宋体"/>
                <w:sz w:val="28"/>
                <w:szCs w:val="28"/>
              </w:rPr>
              <w:t>招标人：</w:t>
            </w:r>
            <w:r>
              <w:rPr>
                <w:rFonts w:hint="eastAsia" w:hAnsi="宋体" w:cs="宋体"/>
                <w:sz w:val="28"/>
                <w:szCs w:val="28"/>
                <w:shd w:val="clear" w:color="auto" w:fill="FFFFFF"/>
              </w:rPr>
              <w:t>滁州市第二人民医院（市传染病医院、市精神病医院）</w:t>
            </w:r>
            <w:r>
              <w:rPr>
                <w:rFonts w:hint="eastAsia" w:ascii="宋体" w:hAnsi="宋体"/>
                <w:sz w:val="28"/>
                <w:szCs w:val="28"/>
              </w:rPr>
              <w:t xml:space="preserve"> </w:t>
            </w:r>
          </w:p>
          <w:p w14:paraId="5B4D6EC5">
            <w:pPr>
              <w:adjustRightInd w:val="0"/>
              <w:snapToGrid w:val="0"/>
              <w:spacing w:line="560" w:lineRule="exact"/>
              <w:ind w:firstLine="560" w:firstLineChars="200"/>
              <w:rPr>
                <w:rFonts w:ascii="宋体" w:hAnsi="宋体"/>
                <w:sz w:val="28"/>
                <w:szCs w:val="28"/>
              </w:rPr>
            </w:pPr>
            <w:r>
              <w:rPr>
                <w:rFonts w:hint="eastAsia" w:ascii="宋体" w:hAnsi="宋体"/>
                <w:sz w:val="28"/>
                <w:szCs w:val="28"/>
              </w:rPr>
              <w:t>联系</w:t>
            </w:r>
            <w:r>
              <w:rPr>
                <w:rFonts w:hint="eastAsia" w:ascii="宋体" w:hAnsi="宋体" w:cs="宋体"/>
                <w:sz w:val="28"/>
                <w:szCs w:val="28"/>
                <w:shd w:val="clear" w:color="auto" w:fill="FFFFFF"/>
              </w:rPr>
              <w:t xml:space="preserve">人：招标办 </w:t>
            </w:r>
          </w:p>
          <w:p w14:paraId="791C91E2">
            <w:pPr>
              <w:adjustRightInd w:val="0"/>
              <w:snapToGrid w:val="0"/>
              <w:spacing w:line="560" w:lineRule="exact"/>
              <w:ind w:firstLine="560" w:firstLineChars="200"/>
              <w:rPr>
                <w:rFonts w:ascii="宋体" w:hAnsi="宋体"/>
                <w:sz w:val="28"/>
                <w:szCs w:val="28"/>
              </w:rPr>
            </w:pPr>
            <w:r>
              <w:rPr>
                <w:rFonts w:hint="eastAsia" w:ascii="宋体" w:hAnsi="宋体"/>
                <w:sz w:val="28"/>
                <w:szCs w:val="28"/>
              </w:rPr>
              <w:t>联系电话：</w:t>
            </w:r>
            <w:r>
              <w:rPr>
                <w:rFonts w:hint="eastAsia" w:hAnsi="宋体" w:cs="宋体"/>
                <w:sz w:val="28"/>
                <w:szCs w:val="28"/>
                <w:shd w:val="clear" w:color="auto" w:fill="FFFFFF"/>
              </w:rPr>
              <w:t xml:space="preserve">0550-3523822 </w:t>
            </w:r>
          </w:p>
          <w:p w14:paraId="0CE0DCE7">
            <w:pPr>
              <w:adjustRightInd w:val="0"/>
              <w:snapToGrid w:val="0"/>
              <w:spacing w:line="560" w:lineRule="exact"/>
              <w:ind w:firstLine="560" w:firstLineChars="200"/>
              <w:rPr>
                <w:rFonts w:ascii="宋体" w:hAnsi="宋体"/>
                <w:sz w:val="28"/>
                <w:szCs w:val="28"/>
              </w:rPr>
            </w:pPr>
            <w:r>
              <w:rPr>
                <w:rFonts w:hint="eastAsia" w:ascii="宋体" w:hAnsi="宋体"/>
                <w:sz w:val="28"/>
                <w:szCs w:val="28"/>
              </w:rPr>
              <w:t xml:space="preserve">                              </w:t>
            </w:r>
          </w:p>
          <w:p w14:paraId="0C6D8917">
            <w:pPr>
              <w:pStyle w:val="49"/>
              <w:ind w:left="0" w:leftChars="0" w:firstLine="0" w:firstLineChars="0"/>
              <w:rPr>
                <w:sz w:val="28"/>
                <w:szCs w:val="28"/>
              </w:rPr>
            </w:pPr>
          </w:p>
          <w:p w14:paraId="70AF803A">
            <w:pPr>
              <w:adjustRightInd w:val="0"/>
              <w:snapToGrid w:val="0"/>
              <w:spacing w:line="560" w:lineRule="exact"/>
              <w:ind w:firstLine="560" w:firstLineChars="200"/>
              <w:rPr>
                <w:rFonts w:ascii="宋体" w:hAnsi="宋体"/>
                <w:sz w:val="28"/>
                <w:szCs w:val="28"/>
              </w:rPr>
            </w:pPr>
            <w:r>
              <w:rPr>
                <w:rFonts w:hint="eastAsia" w:ascii="宋体" w:hAnsi="宋体"/>
                <w:sz w:val="28"/>
                <w:szCs w:val="28"/>
              </w:rPr>
              <w:t xml:space="preserve">                                        </w:t>
            </w:r>
          </w:p>
          <w:p w14:paraId="1A72047E">
            <w:pPr>
              <w:spacing w:line="560" w:lineRule="exact"/>
              <w:ind w:firstLine="280" w:firstLineChars="100"/>
              <w:jc w:val="right"/>
              <w:rPr>
                <w:rFonts w:ascii="宋体" w:hAnsi="宋体" w:cs="宋体"/>
                <w:sz w:val="28"/>
                <w:szCs w:val="28"/>
              </w:rPr>
            </w:pPr>
            <w:r>
              <w:rPr>
                <w:rFonts w:hint="eastAsia" w:ascii="宋体" w:hAnsi="宋体" w:cs="宋体"/>
                <w:sz w:val="28"/>
                <w:szCs w:val="28"/>
              </w:rPr>
              <w:t>（盖章）</w:t>
            </w:r>
          </w:p>
          <w:p w14:paraId="4EA80E15">
            <w:pPr>
              <w:spacing w:line="560" w:lineRule="exact"/>
              <w:ind w:firstLine="280" w:firstLineChars="100"/>
              <w:jc w:val="right"/>
              <w:rPr>
                <w:sz w:val="28"/>
                <w:szCs w:val="28"/>
              </w:rPr>
            </w:pPr>
            <w:r>
              <w:rPr>
                <w:rFonts w:hint="eastAsia" w:ascii="宋体" w:hAnsi="宋体" w:cs="宋体"/>
                <w:sz w:val="28"/>
                <w:szCs w:val="28"/>
              </w:rPr>
              <w:t xml:space="preserve">          2024年7月</w:t>
            </w:r>
          </w:p>
        </w:tc>
      </w:tr>
      <w:tr w14:paraId="1FCD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9880" w:type="dxa"/>
          </w:tcPr>
          <w:p w14:paraId="48D20CA2">
            <w:pPr>
              <w:spacing w:line="560" w:lineRule="exact"/>
              <w:ind w:firstLine="560" w:firstLineChars="200"/>
              <w:rPr>
                <w:rFonts w:ascii="宋体" w:cs="宋体"/>
                <w:sz w:val="28"/>
                <w:szCs w:val="28"/>
              </w:rPr>
            </w:pPr>
          </w:p>
          <w:p w14:paraId="44ACBA7C">
            <w:pPr>
              <w:spacing w:line="560" w:lineRule="exact"/>
              <w:ind w:firstLine="560" w:firstLineChars="200"/>
              <w:rPr>
                <w:rFonts w:ascii="宋体" w:hAnsi="宋体" w:cs="宋体"/>
                <w:sz w:val="28"/>
                <w:szCs w:val="28"/>
              </w:rPr>
            </w:pPr>
            <w:r>
              <w:rPr>
                <w:rFonts w:hint="eastAsia" w:ascii="宋体" w:hAnsi="宋体" w:cs="宋体"/>
                <w:sz w:val="28"/>
                <w:szCs w:val="28"/>
              </w:rPr>
              <w:t xml:space="preserve">招标代理机构：江苏川页工程项目管理有限公司   </w:t>
            </w:r>
          </w:p>
          <w:p w14:paraId="5D343BA5">
            <w:pPr>
              <w:spacing w:line="560" w:lineRule="exact"/>
              <w:ind w:firstLine="560" w:firstLineChars="200"/>
              <w:rPr>
                <w:rFonts w:ascii="宋体" w:hAnsi="宋体" w:cs="宋体"/>
                <w:sz w:val="28"/>
                <w:szCs w:val="28"/>
              </w:rPr>
            </w:pPr>
            <w:r>
              <w:rPr>
                <w:rFonts w:hint="eastAsia" w:ascii="宋体" w:hAnsi="宋体" w:cs="宋体"/>
                <w:sz w:val="28"/>
                <w:szCs w:val="28"/>
              </w:rPr>
              <w:t>经办人：赵建飞</w:t>
            </w:r>
          </w:p>
          <w:p w14:paraId="4B0806D8">
            <w:pPr>
              <w:spacing w:line="560" w:lineRule="exact"/>
              <w:ind w:firstLine="560" w:firstLineChars="200"/>
              <w:rPr>
                <w:rFonts w:ascii="宋体" w:hAnsi="宋体" w:cs="宋体"/>
                <w:sz w:val="28"/>
                <w:szCs w:val="28"/>
              </w:rPr>
            </w:pPr>
            <w:r>
              <w:rPr>
                <w:rFonts w:hint="eastAsia" w:ascii="宋体" w:hAnsi="宋体" w:cs="宋体"/>
                <w:sz w:val="28"/>
                <w:szCs w:val="28"/>
              </w:rPr>
              <w:t>联系电话：18755018236</w:t>
            </w:r>
          </w:p>
          <w:p w14:paraId="774177EA">
            <w:pPr>
              <w:spacing w:line="560" w:lineRule="exact"/>
              <w:ind w:firstLine="280" w:firstLineChars="100"/>
              <w:rPr>
                <w:rFonts w:ascii="宋体" w:hAnsi="宋体" w:cs="宋体"/>
                <w:sz w:val="28"/>
                <w:szCs w:val="28"/>
              </w:rPr>
            </w:pPr>
            <w:r>
              <w:rPr>
                <w:rFonts w:hint="eastAsia" w:ascii="宋体" w:hAnsi="宋体" w:cs="宋体"/>
                <w:sz w:val="28"/>
                <w:szCs w:val="28"/>
              </w:rPr>
              <w:t xml:space="preserve">                                  </w:t>
            </w:r>
          </w:p>
          <w:p w14:paraId="108423DE">
            <w:pPr>
              <w:spacing w:line="560" w:lineRule="exact"/>
              <w:ind w:firstLine="280" w:firstLineChars="100"/>
              <w:rPr>
                <w:rFonts w:ascii="宋体" w:hAnsi="宋体" w:cs="宋体"/>
                <w:sz w:val="28"/>
                <w:szCs w:val="28"/>
              </w:rPr>
            </w:pPr>
          </w:p>
          <w:p w14:paraId="132F7DA7">
            <w:pPr>
              <w:pStyle w:val="3"/>
              <w:ind w:firstLine="482"/>
            </w:pPr>
          </w:p>
          <w:p w14:paraId="5CEEAA14">
            <w:pPr>
              <w:spacing w:line="560" w:lineRule="exact"/>
              <w:ind w:firstLine="280" w:firstLineChars="100"/>
              <w:jc w:val="right"/>
              <w:rPr>
                <w:rFonts w:ascii="宋体" w:hAnsi="宋体" w:cs="宋体"/>
                <w:sz w:val="28"/>
                <w:szCs w:val="28"/>
              </w:rPr>
            </w:pPr>
            <w:r>
              <w:rPr>
                <w:rFonts w:hint="eastAsia" w:ascii="宋体" w:hAnsi="宋体" w:cs="宋体"/>
                <w:sz w:val="28"/>
                <w:szCs w:val="28"/>
              </w:rPr>
              <w:t xml:space="preserve">                                          （单位盖章）</w:t>
            </w:r>
          </w:p>
          <w:p w14:paraId="1DFE9DFD">
            <w:pPr>
              <w:spacing w:line="560" w:lineRule="exact"/>
              <w:ind w:firstLine="6300" w:firstLineChars="2250"/>
              <w:jc w:val="right"/>
              <w:rPr>
                <w:sz w:val="28"/>
                <w:szCs w:val="28"/>
              </w:rPr>
            </w:pPr>
            <w:r>
              <w:rPr>
                <w:rFonts w:hint="eastAsia" w:ascii="宋体" w:hAnsi="宋体" w:cs="宋体"/>
                <w:sz w:val="28"/>
                <w:szCs w:val="28"/>
              </w:rPr>
              <w:t xml:space="preserve">       2024年7月</w:t>
            </w:r>
          </w:p>
        </w:tc>
      </w:tr>
    </w:tbl>
    <w:p w14:paraId="2B3DE89E">
      <w:pPr>
        <w:ind w:firstLine="560"/>
        <w:jc w:val="left"/>
        <w:rPr>
          <w:rFonts w:ascii="宋体" w:hAnsi="宋体" w:cs="宋体"/>
          <w:sz w:val="28"/>
          <w:szCs w:val="28"/>
        </w:rPr>
      </w:pPr>
    </w:p>
    <w:sectPr>
      <w:headerReference r:id="rId8" w:type="default"/>
      <w:footerReference r:id="rId9" w:type="default"/>
      <w:pgSz w:w="11906" w:h="16838"/>
      <w:pgMar w:top="1134" w:right="1361" w:bottom="1077" w:left="1361"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B052">
    <w:pPr>
      <w:pStyle w:val="29"/>
      <w:rPr>
        <w:rStyle w:val="5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2CE3B2">
                          <w:pPr>
                            <w:pStyle w:val="2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4E2CE3B2">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5541F0C8">
    <w:pPr>
      <w:pStyle w:val="29"/>
      <w:jc w:val="center"/>
      <w:rPr>
        <w:rFonts w:ascii="黑体" w:eastAsia="黑体"/>
        <w:b/>
        <w:bCs/>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339C0">
    <w:pPr>
      <w:pStyle w:val="29"/>
      <w:jc w:val="center"/>
      <w:rPr>
        <w:rFonts w:ascii="黑体" w:eastAsia="黑体"/>
        <w:b/>
        <w:bCs/>
        <w:kern w:val="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C33A01">
                          <w:pPr>
                            <w:pStyle w:val="2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14:paraId="11C33A01">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719C">
    <w:pPr>
      <w:pStyle w:val="29"/>
      <w:tabs>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7FBD88">
                          <w:pPr>
                            <w:pStyle w:val="29"/>
                          </w:pPr>
                          <w:r>
                            <w:fldChar w:fldCharType="begin"/>
                          </w:r>
                          <w:r>
                            <w:instrText xml:space="preserve"> PAGE  \* MERGEFORMAT </w:instrText>
                          </w:r>
                          <w:r>
                            <w:fldChar w:fldCharType="separate"/>
                          </w:r>
                          <w:r>
                            <w:t>29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027FBD88">
                    <w:pPr>
                      <w:pStyle w:val="2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B0E5">
    <w:pPr>
      <w:pStyle w:val="29"/>
      <w:ind w:right="360" w:firstLine="360"/>
      <w:rPr>
        <w:kern w:val="0"/>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95C86B">
                          <w:pPr>
                            <w:pStyle w:val="29"/>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295C86B">
                    <w:pPr>
                      <w:pStyle w:val="29"/>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67356A"/>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WcUuzAEAAJwDAAAOAAAAAAAAAAEAIAAAAB4BAABkcnMvZTJv&#10;RG9jLnhtbFBLBQYAAAAABgAGAFkBAABcBQAAAAA=&#10;">
              <v:fill on="f" focussize="0,0"/>
              <v:stroke on="f"/>
              <v:imagedata o:title=""/>
              <o:lock v:ext="edit" aspectratio="f"/>
              <v:textbox inset="0mm,0mm,0mm,0mm" style="mso-fit-shape-to-text:t;">
                <w:txbxContent>
                  <w:p w14:paraId="5367356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AA8DA">
    <w:pPr>
      <w:pStyle w:val="30"/>
      <w:pBdr>
        <w:bottom w:val="none" w:color="auto" w:sz="0" w:space="0"/>
      </w:pBdr>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99830">
    <w:pPr>
      <w:pStyle w:val="30"/>
      <w:pBdr>
        <w:bottom w:val="none" w:color="auto"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2D07C">
    <w:pPr>
      <w:pStyle w:val="3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2D172"/>
    <w:multiLevelType w:val="singleLevel"/>
    <w:tmpl w:val="07A2D172"/>
    <w:lvl w:ilvl="0" w:tentative="0">
      <w:start w:val="1"/>
      <w:numFmt w:val="decimal"/>
      <w:lvlText w:val="%1."/>
      <w:lvlJc w:val="left"/>
      <w:pPr>
        <w:ind w:left="425" w:hanging="425"/>
      </w:pPr>
      <w:rPr>
        <w:rFonts w:hint="default"/>
      </w:rPr>
    </w:lvl>
  </w:abstractNum>
  <w:abstractNum w:abstractNumId="1">
    <w:nsid w:val="216E0ADD"/>
    <w:multiLevelType w:val="singleLevel"/>
    <w:tmpl w:val="216E0ADD"/>
    <w:lvl w:ilvl="0" w:tentative="0">
      <w:start w:val="1"/>
      <w:numFmt w:val="chineseCounting"/>
      <w:suff w:val="nothing"/>
      <w:lvlText w:val="%1、"/>
      <w:lvlJc w:val="left"/>
      <w:rPr>
        <w:rFonts w:hint="eastAsia"/>
      </w:rPr>
    </w:lvl>
  </w:abstractNum>
  <w:abstractNum w:abstractNumId="2">
    <w:nsid w:val="617FFA09"/>
    <w:multiLevelType w:val="singleLevel"/>
    <w:tmpl w:val="617FFA09"/>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0Mjc3ZDkwMjliN2ZmMzIwNDVhYjI4NGQxN2FlODkifQ=="/>
    <w:docVar w:name="KSO_WPS_MARK_KEY" w:val="271179cf-a07a-4519-8064-711ee7006a07"/>
  </w:docVars>
  <w:rsids>
    <w:rsidRoot w:val="00172A27"/>
    <w:rsid w:val="00000F03"/>
    <w:rsid w:val="0000102C"/>
    <w:rsid w:val="00002296"/>
    <w:rsid w:val="00003341"/>
    <w:rsid w:val="00006820"/>
    <w:rsid w:val="0000765B"/>
    <w:rsid w:val="000133FD"/>
    <w:rsid w:val="00013CDB"/>
    <w:rsid w:val="000149CE"/>
    <w:rsid w:val="00014BE3"/>
    <w:rsid w:val="000152EF"/>
    <w:rsid w:val="00015E33"/>
    <w:rsid w:val="000163F2"/>
    <w:rsid w:val="0002000D"/>
    <w:rsid w:val="000210A3"/>
    <w:rsid w:val="00021731"/>
    <w:rsid w:val="0002303F"/>
    <w:rsid w:val="00024BEA"/>
    <w:rsid w:val="00025652"/>
    <w:rsid w:val="00027350"/>
    <w:rsid w:val="000275A3"/>
    <w:rsid w:val="00027B66"/>
    <w:rsid w:val="000301A2"/>
    <w:rsid w:val="0003022F"/>
    <w:rsid w:val="00030431"/>
    <w:rsid w:val="00031287"/>
    <w:rsid w:val="0003176B"/>
    <w:rsid w:val="000346D8"/>
    <w:rsid w:val="00034D00"/>
    <w:rsid w:val="000369B9"/>
    <w:rsid w:val="00036E1B"/>
    <w:rsid w:val="00037222"/>
    <w:rsid w:val="00041DC0"/>
    <w:rsid w:val="00043152"/>
    <w:rsid w:val="000455A4"/>
    <w:rsid w:val="00045A6A"/>
    <w:rsid w:val="000466F8"/>
    <w:rsid w:val="0004671B"/>
    <w:rsid w:val="00047776"/>
    <w:rsid w:val="000520E9"/>
    <w:rsid w:val="000534C0"/>
    <w:rsid w:val="00055AD6"/>
    <w:rsid w:val="0005658A"/>
    <w:rsid w:val="00056830"/>
    <w:rsid w:val="00056A2D"/>
    <w:rsid w:val="00056E3D"/>
    <w:rsid w:val="00061677"/>
    <w:rsid w:val="00063BED"/>
    <w:rsid w:val="00063C44"/>
    <w:rsid w:val="0006566F"/>
    <w:rsid w:val="0006584B"/>
    <w:rsid w:val="00065940"/>
    <w:rsid w:val="00065AAB"/>
    <w:rsid w:val="00070B50"/>
    <w:rsid w:val="00071845"/>
    <w:rsid w:val="000738CE"/>
    <w:rsid w:val="00077AAD"/>
    <w:rsid w:val="00080440"/>
    <w:rsid w:val="00080971"/>
    <w:rsid w:val="000818D5"/>
    <w:rsid w:val="000826E7"/>
    <w:rsid w:val="0008469B"/>
    <w:rsid w:val="0008521D"/>
    <w:rsid w:val="00085D26"/>
    <w:rsid w:val="00086AF9"/>
    <w:rsid w:val="00087577"/>
    <w:rsid w:val="00090F13"/>
    <w:rsid w:val="0009199E"/>
    <w:rsid w:val="00091D2B"/>
    <w:rsid w:val="0009306E"/>
    <w:rsid w:val="000944D8"/>
    <w:rsid w:val="00094759"/>
    <w:rsid w:val="00096398"/>
    <w:rsid w:val="00096946"/>
    <w:rsid w:val="000A0086"/>
    <w:rsid w:val="000A1B93"/>
    <w:rsid w:val="000A2A89"/>
    <w:rsid w:val="000A318B"/>
    <w:rsid w:val="000A3A88"/>
    <w:rsid w:val="000A4579"/>
    <w:rsid w:val="000A48D0"/>
    <w:rsid w:val="000A7358"/>
    <w:rsid w:val="000A77AA"/>
    <w:rsid w:val="000B026F"/>
    <w:rsid w:val="000B02B3"/>
    <w:rsid w:val="000B41C7"/>
    <w:rsid w:val="000B4E0B"/>
    <w:rsid w:val="000B5789"/>
    <w:rsid w:val="000B5D69"/>
    <w:rsid w:val="000B609D"/>
    <w:rsid w:val="000B734D"/>
    <w:rsid w:val="000B767F"/>
    <w:rsid w:val="000B7C36"/>
    <w:rsid w:val="000C2ACE"/>
    <w:rsid w:val="000C3844"/>
    <w:rsid w:val="000C423F"/>
    <w:rsid w:val="000C4FA9"/>
    <w:rsid w:val="000C5DC5"/>
    <w:rsid w:val="000C7A2C"/>
    <w:rsid w:val="000D069B"/>
    <w:rsid w:val="000D15D2"/>
    <w:rsid w:val="000D18C0"/>
    <w:rsid w:val="000D1BC7"/>
    <w:rsid w:val="000D2370"/>
    <w:rsid w:val="000D2998"/>
    <w:rsid w:val="000D2DEB"/>
    <w:rsid w:val="000D4F76"/>
    <w:rsid w:val="000D5B18"/>
    <w:rsid w:val="000E1E50"/>
    <w:rsid w:val="000E47C8"/>
    <w:rsid w:val="000E521D"/>
    <w:rsid w:val="000E6FF8"/>
    <w:rsid w:val="000F069A"/>
    <w:rsid w:val="000F0C54"/>
    <w:rsid w:val="000F1705"/>
    <w:rsid w:val="000F195C"/>
    <w:rsid w:val="000F1B02"/>
    <w:rsid w:val="000F294F"/>
    <w:rsid w:val="000F2FFA"/>
    <w:rsid w:val="000F309A"/>
    <w:rsid w:val="000F3685"/>
    <w:rsid w:val="000F36ED"/>
    <w:rsid w:val="000F3D46"/>
    <w:rsid w:val="000F5817"/>
    <w:rsid w:val="000F6B36"/>
    <w:rsid w:val="000F6D52"/>
    <w:rsid w:val="0010017C"/>
    <w:rsid w:val="00102075"/>
    <w:rsid w:val="00102231"/>
    <w:rsid w:val="00102B71"/>
    <w:rsid w:val="0010493B"/>
    <w:rsid w:val="00104F30"/>
    <w:rsid w:val="0010777D"/>
    <w:rsid w:val="001106F4"/>
    <w:rsid w:val="00113041"/>
    <w:rsid w:val="0011328D"/>
    <w:rsid w:val="0011593A"/>
    <w:rsid w:val="00116B46"/>
    <w:rsid w:val="00117639"/>
    <w:rsid w:val="001204FF"/>
    <w:rsid w:val="001205BC"/>
    <w:rsid w:val="00120BCE"/>
    <w:rsid w:val="00121F96"/>
    <w:rsid w:val="00124902"/>
    <w:rsid w:val="00124A35"/>
    <w:rsid w:val="001262D5"/>
    <w:rsid w:val="00126B13"/>
    <w:rsid w:val="00132AAF"/>
    <w:rsid w:val="0013331F"/>
    <w:rsid w:val="0013358F"/>
    <w:rsid w:val="001335D9"/>
    <w:rsid w:val="00133BE1"/>
    <w:rsid w:val="001347A9"/>
    <w:rsid w:val="00135313"/>
    <w:rsid w:val="00136C6C"/>
    <w:rsid w:val="001377FE"/>
    <w:rsid w:val="00140703"/>
    <w:rsid w:val="0014118D"/>
    <w:rsid w:val="001423BD"/>
    <w:rsid w:val="0014526A"/>
    <w:rsid w:val="00146FE8"/>
    <w:rsid w:val="00147D4A"/>
    <w:rsid w:val="00152C59"/>
    <w:rsid w:val="00153023"/>
    <w:rsid w:val="00153877"/>
    <w:rsid w:val="00153D68"/>
    <w:rsid w:val="00154767"/>
    <w:rsid w:val="00155483"/>
    <w:rsid w:val="0015793D"/>
    <w:rsid w:val="00161FAA"/>
    <w:rsid w:val="00164B9C"/>
    <w:rsid w:val="001653B4"/>
    <w:rsid w:val="001669A2"/>
    <w:rsid w:val="00166E69"/>
    <w:rsid w:val="00167272"/>
    <w:rsid w:val="00167E01"/>
    <w:rsid w:val="00167FF5"/>
    <w:rsid w:val="00170CC2"/>
    <w:rsid w:val="0017116A"/>
    <w:rsid w:val="00171479"/>
    <w:rsid w:val="00171A33"/>
    <w:rsid w:val="00172644"/>
    <w:rsid w:val="00172A27"/>
    <w:rsid w:val="00176EEA"/>
    <w:rsid w:val="00177929"/>
    <w:rsid w:val="00177A7A"/>
    <w:rsid w:val="00177B8F"/>
    <w:rsid w:val="00181EE1"/>
    <w:rsid w:val="00182E57"/>
    <w:rsid w:val="00184289"/>
    <w:rsid w:val="00184ABA"/>
    <w:rsid w:val="001858BE"/>
    <w:rsid w:val="00185A56"/>
    <w:rsid w:val="001864BC"/>
    <w:rsid w:val="00187590"/>
    <w:rsid w:val="00190C31"/>
    <w:rsid w:val="00191140"/>
    <w:rsid w:val="0019139D"/>
    <w:rsid w:val="001918E9"/>
    <w:rsid w:val="00192BDE"/>
    <w:rsid w:val="00193CE6"/>
    <w:rsid w:val="00194B8E"/>
    <w:rsid w:val="00195E66"/>
    <w:rsid w:val="001961BA"/>
    <w:rsid w:val="001975C9"/>
    <w:rsid w:val="001A0716"/>
    <w:rsid w:val="001A343D"/>
    <w:rsid w:val="001A435B"/>
    <w:rsid w:val="001A4465"/>
    <w:rsid w:val="001A5FB8"/>
    <w:rsid w:val="001A6F91"/>
    <w:rsid w:val="001B1526"/>
    <w:rsid w:val="001B1BD2"/>
    <w:rsid w:val="001B3012"/>
    <w:rsid w:val="001B520E"/>
    <w:rsid w:val="001B5BEF"/>
    <w:rsid w:val="001B6816"/>
    <w:rsid w:val="001B7766"/>
    <w:rsid w:val="001C22BC"/>
    <w:rsid w:val="001C5534"/>
    <w:rsid w:val="001C6CAF"/>
    <w:rsid w:val="001C7C71"/>
    <w:rsid w:val="001D06AD"/>
    <w:rsid w:val="001D2114"/>
    <w:rsid w:val="001D318D"/>
    <w:rsid w:val="001D5590"/>
    <w:rsid w:val="001D693B"/>
    <w:rsid w:val="001D70EE"/>
    <w:rsid w:val="001D7320"/>
    <w:rsid w:val="001D73C1"/>
    <w:rsid w:val="001D7424"/>
    <w:rsid w:val="001D750D"/>
    <w:rsid w:val="001E00E0"/>
    <w:rsid w:val="001E0EF7"/>
    <w:rsid w:val="001E191A"/>
    <w:rsid w:val="001E33F3"/>
    <w:rsid w:val="001E3C44"/>
    <w:rsid w:val="001E3DE5"/>
    <w:rsid w:val="001E452F"/>
    <w:rsid w:val="001E4B4F"/>
    <w:rsid w:val="001E535B"/>
    <w:rsid w:val="001E56A2"/>
    <w:rsid w:val="001E6B1C"/>
    <w:rsid w:val="001E6CD4"/>
    <w:rsid w:val="001E6FE6"/>
    <w:rsid w:val="001E6FFF"/>
    <w:rsid w:val="001F0084"/>
    <w:rsid w:val="001F064B"/>
    <w:rsid w:val="001F1335"/>
    <w:rsid w:val="001F16F3"/>
    <w:rsid w:val="001F1743"/>
    <w:rsid w:val="001F1CE0"/>
    <w:rsid w:val="001F2980"/>
    <w:rsid w:val="001F3B7C"/>
    <w:rsid w:val="001F403F"/>
    <w:rsid w:val="001F4495"/>
    <w:rsid w:val="001F471C"/>
    <w:rsid w:val="001F5059"/>
    <w:rsid w:val="001F50BB"/>
    <w:rsid w:val="001F7A46"/>
    <w:rsid w:val="0020030D"/>
    <w:rsid w:val="00200A9A"/>
    <w:rsid w:val="00202078"/>
    <w:rsid w:val="00202131"/>
    <w:rsid w:val="0020229E"/>
    <w:rsid w:val="002026A6"/>
    <w:rsid w:val="00203622"/>
    <w:rsid w:val="00203E74"/>
    <w:rsid w:val="002069FA"/>
    <w:rsid w:val="00207055"/>
    <w:rsid w:val="002075D4"/>
    <w:rsid w:val="00207958"/>
    <w:rsid w:val="002103CB"/>
    <w:rsid w:val="00210CEC"/>
    <w:rsid w:val="00211704"/>
    <w:rsid w:val="002125CB"/>
    <w:rsid w:val="0021262F"/>
    <w:rsid w:val="00217547"/>
    <w:rsid w:val="00220B91"/>
    <w:rsid w:val="002217F8"/>
    <w:rsid w:val="00225794"/>
    <w:rsid w:val="00225D3C"/>
    <w:rsid w:val="00227089"/>
    <w:rsid w:val="002306F3"/>
    <w:rsid w:val="00230AE3"/>
    <w:rsid w:val="00230C04"/>
    <w:rsid w:val="002314D2"/>
    <w:rsid w:val="0023165F"/>
    <w:rsid w:val="0023272C"/>
    <w:rsid w:val="00233E6F"/>
    <w:rsid w:val="00234A29"/>
    <w:rsid w:val="002361C8"/>
    <w:rsid w:val="002364B7"/>
    <w:rsid w:val="0023659C"/>
    <w:rsid w:val="00237147"/>
    <w:rsid w:val="00237352"/>
    <w:rsid w:val="002374BB"/>
    <w:rsid w:val="00237506"/>
    <w:rsid w:val="00240600"/>
    <w:rsid w:val="002417C1"/>
    <w:rsid w:val="00242BA3"/>
    <w:rsid w:val="00243C2B"/>
    <w:rsid w:val="00244312"/>
    <w:rsid w:val="00247A47"/>
    <w:rsid w:val="00247C5C"/>
    <w:rsid w:val="00250167"/>
    <w:rsid w:val="00251029"/>
    <w:rsid w:val="0025449E"/>
    <w:rsid w:val="0025467B"/>
    <w:rsid w:val="002551F6"/>
    <w:rsid w:val="002554CE"/>
    <w:rsid w:val="00255771"/>
    <w:rsid w:val="00255A95"/>
    <w:rsid w:val="002572D8"/>
    <w:rsid w:val="00257348"/>
    <w:rsid w:val="00260EB0"/>
    <w:rsid w:val="00262F82"/>
    <w:rsid w:val="00264BBB"/>
    <w:rsid w:val="00265844"/>
    <w:rsid w:val="002667A5"/>
    <w:rsid w:val="00266FC3"/>
    <w:rsid w:val="002676DA"/>
    <w:rsid w:val="00270D00"/>
    <w:rsid w:val="00271288"/>
    <w:rsid w:val="00272A64"/>
    <w:rsid w:val="002731BD"/>
    <w:rsid w:val="0027387D"/>
    <w:rsid w:val="0027549B"/>
    <w:rsid w:val="00276C5E"/>
    <w:rsid w:val="00277233"/>
    <w:rsid w:val="002776CD"/>
    <w:rsid w:val="002803FA"/>
    <w:rsid w:val="00281D13"/>
    <w:rsid w:val="002827C7"/>
    <w:rsid w:val="00283A63"/>
    <w:rsid w:val="0028592E"/>
    <w:rsid w:val="002859F8"/>
    <w:rsid w:val="0028605D"/>
    <w:rsid w:val="00286788"/>
    <w:rsid w:val="0028772F"/>
    <w:rsid w:val="002905A9"/>
    <w:rsid w:val="002929A8"/>
    <w:rsid w:val="00293E15"/>
    <w:rsid w:val="00295785"/>
    <w:rsid w:val="00295C9B"/>
    <w:rsid w:val="00297553"/>
    <w:rsid w:val="00297DCF"/>
    <w:rsid w:val="002A0361"/>
    <w:rsid w:val="002A046B"/>
    <w:rsid w:val="002A3922"/>
    <w:rsid w:val="002A4679"/>
    <w:rsid w:val="002A47B5"/>
    <w:rsid w:val="002A47BA"/>
    <w:rsid w:val="002A65E6"/>
    <w:rsid w:val="002A7F0C"/>
    <w:rsid w:val="002B1205"/>
    <w:rsid w:val="002B16F4"/>
    <w:rsid w:val="002B1B17"/>
    <w:rsid w:val="002B3094"/>
    <w:rsid w:val="002B4D0B"/>
    <w:rsid w:val="002B651F"/>
    <w:rsid w:val="002B675A"/>
    <w:rsid w:val="002C11D0"/>
    <w:rsid w:val="002C40AB"/>
    <w:rsid w:val="002C5707"/>
    <w:rsid w:val="002C6355"/>
    <w:rsid w:val="002D0466"/>
    <w:rsid w:val="002D21A0"/>
    <w:rsid w:val="002D3B50"/>
    <w:rsid w:val="002D500A"/>
    <w:rsid w:val="002D619C"/>
    <w:rsid w:val="002D7D16"/>
    <w:rsid w:val="002E0AA9"/>
    <w:rsid w:val="002E2295"/>
    <w:rsid w:val="002E31E3"/>
    <w:rsid w:val="002E349E"/>
    <w:rsid w:val="002E5DF0"/>
    <w:rsid w:val="002E6A21"/>
    <w:rsid w:val="002E6C2C"/>
    <w:rsid w:val="002E6EA9"/>
    <w:rsid w:val="002E74CD"/>
    <w:rsid w:val="002F04F4"/>
    <w:rsid w:val="002F0F7B"/>
    <w:rsid w:val="002F11C9"/>
    <w:rsid w:val="002F1AD0"/>
    <w:rsid w:val="002F1B12"/>
    <w:rsid w:val="002F2ADD"/>
    <w:rsid w:val="002F3CA0"/>
    <w:rsid w:val="002F4C7B"/>
    <w:rsid w:val="002F5F35"/>
    <w:rsid w:val="002F787B"/>
    <w:rsid w:val="0030036D"/>
    <w:rsid w:val="00301E56"/>
    <w:rsid w:val="00302DA4"/>
    <w:rsid w:val="00303C49"/>
    <w:rsid w:val="003043D3"/>
    <w:rsid w:val="00304853"/>
    <w:rsid w:val="00305612"/>
    <w:rsid w:val="00306E36"/>
    <w:rsid w:val="00310228"/>
    <w:rsid w:val="00310232"/>
    <w:rsid w:val="00311D50"/>
    <w:rsid w:val="003138BA"/>
    <w:rsid w:val="003141E9"/>
    <w:rsid w:val="003158DD"/>
    <w:rsid w:val="003169B1"/>
    <w:rsid w:val="0031701A"/>
    <w:rsid w:val="0031777C"/>
    <w:rsid w:val="00320EB5"/>
    <w:rsid w:val="00321760"/>
    <w:rsid w:val="00321CF0"/>
    <w:rsid w:val="003222D9"/>
    <w:rsid w:val="00323DA3"/>
    <w:rsid w:val="00323F93"/>
    <w:rsid w:val="003247E8"/>
    <w:rsid w:val="00324A98"/>
    <w:rsid w:val="00324C0D"/>
    <w:rsid w:val="00324D18"/>
    <w:rsid w:val="0032587D"/>
    <w:rsid w:val="00326B4A"/>
    <w:rsid w:val="003302B5"/>
    <w:rsid w:val="003302C4"/>
    <w:rsid w:val="0033132E"/>
    <w:rsid w:val="0033158A"/>
    <w:rsid w:val="00331F03"/>
    <w:rsid w:val="003342B7"/>
    <w:rsid w:val="00335113"/>
    <w:rsid w:val="0033662A"/>
    <w:rsid w:val="00337E67"/>
    <w:rsid w:val="003401B5"/>
    <w:rsid w:val="00342330"/>
    <w:rsid w:val="00344118"/>
    <w:rsid w:val="00344273"/>
    <w:rsid w:val="003443AF"/>
    <w:rsid w:val="0034546A"/>
    <w:rsid w:val="00346627"/>
    <w:rsid w:val="00346C50"/>
    <w:rsid w:val="00346EA4"/>
    <w:rsid w:val="003475EF"/>
    <w:rsid w:val="00347664"/>
    <w:rsid w:val="003511A6"/>
    <w:rsid w:val="00351636"/>
    <w:rsid w:val="003524FA"/>
    <w:rsid w:val="003536AA"/>
    <w:rsid w:val="00355A17"/>
    <w:rsid w:val="0035744E"/>
    <w:rsid w:val="00360343"/>
    <w:rsid w:val="00360FCD"/>
    <w:rsid w:val="00364C68"/>
    <w:rsid w:val="00364E31"/>
    <w:rsid w:val="00365426"/>
    <w:rsid w:val="003663FF"/>
    <w:rsid w:val="0036743A"/>
    <w:rsid w:val="00371602"/>
    <w:rsid w:val="00371A69"/>
    <w:rsid w:val="00371DCC"/>
    <w:rsid w:val="00372DA3"/>
    <w:rsid w:val="00372FCD"/>
    <w:rsid w:val="0037516A"/>
    <w:rsid w:val="00375399"/>
    <w:rsid w:val="003761A0"/>
    <w:rsid w:val="003761C3"/>
    <w:rsid w:val="00376324"/>
    <w:rsid w:val="0037637D"/>
    <w:rsid w:val="00376403"/>
    <w:rsid w:val="0038095F"/>
    <w:rsid w:val="00382134"/>
    <w:rsid w:val="00383809"/>
    <w:rsid w:val="0038572D"/>
    <w:rsid w:val="00390F55"/>
    <w:rsid w:val="003937D5"/>
    <w:rsid w:val="003943F6"/>
    <w:rsid w:val="00395BBA"/>
    <w:rsid w:val="0039655F"/>
    <w:rsid w:val="00397438"/>
    <w:rsid w:val="003975C9"/>
    <w:rsid w:val="00397B4E"/>
    <w:rsid w:val="003A0B6C"/>
    <w:rsid w:val="003A0C50"/>
    <w:rsid w:val="003A1E88"/>
    <w:rsid w:val="003A20C8"/>
    <w:rsid w:val="003A262E"/>
    <w:rsid w:val="003A2D98"/>
    <w:rsid w:val="003A3492"/>
    <w:rsid w:val="003A644A"/>
    <w:rsid w:val="003A7366"/>
    <w:rsid w:val="003B0EB7"/>
    <w:rsid w:val="003B2002"/>
    <w:rsid w:val="003B2911"/>
    <w:rsid w:val="003B4EF8"/>
    <w:rsid w:val="003B5149"/>
    <w:rsid w:val="003C03B5"/>
    <w:rsid w:val="003C22A2"/>
    <w:rsid w:val="003C2A63"/>
    <w:rsid w:val="003C44C4"/>
    <w:rsid w:val="003C5296"/>
    <w:rsid w:val="003C59FB"/>
    <w:rsid w:val="003C5D63"/>
    <w:rsid w:val="003D17A0"/>
    <w:rsid w:val="003D26E9"/>
    <w:rsid w:val="003D319D"/>
    <w:rsid w:val="003D4696"/>
    <w:rsid w:val="003D7923"/>
    <w:rsid w:val="003D7DB9"/>
    <w:rsid w:val="003E2E02"/>
    <w:rsid w:val="003E2FF1"/>
    <w:rsid w:val="003E373D"/>
    <w:rsid w:val="003E68BB"/>
    <w:rsid w:val="003E6AC9"/>
    <w:rsid w:val="003E6F9D"/>
    <w:rsid w:val="003E74A0"/>
    <w:rsid w:val="003E7AC5"/>
    <w:rsid w:val="003F0472"/>
    <w:rsid w:val="003F09CD"/>
    <w:rsid w:val="003F0FFD"/>
    <w:rsid w:val="003F17A7"/>
    <w:rsid w:val="003F20F4"/>
    <w:rsid w:val="003F41C1"/>
    <w:rsid w:val="003F5BC4"/>
    <w:rsid w:val="003F79A3"/>
    <w:rsid w:val="004013B7"/>
    <w:rsid w:val="0040223B"/>
    <w:rsid w:val="004031CE"/>
    <w:rsid w:val="00403273"/>
    <w:rsid w:val="00403850"/>
    <w:rsid w:val="004041B9"/>
    <w:rsid w:val="00405D43"/>
    <w:rsid w:val="00406D2A"/>
    <w:rsid w:val="00407710"/>
    <w:rsid w:val="00410283"/>
    <w:rsid w:val="004105DD"/>
    <w:rsid w:val="00411467"/>
    <w:rsid w:val="0041233E"/>
    <w:rsid w:val="00412398"/>
    <w:rsid w:val="0041327B"/>
    <w:rsid w:val="00414D10"/>
    <w:rsid w:val="004157B9"/>
    <w:rsid w:val="00415B46"/>
    <w:rsid w:val="00416ABA"/>
    <w:rsid w:val="0041712A"/>
    <w:rsid w:val="00420B93"/>
    <w:rsid w:val="00420C62"/>
    <w:rsid w:val="00421651"/>
    <w:rsid w:val="004225D0"/>
    <w:rsid w:val="00424D5D"/>
    <w:rsid w:val="004253E4"/>
    <w:rsid w:val="00426BDD"/>
    <w:rsid w:val="00427693"/>
    <w:rsid w:val="00427A07"/>
    <w:rsid w:val="004302AF"/>
    <w:rsid w:val="00430BDB"/>
    <w:rsid w:val="00432ABD"/>
    <w:rsid w:val="0043366A"/>
    <w:rsid w:val="0043376F"/>
    <w:rsid w:val="00435256"/>
    <w:rsid w:val="004353DC"/>
    <w:rsid w:val="00435B05"/>
    <w:rsid w:val="0043732A"/>
    <w:rsid w:val="004400DA"/>
    <w:rsid w:val="00441308"/>
    <w:rsid w:val="004416C1"/>
    <w:rsid w:val="00444AD0"/>
    <w:rsid w:val="00446296"/>
    <w:rsid w:val="004468C6"/>
    <w:rsid w:val="004468CB"/>
    <w:rsid w:val="00447841"/>
    <w:rsid w:val="00447AAA"/>
    <w:rsid w:val="0045023F"/>
    <w:rsid w:val="0045025A"/>
    <w:rsid w:val="00455DDC"/>
    <w:rsid w:val="0045676C"/>
    <w:rsid w:val="004600E6"/>
    <w:rsid w:val="004603B0"/>
    <w:rsid w:val="0046040E"/>
    <w:rsid w:val="0046061F"/>
    <w:rsid w:val="00460DDB"/>
    <w:rsid w:val="00461843"/>
    <w:rsid w:val="00461BA1"/>
    <w:rsid w:val="00464B9D"/>
    <w:rsid w:val="004656AF"/>
    <w:rsid w:val="0046571A"/>
    <w:rsid w:val="00465895"/>
    <w:rsid w:val="0046617E"/>
    <w:rsid w:val="00466BBB"/>
    <w:rsid w:val="0047080E"/>
    <w:rsid w:val="004713DB"/>
    <w:rsid w:val="0047228F"/>
    <w:rsid w:val="00472BAD"/>
    <w:rsid w:val="004736CC"/>
    <w:rsid w:val="00474761"/>
    <w:rsid w:val="00476C92"/>
    <w:rsid w:val="00476DDE"/>
    <w:rsid w:val="00480FD2"/>
    <w:rsid w:val="004855C6"/>
    <w:rsid w:val="0048589A"/>
    <w:rsid w:val="00487CA1"/>
    <w:rsid w:val="004901BC"/>
    <w:rsid w:val="00490807"/>
    <w:rsid w:val="00490C17"/>
    <w:rsid w:val="004943F2"/>
    <w:rsid w:val="00496A03"/>
    <w:rsid w:val="00496EA9"/>
    <w:rsid w:val="0049719D"/>
    <w:rsid w:val="004975BD"/>
    <w:rsid w:val="004977AC"/>
    <w:rsid w:val="00497D2A"/>
    <w:rsid w:val="004A0266"/>
    <w:rsid w:val="004A107E"/>
    <w:rsid w:val="004A14BB"/>
    <w:rsid w:val="004A19A5"/>
    <w:rsid w:val="004A2C79"/>
    <w:rsid w:val="004A4A83"/>
    <w:rsid w:val="004A59B8"/>
    <w:rsid w:val="004A6F04"/>
    <w:rsid w:val="004A701E"/>
    <w:rsid w:val="004A7435"/>
    <w:rsid w:val="004B0292"/>
    <w:rsid w:val="004B08FF"/>
    <w:rsid w:val="004B0D22"/>
    <w:rsid w:val="004B2353"/>
    <w:rsid w:val="004B275B"/>
    <w:rsid w:val="004B3355"/>
    <w:rsid w:val="004B5590"/>
    <w:rsid w:val="004B5FC4"/>
    <w:rsid w:val="004B7C6E"/>
    <w:rsid w:val="004C09BE"/>
    <w:rsid w:val="004C10CE"/>
    <w:rsid w:val="004C22BD"/>
    <w:rsid w:val="004C244A"/>
    <w:rsid w:val="004C2E4C"/>
    <w:rsid w:val="004C2F1D"/>
    <w:rsid w:val="004C37DC"/>
    <w:rsid w:val="004C4475"/>
    <w:rsid w:val="004C4B61"/>
    <w:rsid w:val="004C507C"/>
    <w:rsid w:val="004C5142"/>
    <w:rsid w:val="004D08FC"/>
    <w:rsid w:val="004D1A10"/>
    <w:rsid w:val="004D1C17"/>
    <w:rsid w:val="004D2711"/>
    <w:rsid w:val="004D3DC9"/>
    <w:rsid w:val="004D404C"/>
    <w:rsid w:val="004D42D2"/>
    <w:rsid w:val="004D4592"/>
    <w:rsid w:val="004D4B74"/>
    <w:rsid w:val="004D64ED"/>
    <w:rsid w:val="004D77BA"/>
    <w:rsid w:val="004E2450"/>
    <w:rsid w:val="004E28A4"/>
    <w:rsid w:val="004E4F3A"/>
    <w:rsid w:val="004E62B4"/>
    <w:rsid w:val="004E6950"/>
    <w:rsid w:val="004F1398"/>
    <w:rsid w:val="004F18A1"/>
    <w:rsid w:val="004F37DA"/>
    <w:rsid w:val="004F4318"/>
    <w:rsid w:val="004F449E"/>
    <w:rsid w:val="004F5D47"/>
    <w:rsid w:val="004F623E"/>
    <w:rsid w:val="004F642B"/>
    <w:rsid w:val="004F6987"/>
    <w:rsid w:val="004F6A86"/>
    <w:rsid w:val="004F7068"/>
    <w:rsid w:val="004F7369"/>
    <w:rsid w:val="004F7AC3"/>
    <w:rsid w:val="004F7E98"/>
    <w:rsid w:val="005002DE"/>
    <w:rsid w:val="00500C1C"/>
    <w:rsid w:val="00502495"/>
    <w:rsid w:val="00502A52"/>
    <w:rsid w:val="005032B2"/>
    <w:rsid w:val="00503834"/>
    <w:rsid w:val="00503E36"/>
    <w:rsid w:val="005040B4"/>
    <w:rsid w:val="00504163"/>
    <w:rsid w:val="005072D6"/>
    <w:rsid w:val="00510889"/>
    <w:rsid w:val="00510D92"/>
    <w:rsid w:val="005135C5"/>
    <w:rsid w:val="005150CB"/>
    <w:rsid w:val="005151EE"/>
    <w:rsid w:val="00515BB3"/>
    <w:rsid w:val="00516B05"/>
    <w:rsid w:val="00517F92"/>
    <w:rsid w:val="0052099E"/>
    <w:rsid w:val="00521401"/>
    <w:rsid w:val="0052384F"/>
    <w:rsid w:val="005239B8"/>
    <w:rsid w:val="005242A3"/>
    <w:rsid w:val="00525A4E"/>
    <w:rsid w:val="00525F54"/>
    <w:rsid w:val="005301F8"/>
    <w:rsid w:val="005309C6"/>
    <w:rsid w:val="00530D02"/>
    <w:rsid w:val="00531AF8"/>
    <w:rsid w:val="00531D68"/>
    <w:rsid w:val="00535CD7"/>
    <w:rsid w:val="00535D1E"/>
    <w:rsid w:val="00536151"/>
    <w:rsid w:val="005368DC"/>
    <w:rsid w:val="00537E97"/>
    <w:rsid w:val="00541866"/>
    <w:rsid w:val="0054274E"/>
    <w:rsid w:val="005430D1"/>
    <w:rsid w:val="0054452A"/>
    <w:rsid w:val="00545C7C"/>
    <w:rsid w:val="00546D32"/>
    <w:rsid w:val="00547C0D"/>
    <w:rsid w:val="005509E2"/>
    <w:rsid w:val="00551EEF"/>
    <w:rsid w:val="00552084"/>
    <w:rsid w:val="00552AC0"/>
    <w:rsid w:val="0055306C"/>
    <w:rsid w:val="00553DAD"/>
    <w:rsid w:val="00554E3C"/>
    <w:rsid w:val="005552E6"/>
    <w:rsid w:val="0055588D"/>
    <w:rsid w:val="005565B5"/>
    <w:rsid w:val="00557CFD"/>
    <w:rsid w:val="00557E1B"/>
    <w:rsid w:val="00561D45"/>
    <w:rsid w:val="00562961"/>
    <w:rsid w:val="00562AA3"/>
    <w:rsid w:val="005630FF"/>
    <w:rsid w:val="00564171"/>
    <w:rsid w:val="00564373"/>
    <w:rsid w:val="0056463A"/>
    <w:rsid w:val="00566D7A"/>
    <w:rsid w:val="0056759A"/>
    <w:rsid w:val="00567DAC"/>
    <w:rsid w:val="005708B7"/>
    <w:rsid w:val="00571B93"/>
    <w:rsid w:val="00571E2A"/>
    <w:rsid w:val="00572BEE"/>
    <w:rsid w:val="00574020"/>
    <w:rsid w:val="005741F7"/>
    <w:rsid w:val="005744A3"/>
    <w:rsid w:val="005749B6"/>
    <w:rsid w:val="0057517D"/>
    <w:rsid w:val="00575403"/>
    <w:rsid w:val="00577AA3"/>
    <w:rsid w:val="00581688"/>
    <w:rsid w:val="0058258E"/>
    <w:rsid w:val="0058263E"/>
    <w:rsid w:val="00583264"/>
    <w:rsid w:val="00583B5A"/>
    <w:rsid w:val="00584D4C"/>
    <w:rsid w:val="00584F8C"/>
    <w:rsid w:val="0058512E"/>
    <w:rsid w:val="00585A64"/>
    <w:rsid w:val="00585CA5"/>
    <w:rsid w:val="00586A21"/>
    <w:rsid w:val="005876CA"/>
    <w:rsid w:val="00587C36"/>
    <w:rsid w:val="00591589"/>
    <w:rsid w:val="00593083"/>
    <w:rsid w:val="00597F8B"/>
    <w:rsid w:val="005A00B3"/>
    <w:rsid w:val="005A08F5"/>
    <w:rsid w:val="005A12A2"/>
    <w:rsid w:val="005A1A29"/>
    <w:rsid w:val="005A1DAD"/>
    <w:rsid w:val="005A1E4E"/>
    <w:rsid w:val="005A29EF"/>
    <w:rsid w:val="005A2FE4"/>
    <w:rsid w:val="005A3BBC"/>
    <w:rsid w:val="005A46D0"/>
    <w:rsid w:val="005A5510"/>
    <w:rsid w:val="005A6DD8"/>
    <w:rsid w:val="005A756A"/>
    <w:rsid w:val="005A769F"/>
    <w:rsid w:val="005A796D"/>
    <w:rsid w:val="005B0436"/>
    <w:rsid w:val="005B18CB"/>
    <w:rsid w:val="005B29BA"/>
    <w:rsid w:val="005B376A"/>
    <w:rsid w:val="005B38AF"/>
    <w:rsid w:val="005B5E46"/>
    <w:rsid w:val="005B6E96"/>
    <w:rsid w:val="005B7245"/>
    <w:rsid w:val="005C0379"/>
    <w:rsid w:val="005C0BA9"/>
    <w:rsid w:val="005C0CEA"/>
    <w:rsid w:val="005C12B1"/>
    <w:rsid w:val="005C191F"/>
    <w:rsid w:val="005C35BD"/>
    <w:rsid w:val="005C3A59"/>
    <w:rsid w:val="005C3ECE"/>
    <w:rsid w:val="005C73E4"/>
    <w:rsid w:val="005D2D33"/>
    <w:rsid w:val="005D3A6E"/>
    <w:rsid w:val="005D47B3"/>
    <w:rsid w:val="005D4810"/>
    <w:rsid w:val="005D4EC1"/>
    <w:rsid w:val="005D5680"/>
    <w:rsid w:val="005E15BA"/>
    <w:rsid w:val="005E21F1"/>
    <w:rsid w:val="005E2E7D"/>
    <w:rsid w:val="005E3F07"/>
    <w:rsid w:val="005E548C"/>
    <w:rsid w:val="005E7AEA"/>
    <w:rsid w:val="005E7B30"/>
    <w:rsid w:val="005F0F4B"/>
    <w:rsid w:val="005F5D7E"/>
    <w:rsid w:val="005F66CB"/>
    <w:rsid w:val="00600161"/>
    <w:rsid w:val="00601BDC"/>
    <w:rsid w:val="00601E1B"/>
    <w:rsid w:val="00602ADB"/>
    <w:rsid w:val="00603E5B"/>
    <w:rsid w:val="006042BB"/>
    <w:rsid w:val="00604878"/>
    <w:rsid w:val="006057D0"/>
    <w:rsid w:val="006072F8"/>
    <w:rsid w:val="0060732C"/>
    <w:rsid w:val="00612246"/>
    <w:rsid w:val="006152B5"/>
    <w:rsid w:val="00615703"/>
    <w:rsid w:val="00615BCD"/>
    <w:rsid w:val="00617513"/>
    <w:rsid w:val="00620484"/>
    <w:rsid w:val="00622E88"/>
    <w:rsid w:val="00623183"/>
    <w:rsid w:val="0062395D"/>
    <w:rsid w:val="00624573"/>
    <w:rsid w:val="006268A1"/>
    <w:rsid w:val="00626ADD"/>
    <w:rsid w:val="00626DE0"/>
    <w:rsid w:val="00626F74"/>
    <w:rsid w:val="00630A6B"/>
    <w:rsid w:val="006340A8"/>
    <w:rsid w:val="00634896"/>
    <w:rsid w:val="00634D10"/>
    <w:rsid w:val="00637ADC"/>
    <w:rsid w:val="0064323F"/>
    <w:rsid w:val="006436C9"/>
    <w:rsid w:val="006453A0"/>
    <w:rsid w:val="00645845"/>
    <w:rsid w:val="006464E3"/>
    <w:rsid w:val="006468BE"/>
    <w:rsid w:val="00647F40"/>
    <w:rsid w:val="006532AF"/>
    <w:rsid w:val="00654C94"/>
    <w:rsid w:val="00656435"/>
    <w:rsid w:val="0065645F"/>
    <w:rsid w:val="00656C0D"/>
    <w:rsid w:val="00656C74"/>
    <w:rsid w:val="00657718"/>
    <w:rsid w:val="00660BBB"/>
    <w:rsid w:val="006615E0"/>
    <w:rsid w:val="006634B6"/>
    <w:rsid w:val="00664644"/>
    <w:rsid w:val="00664836"/>
    <w:rsid w:val="006651EA"/>
    <w:rsid w:val="0067051E"/>
    <w:rsid w:val="00670558"/>
    <w:rsid w:val="00671228"/>
    <w:rsid w:val="00671FDF"/>
    <w:rsid w:val="00673439"/>
    <w:rsid w:val="00673900"/>
    <w:rsid w:val="006742DF"/>
    <w:rsid w:val="006749F3"/>
    <w:rsid w:val="00674EFD"/>
    <w:rsid w:val="0067543E"/>
    <w:rsid w:val="006757BA"/>
    <w:rsid w:val="00675E3C"/>
    <w:rsid w:val="00677085"/>
    <w:rsid w:val="00680234"/>
    <w:rsid w:val="006807DE"/>
    <w:rsid w:val="00680AD3"/>
    <w:rsid w:val="00680FFC"/>
    <w:rsid w:val="006812B6"/>
    <w:rsid w:val="006818E6"/>
    <w:rsid w:val="00681ED3"/>
    <w:rsid w:val="006846D8"/>
    <w:rsid w:val="0068518B"/>
    <w:rsid w:val="00685705"/>
    <w:rsid w:val="00685A38"/>
    <w:rsid w:val="0068633D"/>
    <w:rsid w:val="00694297"/>
    <w:rsid w:val="006953DF"/>
    <w:rsid w:val="0069570F"/>
    <w:rsid w:val="00697625"/>
    <w:rsid w:val="00697A1E"/>
    <w:rsid w:val="00697A7A"/>
    <w:rsid w:val="006A0EDC"/>
    <w:rsid w:val="006A135B"/>
    <w:rsid w:val="006A19BE"/>
    <w:rsid w:val="006A1D37"/>
    <w:rsid w:val="006A2999"/>
    <w:rsid w:val="006A3699"/>
    <w:rsid w:val="006A520E"/>
    <w:rsid w:val="006A5DC3"/>
    <w:rsid w:val="006A621D"/>
    <w:rsid w:val="006A6696"/>
    <w:rsid w:val="006A7072"/>
    <w:rsid w:val="006A768A"/>
    <w:rsid w:val="006A7898"/>
    <w:rsid w:val="006B1F6A"/>
    <w:rsid w:val="006B2CDB"/>
    <w:rsid w:val="006B2D22"/>
    <w:rsid w:val="006B5C9D"/>
    <w:rsid w:val="006B5F07"/>
    <w:rsid w:val="006B611B"/>
    <w:rsid w:val="006B79ED"/>
    <w:rsid w:val="006C095F"/>
    <w:rsid w:val="006C1D99"/>
    <w:rsid w:val="006C1E14"/>
    <w:rsid w:val="006C1F48"/>
    <w:rsid w:val="006C2335"/>
    <w:rsid w:val="006C2D83"/>
    <w:rsid w:val="006C40BB"/>
    <w:rsid w:val="006C40D2"/>
    <w:rsid w:val="006C41C4"/>
    <w:rsid w:val="006C465B"/>
    <w:rsid w:val="006C5436"/>
    <w:rsid w:val="006C5A59"/>
    <w:rsid w:val="006C7CE3"/>
    <w:rsid w:val="006D0E50"/>
    <w:rsid w:val="006D30AB"/>
    <w:rsid w:val="006D6654"/>
    <w:rsid w:val="006D6DEC"/>
    <w:rsid w:val="006E0E73"/>
    <w:rsid w:val="006E3A98"/>
    <w:rsid w:val="006E465D"/>
    <w:rsid w:val="006E504F"/>
    <w:rsid w:val="006E59DA"/>
    <w:rsid w:val="006E76C8"/>
    <w:rsid w:val="006F2FE8"/>
    <w:rsid w:val="006F3628"/>
    <w:rsid w:val="006F3D66"/>
    <w:rsid w:val="006F45F4"/>
    <w:rsid w:val="006F4F0D"/>
    <w:rsid w:val="006F580F"/>
    <w:rsid w:val="006F670E"/>
    <w:rsid w:val="006F74C9"/>
    <w:rsid w:val="007001C2"/>
    <w:rsid w:val="00700D62"/>
    <w:rsid w:val="00701808"/>
    <w:rsid w:val="00701D18"/>
    <w:rsid w:val="007070E8"/>
    <w:rsid w:val="00710D04"/>
    <w:rsid w:val="00711BDE"/>
    <w:rsid w:val="0071205D"/>
    <w:rsid w:val="00714616"/>
    <w:rsid w:val="007153D8"/>
    <w:rsid w:val="00717703"/>
    <w:rsid w:val="00717AC6"/>
    <w:rsid w:val="00717C59"/>
    <w:rsid w:val="00717E25"/>
    <w:rsid w:val="007200A1"/>
    <w:rsid w:val="00720EE1"/>
    <w:rsid w:val="00721824"/>
    <w:rsid w:val="00721D94"/>
    <w:rsid w:val="0072291C"/>
    <w:rsid w:val="00723AC9"/>
    <w:rsid w:val="00724184"/>
    <w:rsid w:val="00724FC3"/>
    <w:rsid w:val="0072542E"/>
    <w:rsid w:val="00725A14"/>
    <w:rsid w:val="00725BA1"/>
    <w:rsid w:val="00725C03"/>
    <w:rsid w:val="007266A4"/>
    <w:rsid w:val="007268AE"/>
    <w:rsid w:val="00727733"/>
    <w:rsid w:val="00731E06"/>
    <w:rsid w:val="00733098"/>
    <w:rsid w:val="00735067"/>
    <w:rsid w:val="00735690"/>
    <w:rsid w:val="007405BD"/>
    <w:rsid w:val="0074065A"/>
    <w:rsid w:val="007418BD"/>
    <w:rsid w:val="007418DD"/>
    <w:rsid w:val="00742073"/>
    <w:rsid w:val="007438BB"/>
    <w:rsid w:val="007439CB"/>
    <w:rsid w:val="0074472C"/>
    <w:rsid w:val="007457FD"/>
    <w:rsid w:val="007461C9"/>
    <w:rsid w:val="0074662A"/>
    <w:rsid w:val="0074673E"/>
    <w:rsid w:val="00746A2E"/>
    <w:rsid w:val="00746B88"/>
    <w:rsid w:val="00751074"/>
    <w:rsid w:val="0075204F"/>
    <w:rsid w:val="00753614"/>
    <w:rsid w:val="007539EB"/>
    <w:rsid w:val="00753CB2"/>
    <w:rsid w:val="00755446"/>
    <w:rsid w:val="0075655D"/>
    <w:rsid w:val="00756723"/>
    <w:rsid w:val="00756EE8"/>
    <w:rsid w:val="00757D67"/>
    <w:rsid w:val="007608CF"/>
    <w:rsid w:val="007617AB"/>
    <w:rsid w:val="00761D59"/>
    <w:rsid w:val="00761E3D"/>
    <w:rsid w:val="00762A00"/>
    <w:rsid w:val="00763F41"/>
    <w:rsid w:val="00764279"/>
    <w:rsid w:val="007645CE"/>
    <w:rsid w:val="007718D9"/>
    <w:rsid w:val="00771C55"/>
    <w:rsid w:val="007727DC"/>
    <w:rsid w:val="00772924"/>
    <w:rsid w:val="00772E98"/>
    <w:rsid w:val="007740E7"/>
    <w:rsid w:val="007742F2"/>
    <w:rsid w:val="0077509A"/>
    <w:rsid w:val="00775258"/>
    <w:rsid w:val="007760E4"/>
    <w:rsid w:val="00777707"/>
    <w:rsid w:val="00777E42"/>
    <w:rsid w:val="00780362"/>
    <w:rsid w:val="007804C2"/>
    <w:rsid w:val="00780946"/>
    <w:rsid w:val="007822F8"/>
    <w:rsid w:val="00782692"/>
    <w:rsid w:val="00782E4C"/>
    <w:rsid w:val="00783A74"/>
    <w:rsid w:val="00783ED4"/>
    <w:rsid w:val="00786863"/>
    <w:rsid w:val="007879B7"/>
    <w:rsid w:val="007904D3"/>
    <w:rsid w:val="00790EF3"/>
    <w:rsid w:val="00791C31"/>
    <w:rsid w:val="00793378"/>
    <w:rsid w:val="00793B2F"/>
    <w:rsid w:val="0079540A"/>
    <w:rsid w:val="00796AA5"/>
    <w:rsid w:val="00797AC5"/>
    <w:rsid w:val="007A0590"/>
    <w:rsid w:val="007A1353"/>
    <w:rsid w:val="007A1D36"/>
    <w:rsid w:val="007A2739"/>
    <w:rsid w:val="007A446C"/>
    <w:rsid w:val="007A479A"/>
    <w:rsid w:val="007A699A"/>
    <w:rsid w:val="007A7280"/>
    <w:rsid w:val="007A7600"/>
    <w:rsid w:val="007A7B59"/>
    <w:rsid w:val="007B0591"/>
    <w:rsid w:val="007B070B"/>
    <w:rsid w:val="007B1597"/>
    <w:rsid w:val="007B16B9"/>
    <w:rsid w:val="007B1C08"/>
    <w:rsid w:val="007B21B3"/>
    <w:rsid w:val="007B3869"/>
    <w:rsid w:val="007B5297"/>
    <w:rsid w:val="007B5E1E"/>
    <w:rsid w:val="007B6240"/>
    <w:rsid w:val="007B6AF6"/>
    <w:rsid w:val="007C100C"/>
    <w:rsid w:val="007C3517"/>
    <w:rsid w:val="007C40C9"/>
    <w:rsid w:val="007C5870"/>
    <w:rsid w:val="007C6B82"/>
    <w:rsid w:val="007C6CA1"/>
    <w:rsid w:val="007C7D44"/>
    <w:rsid w:val="007D19D5"/>
    <w:rsid w:val="007D353E"/>
    <w:rsid w:val="007D5307"/>
    <w:rsid w:val="007D642B"/>
    <w:rsid w:val="007D6827"/>
    <w:rsid w:val="007D6A3D"/>
    <w:rsid w:val="007D6E9F"/>
    <w:rsid w:val="007D75A3"/>
    <w:rsid w:val="007D7750"/>
    <w:rsid w:val="007D7CC1"/>
    <w:rsid w:val="007E115D"/>
    <w:rsid w:val="007E195E"/>
    <w:rsid w:val="007E45BC"/>
    <w:rsid w:val="007E7C3A"/>
    <w:rsid w:val="007F0B8F"/>
    <w:rsid w:val="007F0CDB"/>
    <w:rsid w:val="007F0FEE"/>
    <w:rsid w:val="007F16BE"/>
    <w:rsid w:val="007F2CB0"/>
    <w:rsid w:val="007F4D77"/>
    <w:rsid w:val="007F68FA"/>
    <w:rsid w:val="00800AA5"/>
    <w:rsid w:val="008019A2"/>
    <w:rsid w:val="008025AA"/>
    <w:rsid w:val="00802719"/>
    <w:rsid w:val="00802AA3"/>
    <w:rsid w:val="00803D69"/>
    <w:rsid w:val="00803F30"/>
    <w:rsid w:val="00803F4D"/>
    <w:rsid w:val="00804BB8"/>
    <w:rsid w:val="00805D51"/>
    <w:rsid w:val="00806ED0"/>
    <w:rsid w:val="008072C4"/>
    <w:rsid w:val="00807816"/>
    <w:rsid w:val="008102F1"/>
    <w:rsid w:val="00810845"/>
    <w:rsid w:val="00811A4E"/>
    <w:rsid w:val="00811B14"/>
    <w:rsid w:val="00812C6B"/>
    <w:rsid w:val="0081302E"/>
    <w:rsid w:val="00813B68"/>
    <w:rsid w:val="0081454E"/>
    <w:rsid w:val="008152F4"/>
    <w:rsid w:val="00815D46"/>
    <w:rsid w:val="00817EA7"/>
    <w:rsid w:val="0082132C"/>
    <w:rsid w:val="00822ADF"/>
    <w:rsid w:val="00824EBF"/>
    <w:rsid w:val="00830C08"/>
    <w:rsid w:val="00832103"/>
    <w:rsid w:val="008346D4"/>
    <w:rsid w:val="008360AA"/>
    <w:rsid w:val="0083752C"/>
    <w:rsid w:val="00841390"/>
    <w:rsid w:val="008427BE"/>
    <w:rsid w:val="00842E23"/>
    <w:rsid w:val="00843DD3"/>
    <w:rsid w:val="00846315"/>
    <w:rsid w:val="00847A35"/>
    <w:rsid w:val="00847E3C"/>
    <w:rsid w:val="008502E3"/>
    <w:rsid w:val="008513E1"/>
    <w:rsid w:val="00852177"/>
    <w:rsid w:val="00852490"/>
    <w:rsid w:val="00853388"/>
    <w:rsid w:val="008540F4"/>
    <w:rsid w:val="0085435A"/>
    <w:rsid w:val="0085436C"/>
    <w:rsid w:val="0085479A"/>
    <w:rsid w:val="00855726"/>
    <w:rsid w:val="008571DA"/>
    <w:rsid w:val="008608B9"/>
    <w:rsid w:val="00861E2A"/>
    <w:rsid w:val="008649AA"/>
    <w:rsid w:val="008657A8"/>
    <w:rsid w:val="008662E0"/>
    <w:rsid w:val="008670EB"/>
    <w:rsid w:val="00867B45"/>
    <w:rsid w:val="008701D6"/>
    <w:rsid w:val="00870C16"/>
    <w:rsid w:val="00872B85"/>
    <w:rsid w:val="00874E64"/>
    <w:rsid w:val="008772D8"/>
    <w:rsid w:val="0087734D"/>
    <w:rsid w:val="00877A42"/>
    <w:rsid w:val="00880451"/>
    <w:rsid w:val="008828FA"/>
    <w:rsid w:val="008837F1"/>
    <w:rsid w:val="00883ECC"/>
    <w:rsid w:val="008850BA"/>
    <w:rsid w:val="00885DBC"/>
    <w:rsid w:val="00886656"/>
    <w:rsid w:val="008868B6"/>
    <w:rsid w:val="00886F05"/>
    <w:rsid w:val="0088726B"/>
    <w:rsid w:val="00887B47"/>
    <w:rsid w:val="00890AC6"/>
    <w:rsid w:val="00890FDA"/>
    <w:rsid w:val="00891D2C"/>
    <w:rsid w:val="008935BC"/>
    <w:rsid w:val="00893C10"/>
    <w:rsid w:val="00893CD8"/>
    <w:rsid w:val="00894DED"/>
    <w:rsid w:val="00895BD6"/>
    <w:rsid w:val="00895CDD"/>
    <w:rsid w:val="008A004B"/>
    <w:rsid w:val="008A19E4"/>
    <w:rsid w:val="008A25C5"/>
    <w:rsid w:val="008A3234"/>
    <w:rsid w:val="008A4655"/>
    <w:rsid w:val="008A4B33"/>
    <w:rsid w:val="008A4CCA"/>
    <w:rsid w:val="008A5BE8"/>
    <w:rsid w:val="008A6556"/>
    <w:rsid w:val="008A6672"/>
    <w:rsid w:val="008A6EB3"/>
    <w:rsid w:val="008A7342"/>
    <w:rsid w:val="008A7D31"/>
    <w:rsid w:val="008A7EC1"/>
    <w:rsid w:val="008A7F02"/>
    <w:rsid w:val="008B05E0"/>
    <w:rsid w:val="008B272F"/>
    <w:rsid w:val="008B3F10"/>
    <w:rsid w:val="008B45F0"/>
    <w:rsid w:val="008B4C41"/>
    <w:rsid w:val="008B569F"/>
    <w:rsid w:val="008B5A51"/>
    <w:rsid w:val="008B5DD4"/>
    <w:rsid w:val="008B5DD5"/>
    <w:rsid w:val="008B6DCB"/>
    <w:rsid w:val="008B7144"/>
    <w:rsid w:val="008B7455"/>
    <w:rsid w:val="008C04D4"/>
    <w:rsid w:val="008C1894"/>
    <w:rsid w:val="008C6033"/>
    <w:rsid w:val="008D0A4B"/>
    <w:rsid w:val="008D1071"/>
    <w:rsid w:val="008D11A5"/>
    <w:rsid w:val="008D1A13"/>
    <w:rsid w:val="008D31E5"/>
    <w:rsid w:val="008D4A0B"/>
    <w:rsid w:val="008D575F"/>
    <w:rsid w:val="008D5DEB"/>
    <w:rsid w:val="008D6B33"/>
    <w:rsid w:val="008D7835"/>
    <w:rsid w:val="008E0064"/>
    <w:rsid w:val="008E0448"/>
    <w:rsid w:val="008E0818"/>
    <w:rsid w:val="008E12A4"/>
    <w:rsid w:val="008E2413"/>
    <w:rsid w:val="008E2D08"/>
    <w:rsid w:val="008E3227"/>
    <w:rsid w:val="008E38E2"/>
    <w:rsid w:val="008E4876"/>
    <w:rsid w:val="008E51D1"/>
    <w:rsid w:val="008F39E4"/>
    <w:rsid w:val="008F4224"/>
    <w:rsid w:val="008F6A8A"/>
    <w:rsid w:val="008F7C44"/>
    <w:rsid w:val="009012C8"/>
    <w:rsid w:val="009015F6"/>
    <w:rsid w:val="0090539D"/>
    <w:rsid w:val="00910F20"/>
    <w:rsid w:val="00911704"/>
    <w:rsid w:val="00912004"/>
    <w:rsid w:val="0091363E"/>
    <w:rsid w:val="009139EA"/>
    <w:rsid w:val="00914016"/>
    <w:rsid w:val="0091660C"/>
    <w:rsid w:val="0092108B"/>
    <w:rsid w:val="009211B2"/>
    <w:rsid w:val="00921A5C"/>
    <w:rsid w:val="00922315"/>
    <w:rsid w:val="00923218"/>
    <w:rsid w:val="00923B2B"/>
    <w:rsid w:val="00923F57"/>
    <w:rsid w:val="00924180"/>
    <w:rsid w:val="009245FC"/>
    <w:rsid w:val="00925375"/>
    <w:rsid w:val="00925887"/>
    <w:rsid w:val="00926D93"/>
    <w:rsid w:val="00927312"/>
    <w:rsid w:val="009330A4"/>
    <w:rsid w:val="009340B8"/>
    <w:rsid w:val="00934534"/>
    <w:rsid w:val="00934732"/>
    <w:rsid w:val="00934E35"/>
    <w:rsid w:val="009373EB"/>
    <w:rsid w:val="0094209E"/>
    <w:rsid w:val="00942C94"/>
    <w:rsid w:val="00944548"/>
    <w:rsid w:val="00945CD8"/>
    <w:rsid w:val="00946731"/>
    <w:rsid w:val="009471E0"/>
    <w:rsid w:val="00950140"/>
    <w:rsid w:val="009513E7"/>
    <w:rsid w:val="00951517"/>
    <w:rsid w:val="00951775"/>
    <w:rsid w:val="00951E68"/>
    <w:rsid w:val="0095200B"/>
    <w:rsid w:val="009520E4"/>
    <w:rsid w:val="009544E5"/>
    <w:rsid w:val="009549EF"/>
    <w:rsid w:val="009558C2"/>
    <w:rsid w:val="00955B49"/>
    <w:rsid w:val="00955DBA"/>
    <w:rsid w:val="009560FD"/>
    <w:rsid w:val="009561AF"/>
    <w:rsid w:val="00960639"/>
    <w:rsid w:val="00960DAB"/>
    <w:rsid w:val="00961EDE"/>
    <w:rsid w:val="009626CF"/>
    <w:rsid w:val="00962AC0"/>
    <w:rsid w:val="0097231C"/>
    <w:rsid w:val="00972519"/>
    <w:rsid w:val="00972835"/>
    <w:rsid w:val="00973169"/>
    <w:rsid w:val="0097364E"/>
    <w:rsid w:val="009736C5"/>
    <w:rsid w:val="00974260"/>
    <w:rsid w:val="00974598"/>
    <w:rsid w:val="00975072"/>
    <w:rsid w:val="009764EE"/>
    <w:rsid w:val="009775D6"/>
    <w:rsid w:val="009808AD"/>
    <w:rsid w:val="00980C18"/>
    <w:rsid w:val="00981635"/>
    <w:rsid w:val="00981CEE"/>
    <w:rsid w:val="009824BD"/>
    <w:rsid w:val="00982BA1"/>
    <w:rsid w:val="00983575"/>
    <w:rsid w:val="009849EF"/>
    <w:rsid w:val="00985176"/>
    <w:rsid w:val="00986703"/>
    <w:rsid w:val="00986D91"/>
    <w:rsid w:val="00990A46"/>
    <w:rsid w:val="009913A5"/>
    <w:rsid w:val="00991678"/>
    <w:rsid w:val="00992639"/>
    <w:rsid w:val="00993654"/>
    <w:rsid w:val="00994B6F"/>
    <w:rsid w:val="009958C4"/>
    <w:rsid w:val="00995D95"/>
    <w:rsid w:val="00996AE4"/>
    <w:rsid w:val="00997965"/>
    <w:rsid w:val="00997E22"/>
    <w:rsid w:val="00997EA3"/>
    <w:rsid w:val="009A05F4"/>
    <w:rsid w:val="009A1197"/>
    <w:rsid w:val="009A22FE"/>
    <w:rsid w:val="009A2492"/>
    <w:rsid w:val="009A27D1"/>
    <w:rsid w:val="009A3F43"/>
    <w:rsid w:val="009A4237"/>
    <w:rsid w:val="009A4671"/>
    <w:rsid w:val="009A50B0"/>
    <w:rsid w:val="009A514D"/>
    <w:rsid w:val="009A55E9"/>
    <w:rsid w:val="009A666A"/>
    <w:rsid w:val="009A6B7D"/>
    <w:rsid w:val="009A6BA0"/>
    <w:rsid w:val="009A6F8A"/>
    <w:rsid w:val="009B06F4"/>
    <w:rsid w:val="009B427C"/>
    <w:rsid w:val="009B521B"/>
    <w:rsid w:val="009B55C9"/>
    <w:rsid w:val="009B5FC2"/>
    <w:rsid w:val="009C0917"/>
    <w:rsid w:val="009C282C"/>
    <w:rsid w:val="009C2FFD"/>
    <w:rsid w:val="009C3AA6"/>
    <w:rsid w:val="009C3B97"/>
    <w:rsid w:val="009C3FEE"/>
    <w:rsid w:val="009C6E20"/>
    <w:rsid w:val="009C79B7"/>
    <w:rsid w:val="009D0C76"/>
    <w:rsid w:val="009D0E0C"/>
    <w:rsid w:val="009D1121"/>
    <w:rsid w:val="009D1440"/>
    <w:rsid w:val="009D1F58"/>
    <w:rsid w:val="009D5584"/>
    <w:rsid w:val="009D623A"/>
    <w:rsid w:val="009D6A23"/>
    <w:rsid w:val="009E26A3"/>
    <w:rsid w:val="009E34E0"/>
    <w:rsid w:val="009E6222"/>
    <w:rsid w:val="009F020D"/>
    <w:rsid w:val="009F1E97"/>
    <w:rsid w:val="009F3B47"/>
    <w:rsid w:val="009F45E1"/>
    <w:rsid w:val="009F4A7F"/>
    <w:rsid w:val="009F4CC3"/>
    <w:rsid w:val="00A020A3"/>
    <w:rsid w:val="00A02D76"/>
    <w:rsid w:val="00A02E86"/>
    <w:rsid w:val="00A03E16"/>
    <w:rsid w:val="00A050AF"/>
    <w:rsid w:val="00A05700"/>
    <w:rsid w:val="00A06DE8"/>
    <w:rsid w:val="00A06FF2"/>
    <w:rsid w:val="00A07105"/>
    <w:rsid w:val="00A07B99"/>
    <w:rsid w:val="00A07E93"/>
    <w:rsid w:val="00A1003F"/>
    <w:rsid w:val="00A10FA2"/>
    <w:rsid w:val="00A11377"/>
    <w:rsid w:val="00A114D8"/>
    <w:rsid w:val="00A11932"/>
    <w:rsid w:val="00A11A83"/>
    <w:rsid w:val="00A12983"/>
    <w:rsid w:val="00A12BFA"/>
    <w:rsid w:val="00A12F46"/>
    <w:rsid w:val="00A134B6"/>
    <w:rsid w:val="00A13737"/>
    <w:rsid w:val="00A139A6"/>
    <w:rsid w:val="00A13BF1"/>
    <w:rsid w:val="00A14031"/>
    <w:rsid w:val="00A15591"/>
    <w:rsid w:val="00A1596A"/>
    <w:rsid w:val="00A20282"/>
    <w:rsid w:val="00A21F13"/>
    <w:rsid w:val="00A22342"/>
    <w:rsid w:val="00A22C2A"/>
    <w:rsid w:val="00A23E8C"/>
    <w:rsid w:val="00A24378"/>
    <w:rsid w:val="00A249BC"/>
    <w:rsid w:val="00A250B0"/>
    <w:rsid w:val="00A269BA"/>
    <w:rsid w:val="00A26AF6"/>
    <w:rsid w:val="00A26E06"/>
    <w:rsid w:val="00A27338"/>
    <w:rsid w:val="00A30638"/>
    <w:rsid w:val="00A30E1F"/>
    <w:rsid w:val="00A334D3"/>
    <w:rsid w:val="00A340DC"/>
    <w:rsid w:val="00A34BF7"/>
    <w:rsid w:val="00A34D15"/>
    <w:rsid w:val="00A3583F"/>
    <w:rsid w:val="00A35BE1"/>
    <w:rsid w:val="00A36839"/>
    <w:rsid w:val="00A36B32"/>
    <w:rsid w:val="00A37FC0"/>
    <w:rsid w:val="00A407DB"/>
    <w:rsid w:val="00A40CCD"/>
    <w:rsid w:val="00A41417"/>
    <w:rsid w:val="00A42EB2"/>
    <w:rsid w:val="00A44216"/>
    <w:rsid w:val="00A44F0B"/>
    <w:rsid w:val="00A4507F"/>
    <w:rsid w:val="00A45877"/>
    <w:rsid w:val="00A46D49"/>
    <w:rsid w:val="00A478CF"/>
    <w:rsid w:val="00A5059B"/>
    <w:rsid w:val="00A539BF"/>
    <w:rsid w:val="00A54E02"/>
    <w:rsid w:val="00A564AB"/>
    <w:rsid w:val="00A57619"/>
    <w:rsid w:val="00A57735"/>
    <w:rsid w:val="00A57EFA"/>
    <w:rsid w:val="00A60914"/>
    <w:rsid w:val="00A60E71"/>
    <w:rsid w:val="00A63045"/>
    <w:rsid w:val="00A63E8E"/>
    <w:rsid w:val="00A63FBF"/>
    <w:rsid w:val="00A65558"/>
    <w:rsid w:val="00A65EB0"/>
    <w:rsid w:val="00A670D5"/>
    <w:rsid w:val="00A67664"/>
    <w:rsid w:val="00A67ADE"/>
    <w:rsid w:val="00A67EBC"/>
    <w:rsid w:val="00A70F16"/>
    <w:rsid w:val="00A72750"/>
    <w:rsid w:val="00A7795C"/>
    <w:rsid w:val="00A81FF0"/>
    <w:rsid w:val="00A8302D"/>
    <w:rsid w:val="00A8408D"/>
    <w:rsid w:val="00A8471F"/>
    <w:rsid w:val="00A85218"/>
    <w:rsid w:val="00A858C1"/>
    <w:rsid w:val="00A901AC"/>
    <w:rsid w:val="00A921B3"/>
    <w:rsid w:val="00A92FAA"/>
    <w:rsid w:val="00A93FFA"/>
    <w:rsid w:val="00A94C6F"/>
    <w:rsid w:val="00A958A5"/>
    <w:rsid w:val="00A963F3"/>
    <w:rsid w:val="00A96438"/>
    <w:rsid w:val="00A97618"/>
    <w:rsid w:val="00A9794D"/>
    <w:rsid w:val="00AA232C"/>
    <w:rsid w:val="00AA26AA"/>
    <w:rsid w:val="00AA431E"/>
    <w:rsid w:val="00AA511A"/>
    <w:rsid w:val="00AA58FF"/>
    <w:rsid w:val="00AA5FE1"/>
    <w:rsid w:val="00AA61A1"/>
    <w:rsid w:val="00AA7100"/>
    <w:rsid w:val="00AA7FF9"/>
    <w:rsid w:val="00AB13AE"/>
    <w:rsid w:val="00AB2E6C"/>
    <w:rsid w:val="00AB3523"/>
    <w:rsid w:val="00AB475F"/>
    <w:rsid w:val="00AB518C"/>
    <w:rsid w:val="00AB69B8"/>
    <w:rsid w:val="00AB7CE0"/>
    <w:rsid w:val="00AB7E8A"/>
    <w:rsid w:val="00AC0FA4"/>
    <w:rsid w:val="00AC1D8B"/>
    <w:rsid w:val="00AC3AC0"/>
    <w:rsid w:val="00AC589C"/>
    <w:rsid w:val="00AC661F"/>
    <w:rsid w:val="00AC6A21"/>
    <w:rsid w:val="00AC7295"/>
    <w:rsid w:val="00AC7F66"/>
    <w:rsid w:val="00AC7FC1"/>
    <w:rsid w:val="00AD124B"/>
    <w:rsid w:val="00AD1B2A"/>
    <w:rsid w:val="00AD1B43"/>
    <w:rsid w:val="00AD2630"/>
    <w:rsid w:val="00AD2ACD"/>
    <w:rsid w:val="00AD2F5A"/>
    <w:rsid w:val="00AD4507"/>
    <w:rsid w:val="00AD70A0"/>
    <w:rsid w:val="00AD7E77"/>
    <w:rsid w:val="00AD7FFD"/>
    <w:rsid w:val="00AE072C"/>
    <w:rsid w:val="00AE0734"/>
    <w:rsid w:val="00AE1018"/>
    <w:rsid w:val="00AE2E50"/>
    <w:rsid w:val="00AE31AF"/>
    <w:rsid w:val="00AE58B8"/>
    <w:rsid w:val="00AE5948"/>
    <w:rsid w:val="00AF00C1"/>
    <w:rsid w:val="00AF0B91"/>
    <w:rsid w:val="00AF0B93"/>
    <w:rsid w:val="00AF0E09"/>
    <w:rsid w:val="00AF17CB"/>
    <w:rsid w:val="00AF381F"/>
    <w:rsid w:val="00AF38BF"/>
    <w:rsid w:val="00AF522C"/>
    <w:rsid w:val="00AF5297"/>
    <w:rsid w:val="00AF584E"/>
    <w:rsid w:val="00AF6B87"/>
    <w:rsid w:val="00AF6D59"/>
    <w:rsid w:val="00B00230"/>
    <w:rsid w:val="00B00AF0"/>
    <w:rsid w:val="00B01FDC"/>
    <w:rsid w:val="00B02546"/>
    <w:rsid w:val="00B039C0"/>
    <w:rsid w:val="00B0400E"/>
    <w:rsid w:val="00B053D1"/>
    <w:rsid w:val="00B105FD"/>
    <w:rsid w:val="00B10676"/>
    <w:rsid w:val="00B11306"/>
    <w:rsid w:val="00B11FE9"/>
    <w:rsid w:val="00B12433"/>
    <w:rsid w:val="00B1287F"/>
    <w:rsid w:val="00B13C03"/>
    <w:rsid w:val="00B14B4F"/>
    <w:rsid w:val="00B14C46"/>
    <w:rsid w:val="00B14D75"/>
    <w:rsid w:val="00B15FA8"/>
    <w:rsid w:val="00B16067"/>
    <w:rsid w:val="00B16AD8"/>
    <w:rsid w:val="00B17516"/>
    <w:rsid w:val="00B20265"/>
    <w:rsid w:val="00B20E9B"/>
    <w:rsid w:val="00B220D1"/>
    <w:rsid w:val="00B22550"/>
    <w:rsid w:val="00B23830"/>
    <w:rsid w:val="00B24BA3"/>
    <w:rsid w:val="00B252DB"/>
    <w:rsid w:val="00B3008F"/>
    <w:rsid w:val="00B304CC"/>
    <w:rsid w:val="00B309E5"/>
    <w:rsid w:val="00B311AF"/>
    <w:rsid w:val="00B31322"/>
    <w:rsid w:val="00B32963"/>
    <w:rsid w:val="00B32B8F"/>
    <w:rsid w:val="00B338D0"/>
    <w:rsid w:val="00B34748"/>
    <w:rsid w:val="00B347CD"/>
    <w:rsid w:val="00B35D1E"/>
    <w:rsid w:val="00B36433"/>
    <w:rsid w:val="00B364C5"/>
    <w:rsid w:val="00B37B56"/>
    <w:rsid w:val="00B37C5E"/>
    <w:rsid w:val="00B407FF"/>
    <w:rsid w:val="00B43532"/>
    <w:rsid w:val="00B44B34"/>
    <w:rsid w:val="00B4665F"/>
    <w:rsid w:val="00B46F06"/>
    <w:rsid w:val="00B51EFF"/>
    <w:rsid w:val="00B52115"/>
    <w:rsid w:val="00B52806"/>
    <w:rsid w:val="00B566BD"/>
    <w:rsid w:val="00B57605"/>
    <w:rsid w:val="00B600F4"/>
    <w:rsid w:val="00B60F2F"/>
    <w:rsid w:val="00B61818"/>
    <w:rsid w:val="00B61F22"/>
    <w:rsid w:val="00B632B1"/>
    <w:rsid w:val="00B64656"/>
    <w:rsid w:val="00B64B16"/>
    <w:rsid w:val="00B65881"/>
    <w:rsid w:val="00B65B5E"/>
    <w:rsid w:val="00B67FF5"/>
    <w:rsid w:val="00B704E1"/>
    <w:rsid w:val="00B7098D"/>
    <w:rsid w:val="00B7138B"/>
    <w:rsid w:val="00B720BF"/>
    <w:rsid w:val="00B735A7"/>
    <w:rsid w:val="00B735D1"/>
    <w:rsid w:val="00B744C7"/>
    <w:rsid w:val="00B74B7B"/>
    <w:rsid w:val="00B76106"/>
    <w:rsid w:val="00B765D5"/>
    <w:rsid w:val="00B769C1"/>
    <w:rsid w:val="00B76B5E"/>
    <w:rsid w:val="00B77F5D"/>
    <w:rsid w:val="00B8009B"/>
    <w:rsid w:val="00B806C9"/>
    <w:rsid w:val="00B81D85"/>
    <w:rsid w:val="00B81F66"/>
    <w:rsid w:val="00B8388E"/>
    <w:rsid w:val="00B85724"/>
    <w:rsid w:val="00B86867"/>
    <w:rsid w:val="00B86FCE"/>
    <w:rsid w:val="00B87F94"/>
    <w:rsid w:val="00B901EB"/>
    <w:rsid w:val="00B907CA"/>
    <w:rsid w:val="00B9208B"/>
    <w:rsid w:val="00B9221A"/>
    <w:rsid w:val="00B936C1"/>
    <w:rsid w:val="00B946B3"/>
    <w:rsid w:val="00B94B45"/>
    <w:rsid w:val="00B9502E"/>
    <w:rsid w:val="00B95527"/>
    <w:rsid w:val="00B9599F"/>
    <w:rsid w:val="00B96673"/>
    <w:rsid w:val="00B97999"/>
    <w:rsid w:val="00BA0936"/>
    <w:rsid w:val="00BA217D"/>
    <w:rsid w:val="00BA26EA"/>
    <w:rsid w:val="00BA3CD4"/>
    <w:rsid w:val="00BA4277"/>
    <w:rsid w:val="00BB61AA"/>
    <w:rsid w:val="00BB692C"/>
    <w:rsid w:val="00BC0A51"/>
    <w:rsid w:val="00BC0A55"/>
    <w:rsid w:val="00BC0B0C"/>
    <w:rsid w:val="00BC1696"/>
    <w:rsid w:val="00BC2CB9"/>
    <w:rsid w:val="00BC2D37"/>
    <w:rsid w:val="00BC3B48"/>
    <w:rsid w:val="00BC3E38"/>
    <w:rsid w:val="00BC5473"/>
    <w:rsid w:val="00BC549F"/>
    <w:rsid w:val="00BC5B03"/>
    <w:rsid w:val="00BC7AFC"/>
    <w:rsid w:val="00BD00E8"/>
    <w:rsid w:val="00BD130F"/>
    <w:rsid w:val="00BD182B"/>
    <w:rsid w:val="00BD1A2F"/>
    <w:rsid w:val="00BD2493"/>
    <w:rsid w:val="00BD43DE"/>
    <w:rsid w:val="00BD4FD4"/>
    <w:rsid w:val="00BD5575"/>
    <w:rsid w:val="00BD5969"/>
    <w:rsid w:val="00BD5E69"/>
    <w:rsid w:val="00BE0A69"/>
    <w:rsid w:val="00BE2F1C"/>
    <w:rsid w:val="00BE3470"/>
    <w:rsid w:val="00BE348A"/>
    <w:rsid w:val="00BE487F"/>
    <w:rsid w:val="00BE6850"/>
    <w:rsid w:val="00BF186C"/>
    <w:rsid w:val="00BF5431"/>
    <w:rsid w:val="00BF5702"/>
    <w:rsid w:val="00BF6DD9"/>
    <w:rsid w:val="00C001DE"/>
    <w:rsid w:val="00C00309"/>
    <w:rsid w:val="00C00BCC"/>
    <w:rsid w:val="00C00F80"/>
    <w:rsid w:val="00C01552"/>
    <w:rsid w:val="00C0308C"/>
    <w:rsid w:val="00C0439B"/>
    <w:rsid w:val="00C04EC9"/>
    <w:rsid w:val="00C052E4"/>
    <w:rsid w:val="00C06E39"/>
    <w:rsid w:val="00C07541"/>
    <w:rsid w:val="00C12619"/>
    <w:rsid w:val="00C1338E"/>
    <w:rsid w:val="00C15742"/>
    <w:rsid w:val="00C16C62"/>
    <w:rsid w:val="00C17DB5"/>
    <w:rsid w:val="00C20032"/>
    <w:rsid w:val="00C20121"/>
    <w:rsid w:val="00C21E98"/>
    <w:rsid w:val="00C22DC2"/>
    <w:rsid w:val="00C23A19"/>
    <w:rsid w:val="00C23B0D"/>
    <w:rsid w:val="00C2496D"/>
    <w:rsid w:val="00C267CA"/>
    <w:rsid w:val="00C26D09"/>
    <w:rsid w:val="00C30A43"/>
    <w:rsid w:val="00C3247F"/>
    <w:rsid w:val="00C324C4"/>
    <w:rsid w:val="00C3289D"/>
    <w:rsid w:val="00C332C5"/>
    <w:rsid w:val="00C378A4"/>
    <w:rsid w:val="00C406FE"/>
    <w:rsid w:val="00C4321A"/>
    <w:rsid w:val="00C43A24"/>
    <w:rsid w:val="00C445B3"/>
    <w:rsid w:val="00C46637"/>
    <w:rsid w:val="00C47389"/>
    <w:rsid w:val="00C50A40"/>
    <w:rsid w:val="00C524FD"/>
    <w:rsid w:val="00C533EC"/>
    <w:rsid w:val="00C53DA6"/>
    <w:rsid w:val="00C54861"/>
    <w:rsid w:val="00C5498D"/>
    <w:rsid w:val="00C564A2"/>
    <w:rsid w:val="00C57671"/>
    <w:rsid w:val="00C577BF"/>
    <w:rsid w:val="00C57B3C"/>
    <w:rsid w:val="00C6036A"/>
    <w:rsid w:val="00C60A5B"/>
    <w:rsid w:val="00C60F14"/>
    <w:rsid w:val="00C61EEF"/>
    <w:rsid w:val="00C629EB"/>
    <w:rsid w:val="00C62D64"/>
    <w:rsid w:val="00C63E9D"/>
    <w:rsid w:val="00C63F46"/>
    <w:rsid w:val="00C64375"/>
    <w:rsid w:val="00C64E69"/>
    <w:rsid w:val="00C65102"/>
    <w:rsid w:val="00C65198"/>
    <w:rsid w:val="00C65B17"/>
    <w:rsid w:val="00C66142"/>
    <w:rsid w:val="00C6635A"/>
    <w:rsid w:val="00C66693"/>
    <w:rsid w:val="00C6683B"/>
    <w:rsid w:val="00C66AD3"/>
    <w:rsid w:val="00C67E7C"/>
    <w:rsid w:val="00C70069"/>
    <w:rsid w:val="00C7185C"/>
    <w:rsid w:val="00C74F31"/>
    <w:rsid w:val="00C76EB7"/>
    <w:rsid w:val="00C77353"/>
    <w:rsid w:val="00C77854"/>
    <w:rsid w:val="00C82016"/>
    <w:rsid w:val="00C8212B"/>
    <w:rsid w:val="00C85BA0"/>
    <w:rsid w:val="00C87CEA"/>
    <w:rsid w:val="00C90067"/>
    <w:rsid w:val="00C90F61"/>
    <w:rsid w:val="00C9183F"/>
    <w:rsid w:val="00C92203"/>
    <w:rsid w:val="00C94759"/>
    <w:rsid w:val="00C95E13"/>
    <w:rsid w:val="00C96C6F"/>
    <w:rsid w:val="00CA0D47"/>
    <w:rsid w:val="00CA0FAB"/>
    <w:rsid w:val="00CA11AE"/>
    <w:rsid w:val="00CA1800"/>
    <w:rsid w:val="00CA19E5"/>
    <w:rsid w:val="00CA24C1"/>
    <w:rsid w:val="00CA26C4"/>
    <w:rsid w:val="00CA29E3"/>
    <w:rsid w:val="00CA40E1"/>
    <w:rsid w:val="00CA4566"/>
    <w:rsid w:val="00CA4C96"/>
    <w:rsid w:val="00CA58FC"/>
    <w:rsid w:val="00CA6EB7"/>
    <w:rsid w:val="00CA757A"/>
    <w:rsid w:val="00CB0075"/>
    <w:rsid w:val="00CB4CC7"/>
    <w:rsid w:val="00CB6A55"/>
    <w:rsid w:val="00CB7BB7"/>
    <w:rsid w:val="00CB7BCE"/>
    <w:rsid w:val="00CC2B0B"/>
    <w:rsid w:val="00CC2C50"/>
    <w:rsid w:val="00CC2C94"/>
    <w:rsid w:val="00CC2F60"/>
    <w:rsid w:val="00CC3983"/>
    <w:rsid w:val="00CC67A1"/>
    <w:rsid w:val="00CC78BD"/>
    <w:rsid w:val="00CD0EE9"/>
    <w:rsid w:val="00CD2088"/>
    <w:rsid w:val="00CD22E8"/>
    <w:rsid w:val="00CD235E"/>
    <w:rsid w:val="00CD3365"/>
    <w:rsid w:val="00CD3746"/>
    <w:rsid w:val="00CD44EF"/>
    <w:rsid w:val="00CD5BC4"/>
    <w:rsid w:val="00CD69B1"/>
    <w:rsid w:val="00CD731A"/>
    <w:rsid w:val="00CD742A"/>
    <w:rsid w:val="00CE0106"/>
    <w:rsid w:val="00CE2941"/>
    <w:rsid w:val="00CE294E"/>
    <w:rsid w:val="00CE4107"/>
    <w:rsid w:val="00CE61F1"/>
    <w:rsid w:val="00CE6B67"/>
    <w:rsid w:val="00CF0DE0"/>
    <w:rsid w:val="00CF11AD"/>
    <w:rsid w:val="00CF3E31"/>
    <w:rsid w:val="00CF4E88"/>
    <w:rsid w:val="00CF4E8D"/>
    <w:rsid w:val="00CF56A3"/>
    <w:rsid w:val="00CF6E08"/>
    <w:rsid w:val="00CF6F02"/>
    <w:rsid w:val="00CF6FC2"/>
    <w:rsid w:val="00D02681"/>
    <w:rsid w:val="00D04FD6"/>
    <w:rsid w:val="00D051C2"/>
    <w:rsid w:val="00D06276"/>
    <w:rsid w:val="00D07243"/>
    <w:rsid w:val="00D123BA"/>
    <w:rsid w:val="00D1278F"/>
    <w:rsid w:val="00D14DAA"/>
    <w:rsid w:val="00D1644D"/>
    <w:rsid w:val="00D165A4"/>
    <w:rsid w:val="00D16D23"/>
    <w:rsid w:val="00D16DDF"/>
    <w:rsid w:val="00D1783B"/>
    <w:rsid w:val="00D206AF"/>
    <w:rsid w:val="00D20CE4"/>
    <w:rsid w:val="00D21F8C"/>
    <w:rsid w:val="00D221AC"/>
    <w:rsid w:val="00D22ACA"/>
    <w:rsid w:val="00D26070"/>
    <w:rsid w:val="00D26489"/>
    <w:rsid w:val="00D27353"/>
    <w:rsid w:val="00D30D0F"/>
    <w:rsid w:val="00D3177B"/>
    <w:rsid w:val="00D31D54"/>
    <w:rsid w:val="00D33F73"/>
    <w:rsid w:val="00D35A5C"/>
    <w:rsid w:val="00D36F8F"/>
    <w:rsid w:val="00D37AF5"/>
    <w:rsid w:val="00D40E0F"/>
    <w:rsid w:val="00D421B3"/>
    <w:rsid w:val="00D42CC9"/>
    <w:rsid w:val="00D42E35"/>
    <w:rsid w:val="00D4319C"/>
    <w:rsid w:val="00D446D6"/>
    <w:rsid w:val="00D47964"/>
    <w:rsid w:val="00D47CD9"/>
    <w:rsid w:val="00D50DDE"/>
    <w:rsid w:val="00D514D0"/>
    <w:rsid w:val="00D515BF"/>
    <w:rsid w:val="00D51B52"/>
    <w:rsid w:val="00D53BF3"/>
    <w:rsid w:val="00D53FD3"/>
    <w:rsid w:val="00D54716"/>
    <w:rsid w:val="00D60174"/>
    <w:rsid w:val="00D61A99"/>
    <w:rsid w:val="00D624DF"/>
    <w:rsid w:val="00D634E7"/>
    <w:rsid w:val="00D6422A"/>
    <w:rsid w:val="00D662C0"/>
    <w:rsid w:val="00D70B66"/>
    <w:rsid w:val="00D70F97"/>
    <w:rsid w:val="00D72D4B"/>
    <w:rsid w:val="00D73A0B"/>
    <w:rsid w:val="00D758E9"/>
    <w:rsid w:val="00D762A4"/>
    <w:rsid w:val="00D762ED"/>
    <w:rsid w:val="00D77E3B"/>
    <w:rsid w:val="00D800CA"/>
    <w:rsid w:val="00D80D20"/>
    <w:rsid w:val="00D81620"/>
    <w:rsid w:val="00D830A1"/>
    <w:rsid w:val="00D8340E"/>
    <w:rsid w:val="00D84752"/>
    <w:rsid w:val="00D84A5A"/>
    <w:rsid w:val="00D902CF"/>
    <w:rsid w:val="00D9040C"/>
    <w:rsid w:val="00D90D51"/>
    <w:rsid w:val="00D91806"/>
    <w:rsid w:val="00D91980"/>
    <w:rsid w:val="00D92E99"/>
    <w:rsid w:val="00D948E5"/>
    <w:rsid w:val="00D94A12"/>
    <w:rsid w:val="00D959CF"/>
    <w:rsid w:val="00D95D51"/>
    <w:rsid w:val="00D97CB7"/>
    <w:rsid w:val="00DA0812"/>
    <w:rsid w:val="00DA328F"/>
    <w:rsid w:val="00DA449E"/>
    <w:rsid w:val="00DA4A4F"/>
    <w:rsid w:val="00DA5983"/>
    <w:rsid w:val="00DA6556"/>
    <w:rsid w:val="00DA680B"/>
    <w:rsid w:val="00DB1A8A"/>
    <w:rsid w:val="00DB37DC"/>
    <w:rsid w:val="00DB59D0"/>
    <w:rsid w:val="00DB7A14"/>
    <w:rsid w:val="00DB7ADD"/>
    <w:rsid w:val="00DC072B"/>
    <w:rsid w:val="00DC1D6A"/>
    <w:rsid w:val="00DC253B"/>
    <w:rsid w:val="00DC4F8B"/>
    <w:rsid w:val="00DC686D"/>
    <w:rsid w:val="00DC7659"/>
    <w:rsid w:val="00DC7C5F"/>
    <w:rsid w:val="00DD031B"/>
    <w:rsid w:val="00DD0380"/>
    <w:rsid w:val="00DD178F"/>
    <w:rsid w:val="00DD1ED5"/>
    <w:rsid w:val="00DD34A2"/>
    <w:rsid w:val="00DD3637"/>
    <w:rsid w:val="00DD3CDA"/>
    <w:rsid w:val="00DD535A"/>
    <w:rsid w:val="00DD67A7"/>
    <w:rsid w:val="00DD6D38"/>
    <w:rsid w:val="00DD6E3C"/>
    <w:rsid w:val="00DE19B8"/>
    <w:rsid w:val="00DE481C"/>
    <w:rsid w:val="00DE4C3C"/>
    <w:rsid w:val="00DE4CF6"/>
    <w:rsid w:val="00DE5AA5"/>
    <w:rsid w:val="00DE688E"/>
    <w:rsid w:val="00DE6A86"/>
    <w:rsid w:val="00DE78D2"/>
    <w:rsid w:val="00DF0F61"/>
    <w:rsid w:val="00DF1A76"/>
    <w:rsid w:val="00DF3479"/>
    <w:rsid w:val="00DF4358"/>
    <w:rsid w:val="00DF4E1A"/>
    <w:rsid w:val="00DF53C7"/>
    <w:rsid w:val="00DF53EA"/>
    <w:rsid w:val="00E000D7"/>
    <w:rsid w:val="00E04C64"/>
    <w:rsid w:val="00E04D56"/>
    <w:rsid w:val="00E060BD"/>
    <w:rsid w:val="00E06C02"/>
    <w:rsid w:val="00E07352"/>
    <w:rsid w:val="00E10365"/>
    <w:rsid w:val="00E14B85"/>
    <w:rsid w:val="00E1586A"/>
    <w:rsid w:val="00E159F0"/>
    <w:rsid w:val="00E15E84"/>
    <w:rsid w:val="00E16351"/>
    <w:rsid w:val="00E21ABC"/>
    <w:rsid w:val="00E21F40"/>
    <w:rsid w:val="00E22186"/>
    <w:rsid w:val="00E246A0"/>
    <w:rsid w:val="00E24CB6"/>
    <w:rsid w:val="00E2735F"/>
    <w:rsid w:val="00E30181"/>
    <w:rsid w:val="00E306C5"/>
    <w:rsid w:val="00E32D1C"/>
    <w:rsid w:val="00E3345C"/>
    <w:rsid w:val="00E335F6"/>
    <w:rsid w:val="00E33F8A"/>
    <w:rsid w:val="00E37512"/>
    <w:rsid w:val="00E37693"/>
    <w:rsid w:val="00E377EA"/>
    <w:rsid w:val="00E408CC"/>
    <w:rsid w:val="00E41463"/>
    <w:rsid w:val="00E42826"/>
    <w:rsid w:val="00E4564A"/>
    <w:rsid w:val="00E46487"/>
    <w:rsid w:val="00E46809"/>
    <w:rsid w:val="00E47285"/>
    <w:rsid w:val="00E47771"/>
    <w:rsid w:val="00E51A68"/>
    <w:rsid w:val="00E52DE6"/>
    <w:rsid w:val="00E52FC4"/>
    <w:rsid w:val="00E55A8D"/>
    <w:rsid w:val="00E57758"/>
    <w:rsid w:val="00E6097D"/>
    <w:rsid w:val="00E6239F"/>
    <w:rsid w:val="00E6393B"/>
    <w:rsid w:val="00E64131"/>
    <w:rsid w:val="00E648EF"/>
    <w:rsid w:val="00E6572E"/>
    <w:rsid w:val="00E65AA3"/>
    <w:rsid w:val="00E6755C"/>
    <w:rsid w:val="00E7257B"/>
    <w:rsid w:val="00E72FAF"/>
    <w:rsid w:val="00E74001"/>
    <w:rsid w:val="00E74676"/>
    <w:rsid w:val="00E75C4C"/>
    <w:rsid w:val="00E801F3"/>
    <w:rsid w:val="00E80666"/>
    <w:rsid w:val="00E8070D"/>
    <w:rsid w:val="00E830EC"/>
    <w:rsid w:val="00E832D8"/>
    <w:rsid w:val="00E8348D"/>
    <w:rsid w:val="00E83955"/>
    <w:rsid w:val="00E83A56"/>
    <w:rsid w:val="00E84E4C"/>
    <w:rsid w:val="00E8500D"/>
    <w:rsid w:val="00E85494"/>
    <w:rsid w:val="00E86F2F"/>
    <w:rsid w:val="00E8705D"/>
    <w:rsid w:val="00E90FEF"/>
    <w:rsid w:val="00E9105E"/>
    <w:rsid w:val="00E91DC7"/>
    <w:rsid w:val="00E9314B"/>
    <w:rsid w:val="00E95131"/>
    <w:rsid w:val="00E960B9"/>
    <w:rsid w:val="00E969F7"/>
    <w:rsid w:val="00E97A33"/>
    <w:rsid w:val="00EA0544"/>
    <w:rsid w:val="00EA140D"/>
    <w:rsid w:val="00EA1FC0"/>
    <w:rsid w:val="00EA6C98"/>
    <w:rsid w:val="00EA6D69"/>
    <w:rsid w:val="00EA7143"/>
    <w:rsid w:val="00EA7F03"/>
    <w:rsid w:val="00EB0EE0"/>
    <w:rsid w:val="00EB1062"/>
    <w:rsid w:val="00EB1AC9"/>
    <w:rsid w:val="00EB2342"/>
    <w:rsid w:val="00EB26F0"/>
    <w:rsid w:val="00EB2BD0"/>
    <w:rsid w:val="00EB2FAF"/>
    <w:rsid w:val="00EB6F83"/>
    <w:rsid w:val="00EB7127"/>
    <w:rsid w:val="00EC068F"/>
    <w:rsid w:val="00EC0972"/>
    <w:rsid w:val="00EC140B"/>
    <w:rsid w:val="00EC44FB"/>
    <w:rsid w:val="00EC53F2"/>
    <w:rsid w:val="00EC6CA0"/>
    <w:rsid w:val="00EC6E8B"/>
    <w:rsid w:val="00ED0AF3"/>
    <w:rsid w:val="00ED0F36"/>
    <w:rsid w:val="00ED182A"/>
    <w:rsid w:val="00ED1879"/>
    <w:rsid w:val="00ED2323"/>
    <w:rsid w:val="00ED4080"/>
    <w:rsid w:val="00ED40D6"/>
    <w:rsid w:val="00ED4275"/>
    <w:rsid w:val="00ED4306"/>
    <w:rsid w:val="00ED43B5"/>
    <w:rsid w:val="00ED448F"/>
    <w:rsid w:val="00ED4745"/>
    <w:rsid w:val="00ED5533"/>
    <w:rsid w:val="00ED6597"/>
    <w:rsid w:val="00ED7D7E"/>
    <w:rsid w:val="00EE067B"/>
    <w:rsid w:val="00EE0C2F"/>
    <w:rsid w:val="00EE1BF7"/>
    <w:rsid w:val="00EE200B"/>
    <w:rsid w:val="00EE24DA"/>
    <w:rsid w:val="00EE3A5C"/>
    <w:rsid w:val="00EE4B94"/>
    <w:rsid w:val="00EE5689"/>
    <w:rsid w:val="00EE7BF6"/>
    <w:rsid w:val="00EF0311"/>
    <w:rsid w:val="00EF1968"/>
    <w:rsid w:val="00EF227E"/>
    <w:rsid w:val="00EF240C"/>
    <w:rsid w:val="00EF2532"/>
    <w:rsid w:val="00EF2E18"/>
    <w:rsid w:val="00EF2FEB"/>
    <w:rsid w:val="00EF38B9"/>
    <w:rsid w:val="00EF473B"/>
    <w:rsid w:val="00EF4B29"/>
    <w:rsid w:val="00EF530A"/>
    <w:rsid w:val="00EF6843"/>
    <w:rsid w:val="00EF71C6"/>
    <w:rsid w:val="00EF79FC"/>
    <w:rsid w:val="00F00840"/>
    <w:rsid w:val="00F025EB"/>
    <w:rsid w:val="00F02E2D"/>
    <w:rsid w:val="00F034D5"/>
    <w:rsid w:val="00F03F26"/>
    <w:rsid w:val="00F0423B"/>
    <w:rsid w:val="00F07D3C"/>
    <w:rsid w:val="00F07DD0"/>
    <w:rsid w:val="00F07DD5"/>
    <w:rsid w:val="00F10368"/>
    <w:rsid w:val="00F10C9E"/>
    <w:rsid w:val="00F10D63"/>
    <w:rsid w:val="00F118EF"/>
    <w:rsid w:val="00F13025"/>
    <w:rsid w:val="00F1356E"/>
    <w:rsid w:val="00F15515"/>
    <w:rsid w:val="00F15693"/>
    <w:rsid w:val="00F16B58"/>
    <w:rsid w:val="00F2103B"/>
    <w:rsid w:val="00F22708"/>
    <w:rsid w:val="00F230D9"/>
    <w:rsid w:val="00F24639"/>
    <w:rsid w:val="00F26A74"/>
    <w:rsid w:val="00F26DB7"/>
    <w:rsid w:val="00F31863"/>
    <w:rsid w:val="00F31E13"/>
    <w:rsid w:val="00F33145"/>
    <w:rsid w:val="00F33CAF"/>
    <w:rsid w:val="00F35EF7"/>
    <w:rsid w:val="00F35F57"/>
    <w:rsid w:val="00F40A80"/>
    <w:rsid w:val="00F42100"/>
    <w:rsid w:val="00F42449"/>
    <w:rsid w:val="00F45003"/>
    <w:rsid w:val="00F5160C"/>
    <w:rsid w:val="00F51A5C"/>
    <w:rsid w:val="00F528B5"/>
    <w:rsid w:val="00F5481A"/>
    <w:rsid w:val="00F54823"/>
    <w:rsid w:val="00F54913"/>
    <w:rsid w:val="00F554F4"/>
    <w:rsid w:val="00F56055"/>
    <w:rsid w:val="00F568A1"/>
    <w:rsid w:val="00F56DA1"/>
    <w:rsid w:val="00F57516"/>
    <w:rsid w:val="00F61C85"/>
    <w:rsid w:val="00F62699"/>
    <w:rsid w:val="00F63FD6"/>
    <w:rsid w:val="00F64494"/>
    <w:rsid w:val="00F659B7"/>
    <w:rsid w:val="00F67E41"/>
    <w:rsid w:val="00F67EBD"/>
    <w:rsid w:val="00F70D23"/>
    <w:rsid w:val="00F70EA7"/>
    <w:rsid w:val="00F70F53"/>
    <w:rsid w:val="00F71F04"/>
    <w:rsid w:val="00F72110"/>
    <w:rsid w:val="00F72244"/>
    <w:rsid w:val="00F723CD"/>
    <w:rsid w:val="00F72986"/>
    <w:rsid w:val="00F74DF7"/>
    <w:rsid w:val="00F75BD3"/>
    <w:rsid w:val="00F76371"/>
    <w:rsid w:val="00F80060"/>
    <w:rsid w:val="00F800E1"/>
    <w:rsid w:val="00F80F3E"/>
    <w:rsid w:val="00F83332"/>
    <w:rsid w:val="00F83DAA"/>
    <w:rsid w:val="00F856C4"/>
    <w:rsid w:val="00F8716F"/>
    <w:rsid w:val="00F873EF"/>
    <w:rsid w:val="00F906E1"/>
    <w:rsid w:val="00F91D0A"/>
    <w:rsid w:val="00F92021"/>
    <w:rsid w:val="00F92616"/>
    <w:rsid w:val="00F92814"/>
    <w:rsid w:val="00F93124"/>
    <w:rsid w:val="00F93A96"/>
    <w:rsid w:val="00F94AA3"/>
    <w:rsid w:val="00F952F8"/>
    <w:rsid w:val="00F957C3"/>
    <w:rsid w:val="00F95BC5"/>
    <w:rsid w:val="00F97BD0"/>
    <w:rsid w:val="00FA06F3"/>
    <w:rsid w:val="00FA0A4E"/>
    <w:rsid w:val="00FA1312"/>
    <w:rsid w:val="00FA2A46"/>
    <w:rsid w:val="00FA4AC7"/>
    <w:rsid w:val="00FA4DFB"/>
    <w:rsid w:val="00FA4F28"/>
    <w:rsid w:val="00FA60D2"/>
    <w:rsid w:val="00FA6428"/>
    <w:rsid w:val="00FA6974"/>
    <w:rsid w:val="00FA78D8"/>
    <w:rsid w:val="00FA79E5"/>
    <w:rsid w:val="00FA7D26"/>
    <w:rsid w:val="00FB1190"/>
    <w:rsid w:val="00FB12C8"/>
    <w:rsid w:val="00FB1C48"/>
    <w:rsid w:val="00FB1E4F"/>
    <w:rsid w:val="00FB2436"/>
    <w:rsid w:val="00FB27DD"/>
    <w:rsid w:val="00FB335D"/>
    <w:rsid w:val="00FB33E1"/>
    <w:rsid w:val="00FB3456"/>
    <w:rsid w:val="00FB4354"/>
    <w:rsid w:val="00FB4565"/>
    <w:rsid w:val="00FB5192"/>
    <w:rsid w:val="00FB52C5"/>
    <w:rsid w:val="00FB6CBE"/>
    <w:rsid w:val="00FB7CE0"/>
    <w:rsid w:val="00FC029D"/>
    <w:rsid w:val="00FC3E1B"/>
    <w:rsid w:val="00FC3EBC"/>
    <w:rsid w:val="00FC3FB6"/>
    <w:rsid w:val="00FC467D"/>
    <w:rsid w:val="00FC49AE"/>
    <w:rsid w:val="00FC4D19"/>
    <w:rsid w:val="00FC4F62"/>
    <w:rsid w:val="00FD0357"/>
    <w:rsid w:val="00FD17E0"/>
    <w:rsid w:val="00FD32AD"/>
    <w:rsid w:val="00FD343E"/>
    <w:rsid w:val="00FD4A50"/>
    <w:rsid w:val="00FD524C"/>
    <w:rsid w:val="00FD69E8"/>
    <w:rsid w:val="00FE19D7"/>
    <w:rsid w:val="00FE26EC"/>
    <w:rsid w:val="00FE39B5"/>
    <w:rsid w:val="00FE68A4"/>
    <w:rsid w:val="00FF0820"/>
    <w:rsid w:val="00FF0908"/>
    <w:rsid w:val="00FF1185"/>
    <w:rsid w:val="00FF376D"/>
    <w:rsid w:val="00FF59A0"/>
    <w:rsid w:val="00FF6211"/>
    <w:rsid w:val="01042CD0"/>
    <w:rsid w:val="01877B89"/>
    <w:rsid w:val="01A9298C"/>
    <w:rsid w:val="01F1268E"/>
    <w:rsid w:val="02152917"/>
    <w:rsid w:val="021653B1"/>
    <w:rsid w:val="021A09FD"/>
    <w:rsid w:val="0250441F"/>
    <w:rsid w:val="02742EFC"/>
    <w:rsid w:val="028042C4"/>
    <w:rsid w:val="02832A46"/>
    <w:rsid w:val="028D4D9B"/>
    <w:rsid w:val="02D332E6"/>
    <w:rsid w:val="031C07A5"/>
    <w:rsid w:val="03240870"/>
    <w:rsid w:val="03465822"/>
    <w:rsid w:val="035B1CE5"/>
    <w:rsid w:val="03854B3A"/>
    <w:rsid w:val="03CC3F79"/>
    <w:rsid w:val="03DF1EFE"/>
    <w:rsid w:val="04101BB7"/>
    <w:rsid w:val="04187EF1"/>
    <w:rsid w:val="042E0790"/>
    <w:rsid w:val="042E253E"/>
    <w:rsid w:val="043A5387"/>
    <w:rsid w:val="04406715"/>
    <w:rsid w:val="04473845"/>
    <w:rsid w:val="045403C1"/>
    <w:rsid w:val="045E5F40"/>
    <w:rsid w:val="04D1089E"/>
    <w:rsid w:val="050B1CD4"/>
    <w:rsid w:val="052D0A47"/>
    <w:rsid w:val="05452235"/>
    <w:rsid w:val="055350E8"/>
    <w:rsid w:val="055736B0"/>
    <w:rsid w:val="05720F47"/>
    <w:rsid w:val="057A4C7B"/>
    <w:rsid w:val="0590119C"/>
    <w:rsid w:val="05AD1B88"/>
    <w:rsid w:val="05B13426"/>
    <w:rsid w:val="05C56ED2"/>
    <w:rsid w:val="05EA5EA2"/>
    <w:rsid w:val="064C2576"/>
    <w:rsid w:val="067D77AC"/>
    <w:rsid w:val="06A05249"/>
    <w:rsid w:val="06EF599D"/>
    <w:rsid w:val="06F90AE7"/>
    <w:rsid w:val="07195727"/>
    <w:rsid w:val="07541337"/>
    <w:rsid w:val="07C36F54"/>
    <w:rsid w:val="07EC4BEA"/>
    <w:rsid w:val="08122176"/>
    <w:rsid w:val="08980827"/>
    <w:rsid w:val="08BB280E"/>
    <w:rsid w:val="08C14279"/>
    <w:rsid w:val="08E312CF"/>
    <w:rsid w:val="08F60DE6"/>
    <w:rsid w:val="09176551"/>
    <w:rsid w:val="091B51F4"/>
    <w:rsid w:val="09322AD0"/>
    <w:rsid w:val="093979F4"/>
    <w:rsid w:val="093B1401"/>
    <w:rsid w:val="09516E1B"/>
    <w:rsid w:val="0961574F"/>
    <w:rsid w:val="096477B1"/>
    <w:rsid w:val="09880942"/>
    <w:rsid w:val="099A360C"/>
    <w:rsid w:val="09F73516"/>
    <w:rsid w:val="09FA366B"/>
    <w:rsid w:val="0A117414"/>
    <w:rsid w:val="0A2F247A"/>
    <w:rsid w:val="0A3D172D"/>
    <w:rsid w:val="0A634F0B"/>
    <w:rsid w:val="0A6F3EE9"/>
    <w:rsid w:val="0A8C6210"/>
    <w:rsid w:val="0AEF0818"/>
    <w:rsid w:val="0AF142C5"/>
    <w:rsid w:val="0B1B1342"/>
    <w:rsid w:val="0B26707E"/>
    <w:rsid w:val="0B7A075E"/>
    <w:rsid w:val="0C1110C3"/>
    <w:rsid w:val="0C425BDD"/>
    <w:rsid w:val="0C5C2956"/>
    <w:rsid w:val="0C795822"/>
    <w:rsid w:val="0CA86EA2"/>
    <w:rsid w:val="0CB657C6"/>
    <w:rsid w:val="0CBB595F"/>
    <w:rsid w:val="0CBD7CF1"/>
    <w:rsid w:val="0D046461"/>
    <w:rsid w:val="0D1B5BBD"/>
    <w:rsid w:val="0D35493D"/>
    <w:rsid w:val="0D656F20"/>
    <w:rsid w:val="0D6C68AD"/>
    <w:rsid w:val="0D70006B"/>
    <w:rsid w:val="0D9C570A"/>
    <w:rsid w:val="0D9F6EC3"/>
    <w:rsid w:val="0DF677B9"/>
    <w:rsid w:val="0E4A08BC"/>
    <w:rsid w:val="0E4B1FD4"/>
    <w:rsid w:val="0E576B35"/>
    <w:rsid w:val="0E7E0566"/>
    <w:rsid w:val="0E8029E9"/>
    <w:rsid w:val="0E99714E"/>
    <w:rsid w:val="0E9F3273"/>
    <w:rsid w:val="0EA7297F"/>
    <w:rsid w:val="0F490B74"/>
    <w:rsid w:val="0F56503F"/>
    <w:rsid w:val="0F7835B6"/>
    <w:rsid w:val="0F857FF2"/>
    <w:rsid w:val="0F9F68BB"/>
    <w:rsid w:val="0FE82942"/>
    <w:rsid w:val="10221EE0"/>
    <w:rsid w:val="10290CE7"/>
    <w:rsid w:val="10725EA8"/>
    <w:rsid w:val="10D61D5D"/>
    <w:rsid w:val="10EF540C"/>
    <w:rsid w:val="11023B11"/>
    <w:rsid w:val="11036B00"/>
    <w:rsid w:val="111451B1"/>
    <w:rsid w:val="11750FCE"/>
    <w:rsid w:val="117F087D"/>
    <w:rsid w:val="1188307C"/>
    <w:rsid w:val="118C15CB"/>
    <w:rsid w:val="119629AC"/>
    <w:rsid w:val="11B7101A"/>
    <w:rsid w:val="11BA18B5"/>
    <w:rsid w:val="11C24C0D"/>
    <w:rsid w:val="121F1AEC"/>
    <w:rsid w:val="1222745A"/>
    <w:rsid w:val="12423092"/>
    <w:rsid w:val="12503FC7"/>
    <w:rsid w:val="128B4FFF"/>
    <w:rsid w:val="1292339A"/>
    <w:rsid w:val="129D5576"/>
    <w:rsid w:val="12EE6A82"/>
    <w:rsid w:val="12F40DF6"/>
    <w:rsid w:val="13446BA1"/>
    <w:rsid w:val="136441CE"/>
    <w:rsid w:val="139311B9"/>
    <w:rsid w:val="139E1CCC"/>
    <w:rsid w:val="13C91236"/>
    <w:rsid w:val="14407A24"/>
    <w:rsid w:val="1457788F"/>
    <w:rsid w:val="14B52807"/>
    <w:rsid w:val="14C36CD2"/>
    <w:rsid w:val="15067DE6"/>
    <w:rsid w:val="15406575"/>
    <w:rsid w:val="15507A0D"/>
    <w:rsid w:val="157B78DE"/>
    <w:rsid w:val="1594709F"/>
    <w:rsid w:val="15B11221"/>
    <w:rsid w:val="15C40F54"/>
    <w:rsid w:val="16130806"/>
    <w:rsid w:val="16545407"/>
    <w:rsid w:val="16704C38"/>
    <w:rsid w:val="16A02C0C"/>
    <w:rsid w:val="172F68A1"/>
    <w:rsid w:val="1767428D"/>
    <w:rsid w:val="177E6371"/>
    <w:rsid w:val="179130FC"/>
    <w:rsid w:val="179523B6"/>
    <w:rsid w:val="17B31280"/>
    <w:rsid w:val="17B468C9"/>
    <w:rsid w:val="17DB07D7"/>
    <w:rsid w:val="18122A85"/>
    <w:rsid w:val="18427A2F"/>
    <w:rsid w:val="18A569D9"/>
    <w:rsid w:val="18B352B0"/>
    <w:rsid w:val="18C748B7"/>
    <w:rsid w:val="18ED431E"/>
    <w:rsid w:val="1912647A"/>
    <w:rsid w:val="19131523"/>
    <w:rsid w:val="1932529B"/>
    <w:rsid w:val="19843FE1"/>
    <w:rsid w:val="19873D9C"/>
    <w:rsid w:val="19BD4767"/>
    <w:rsid w:val="19D21766"/>
    <w:rsid w:val="19EA6D88"/>
    <w:rsid w:val="19EE19D3"/>
    <w:rsid w:val="1A0933D9"/>
    <w:rsid w:val="1A0C2EC9"/>
    <w:rsid w:val="1A2F6BB8"/>
    <w:rsid w:val="1A312930"/>
    <w:rsid w:val="1A3B246E"/>
    <w:rsid w:val="1A5E03B7"/>
    <w:rsid w:val="1AA90718"/>
    <w:rsid w:val="1AB73C00"/>
    <w:rsid w:val="1AF71B85"/>
    <w:rsid w:val="1B8051D3"/>
    <w:rsid w:val="1B812E7F"/>
    <w:rsid w:val="1BAB04C0"/>
    <w:rsid w:val="1BCE21DA"/>
    <w:rsid w:val="1C346708"/>
    <w:rsid w:val="1C6E346B"/>
    <w:rsid w:val="1C762014"/>
    <w:rsid w:val="1CA052F9"/>
    <w:rsid w:val="1CA92C52"/>
    <w:rsid w:val="1D083E1C"/>
    <w:rsid w:val="1D1F48E9"/>
    <w:rsid w:val="1D20523A"/>
    <w:rsid w:val="1D282217"/>
    <w:rsid w:val="1D2D5631"/>
    <w:rsid w:val="1DA3702B"/>
    <w:rsid w:val="1DB23F59"/>
    <w:rsid w:val="1DB64506"/>
    <w:rsid w:val="1DED3012"/>
    <w:rsid w:val="1E0068A1"/>
    <w:rsid w:val="1E2527AC"/>
    <w:rsid w:val="1E601A36"/>
    <w:rsid w:val="1E7958F0"/>
    <w:rsid w:val="1E892D3B"/>
    <w:rsid w:val="1E911BEF"/>
    <w:rsid w:val="1EC208A6"/>
    <w:rsid w:val="1F091A51"/>
    <w:rsid w:val="1F104035"/>
    <w:rsid w:val="1F1A1540"/>
    <w:rsid w:val="1F2C467B"/>
    <w:rsid w:val="1F2C66A0"/>
    <w:rsid w:val="1F3955A2"/>
    <w:rsid w:val="1F39747B"/>
    <w:rsid w:val="1F523C25"/>
    <w:rsid w:val="1F933A28"/>
    <w:rsid w:val="1F9C084C"/>
    <w:rsid w:val="1FC61D6D"/>
    <w:rsid w:val="1FD01D46"/>
    <w:rsid w:val="1FE14C03"/>
    <w:rsid w:val="1FE43FA1"/>
    <w:rsid w:val="200803EE"/>
    <w:rsid w:val="202D6FD9"/>
    <w:rsid w:val="20A16EC3"/>
    <w:rsid w:val="20D009E5"/>
    <w:rsid w:val="20D604CF"/>
    <w:rsid w:val="20E34258"/>
    <w:rsid w:val="210F504D"/>
    <w:rsid w:val="21114909"/>
    <w:rsid w:val="211C60E8"/>
    <w:rsid w:val="21352D06"/>
    <w:rsid w:val="21577120"/>
    <w:rsid w:val="215A3283"/>
    <w:rsid w:val="21764795"/>
    <w:rsid w:val="21821CC3"/>
    <w:rsid w:val="21894E00"/>
    <w:rsid w:val="21BD3BC6"/>
    <w:rsid w:val="21E36440"/>
    <w:rsid w:val="21E8173A"/>
    <w:rsid w:val="21FC0B82"/>
    <w:rsid w:val="220628F4"/>
    <w:rsid w:val="22B568E0"/>
    <w:rsid w:val="22D623FF"/>
    <w:rsid w:val="22E43D8D"/>
    <w:rsid w:val="239E04F4"/>
    <w:rsid w:val="23A423C5"/>
    <w:rsid w:val="23BA3996"/>
    <w:rsid w:val="23EC05FD"/>
    <w:rsid w:val="24145500"/>
    <w:rsid w:val="2453425F"/>
    <w:rsid w:val="24AC7783"/>
    <w:rsid w:val="24D42836"/>
    <w:rsid w:val="252E69B7"/>
    <w:rsid w:val="253A32B3"/>
    <w:rsid w:val="255615F5"/>
    <w:rsid w:val="256718FC"/>
    <w:rsid w:val="2582353C"/>
    <w:rsid w:val="25B7161A"/>
    <w:rsid w:val="25DC7BF4"/>
    <w:rsid w:val="25F04D82"/>
    <w:rsid w:val="26525C14"/>
    <w:rsid w:val="265A4FBD"/>
    <w:rsid w:val="265F6F74"/>
    <w:rsid w:val="268A665F"/>
    <w:rsid w:val="26CA2142"/>
    <w:rsid w:val="26E94BFE"/>
    <w:rsid w:val="26F80720"/>
    <w:rsid w:val="271C3A8D"/>
    <w:rsid w:val="27252BF1"/>
    <w:rsid w:val="276F350C"/>
    <w:rsid w:val="278B601D"/>
    <w:rsid w:val="27C571C0"/>
    <w:rsid w:val="27C840EF"/>
    <w:rsid w:val="27D01665"/>
    <w:rsid w:val="27EB4FAC"/>
    <w:rsid w:val="28033B5E"/>
    <w:rsid w:val="281C2EA7"/>
    <w:rsid w:val="283F2E38"/>
    <w:rsid w:val="284877C3"/>
    <w:rsid w:val="286363AA"/>
    <w:rsid w:val="28760EC1"/>
    <w:rsid w:val="28965108"/>
    <w:rsid w:val="28DE1ED5"/>
    <w:rsid w:val="28F224FC"/>
    <w:rsid w:val="29214018"/>
    <w:rsid w:val="297F777F"/>
    <w:rsid w:val="299627B0"/>
    <w:rsid w:val="29A05A04"/>
    <w:rsid w:val="29B11398"/>
    <w:rsid w:val="29C410CB"/>
    <w:rsid w:val="29E452C9"/>
    <w:rsid w:val="2A3222AB"/>
    <w:rsid w:val="2A7A2160"/>
    <w:rsid w:val="2AB253C7"/>
    <w:rsid w:val="2B02223C"/>
    <w:rsid w:val="2B082C5B"/>
    <w:rsid w:val="2B336ED3"/>
    <w:rsid w:val="2B471FB3"/>
    <w:rsid w:val="2B730675"/>
    <w:rsid w:val="2C0B1233"/>
    <w:rsid w:val="2C106849"/>
    <w:rsid w:val="2C1856FE"/>
    <w:rsid w:val="2C22032B"/>
    <w:rsid w:val="2C300C99"/>
    <w:rsid w:val="2C7548FE"/>
    <w:rsid w:val="2CA156F3"/>
    <w:rsid w:val="2D085772"/>
    <w:rsid w:val="2D480265"/>
    <w:rsid w:val="2D811081"/>
    <w:rsid w:val="2D866D5A"/>
    <w:rsid w:val="2D8C5315"/>
    <w:rsid w:val="2D95643B"/>
    <w:rsid w:val="2DD5680A"/>
    <w:rsid w:val="2DE106C9"/>
    <w:rsid w:val="2DFB0E33"/>
    <w:rsid w:val="2E2F297F"/>
    <w:rsid w:val="2E5F7614"/>
    <w:rsid w:val="2EAC6191"/>
    <w:rsid w:val="2EC4047B"/>
    <w:rsid w:val="2EE6563F"/>
    <w:rsid w:val="2EFC28ED"/>
    <w:rsid w:val="2EFC79F2"/>
    <w:rsid w:val="2F26688E"/>
    <w:rsid w:val="2F4C0A41"/>
    <w:rsid w:val="2F841A5E"/>
    <w:rsid w:val="2F990904"/>
    <w:rsid w:val="2FAD24A1"/>
    <w:rsid w:val="2FB21CDD"/>
    <w:rsid w:val="2FBD0DC9"/>
    <w:rsid w:val="2FC93956"/>
    <w:rsid w:val="2FD66FEA"/>
    <w:rsid w:val="300E37F4"/>
    <w:rsid w:val="303568A2"/>
    <w:rsid w:val="3050190A"/>
    <w:rsid w:val="306C7DC6"/>
    <w:rsid w:val="308F3191"/>
    <w:rsid w:val="30C145B6"/>
    <w:rsid w:val="30D93E56"/>
    <w:rsid w:val="30E64311"/>
    <w:rsid w:val="30F911F5"/>
    <w:rsid w:val="31083F93"/>
    <w:rsid w:val="314C23D2"/>
    <w:rsid w:val="31771119"/>
    <w:rsid w:val="31B71515"/>
    <w:rsid w:val="32002A73"/>
    <w:rsid w:val="322518D5"/>
    <w:rsid w:val="324A65A8"/>
    <w:rsid w:val="32933D30"/>
    <w:rsid w:val="32951856"/>
    <w:rsid w:val="329F4483"/>
    <w:rsid w:val="32BF53D9"/>
    <w:rsid w:val="32C21624"/>
    <w:rsid w:val="33095DA0"/>
    <w:rsid w:val="331A1D5C"/>
    <w:rsid w:val="33233306"/>
    <w:rsid w:val="332538EF"/>
    <w:rsid w:val="333F5C66"/>
    <w:rsid w:val="336D1887"/>
    <w:rsid w:val="339D46F8"/>
    <w:rsid w:val="33D32B48"/>
    <w:rsid w:val="34012F1B"/>
    <w:rsid w:val="34140EA1"/>
    <w:rsid w:val="3490195A"/>
    <w:rsid w:val="34C87539"/>
    <w:rsid w:val="34E11C63"/>
    <w:rsid w:val="35037002"/>
    <w:rsid w:val="35083BE7"/>
    <w:rsid w:val="35147A61"/>
    <w:rsid w:val="354338CC"/>
    <w:rsid w:val="3546508A"/>
    <w:rsid w:val="354F1987"/>
    <w:rsid w:val="35700359"/>
    <w:rsid w:val="35BA7826"/>
    <w:rsid w:val="35DA1FD3"/>
    <w:rsid w:val="35E24941"/>
    <w:rsid w:val="35E80BFF"/>
    <w:rsid w:val="35F02B59"/>
    <w:rsid w:val="360F71D3"/>
    <w:rsid w:val="36272ED6"/>
    <w:rsid w:val="363D4937"/>
    <w:rsid w:val="36400CEB"/>
    <w:rsid w:val="3640650F"/>
    <w:rsid w:val="36820344"/>
    <w:rsid w:val="36913B8F"/>
    <w:rsid w:val="36E47B81"/>
    <w:rsid w:val="36FC747B"/>
    <w:rsid w:val="377203B8"/>
    <w:rsid w:val="3782130C"/>
    <w:rsid w:val="37AD5028"/>
    <w:rsid w:val="37B23DC0"/>
    <w:rsid w:val="37BD53AB"/>
    <w:rsid w:val="37CF5A51"/>
    <w:rsid w:val="37F81A2D"/>
    <w:rsid w:val="381476C1"/>
    <w:rsid w:val="38274CF5"/>
    <w:rsid w:val="384E5709"/>
    <w:rsid w:val="385D3A32"/>
    <w:rsid w:val="38887767"/>
    <w:rsid w:val="389D1436"/>
    <w:rsid w:val="38A6660E"/>
    <w:rsid w:val="38C81AB7"/>
    <w:rsid w:val="38E507FA"/>
    <w:rsid w:val="38EC5F48"/>
    <w:rsid w:val="38FD222D"/>
    <w:rsid w:val="390211C1"/>
    <w:rsid w:val="390F0207"/>
    <w:rsid w:val="391F7478"/>
    <w:rsid w:val="392A6A70"/>
    <w:rsid w:val="39363667"/>
    <w:rsid w:val="39391D8C"/>
    <w:rsid w:val="394538AA"/>
    <w:rsid w:val="39700927"/>
    <w:rsid w:val="39BC50E7"/>
    <w:rsid w:val="39D03040"/>
    <w:rsid w:val="39F33306"/>
    <w:rsid w:val="3A217E73"/>
    <w:rsid w:val="3A41003D"/>
    <w:rsid w:val="3A531190"/>
    <w:rsid w:val="3A6854CC"/>
    <w:rsid w:val="3A8B1BB1"/>
    <w:rsid w:val="3ADE3FB6"/>
    <w:rsid w:val="3AEC4D47"/>
    <w:rsid w:val="3AF410E4"/>
    <w:rsid w:val="3B253993"/>
    <w:rsid w:val="3B297A4D"/>
    <w:rsid w:val="3BC66F24"/>
    <w:rsid w:val="3BDB484F"/>
    <w:rsid w:val="3BF539A4"/>
    <w:rsid w:val="3C2F45AC"/>
    <w:rsid w:val="3C3A521C"/>
    <w:rsid w:val="3C4537E2"/>
    <w:rsid w:val="3C5C570A"/>
    <w:rsid w:val="3C5E7084"/>
    <w:rsid w:val="3C795D45"/>
    <w:rsid w:val="3C9B3F0D"/>
    <w:rsid w:val="3CD87E6D"/>
    <w:rsid w:val="3CFD4BC8"/>
    <w:rsid w:val="3D122381"/>
    <w:rsid w:val="3D235695"/>
    <w:rsid w:val="3D424900"/>
    <w:rsid w:val="3D5A3DC8"/>
    <w:rsid w:val="3D91083B"/>
    <w:rsid w:val="3D913562"/>
    <w:rsid w:val="3D960010"/>
    <w:rsid w:val="3DBF6634"/>
    <w:rsid w:val="3DC94AAA"/>
    <w:rsid w:val="3DF57B79"/>
    <w:rsid w:val="3E244472"/>
    <w:rsid w:val="3E2747E6"/>
    <w:rsid w:val="3E300685"/>
    <w:rsid w:val="3E4B3711"/>
    <w:rsid w:val="3E595E0B"/>
    <w:rsid w:val="3E8C2EA8"/>
    <w:rsid w:val="3EAD352C"/>
    <w:rsid w:val="3EC62C18"/>
    <w:rsid w:val="3ECB3973"/>
    <w:rsid w:val="3F047C19"/>
    <w:rsid w:val="3F0F6C24"/>
    <w:rsid w:val="3F195722"/>
    <w:rsid w:val="3F1C2D07"/>
    <w:rsid w:val="3F7E303A"/>
    <w:rsid w:val="3FA70E1B"/>
    <w:rsid w:val="3FC6067B"/>
    <w:rsid w:val="3FCC4E39"/>
    <w:rsid w:val="3FD55988"/>
    <w:rsid w:val="40146815"/>
    <w:rsid w:val="401E545D"/>
    <w:rsid w:val="40354679"/>
    <w:rsid w:val="40577F27"/>
    <w:rsid w:val="405D632C"/>
    <w:rsid w:val="408625E5"/>
    <w:rsid w:val="40B03CFF"/>
    <w:rsid w:val="40B95628"/>
    <w:rsid w:val="40DD0AA9"/>
    <w:rsid w:val="40E8793D"/>
    <w:rsid w:val="412C5A7C"/>
    <w:rsid w:val="415709EC"/>
    <w:rsid w:val="41735459"/>
    <w:rsid w:val="417B5E8E"/>
    <w:rsid w:val="418C02C8"/>
    <w:rsid w:val="419B6404"/>
    <w:rsid w:val="41D81894"/>
    <w:rsid w:val="41F26E27"/>
    <w:rsid w:val="420B40E0"/>
    <w:rsid w:val="422155C4"/>
    <w:rsid w:val="42416F43"/>
    <w:rsid w:val="426508F2"/>
    <w:rsid w:val="4269141F"/>
    <w:rsid w:val="427D5567"/>
    <w:rsid w:val="429F227D"/>
    <w:rsid w:val="42E27607"/>
    <w:rsid w:val="42EF56FC"/>
    <w:rsid w:val="43095949"/>
    <w:rsid w:val="43284021"/>
    <w:rsid w:val="433810BF"/>
    <w:rsid w:val="433C7ACC"/>
    <w:rsid w:val="433E4180"/>
    <w:rsid w:val="436314FD"/>
    <w:rsid w:val="43844A8D"/>
    <w:rsid w:val="43D56037"/>
    <w:rsid w:val="43DF5B69"/>
    <w:rsid w:val="43E97FDE"/>
    <w:rsid w:val="43FD560E"/>
    <w:rsid w:val="44121145"/>
    <w:rsid w:val="4416031D"/>
    <w:rsid w:val="443609BF"/>
    <w:rsid w:val="443B611F"/>
    <w:rsid w:val="4454377A"/>
    <w:rsid w:val="44761B1B"/>
    <w:rsid w:val="447C2876"/>
    <w:rsid w:val="44825D66"/>
    <w:rsid w:val="44DA759D"/>
    <w:rsid w:val="44E6604F"/>
    <w:rsid w:val="44FE6E4F"/>
    <w:rsid w:val="450A2BB8"/>
    <w:rsid w:val="45303FE5"/>
    <w:rsid w:val="45743BCA"/>
    <w:rsid w:val="45AA6F2D"/>
    <w:rsid w:val="45C10D70"/>
    <w:rsid w:val="45C14B6C"/>
    <w:rsid w:val="45D43FEC"/>
    <w:rsid w:val="45D8518E"/>
    <w:rsid w:val="45EA7371"/>
    <w:rsid w:val="45F8679F"/>
    <w:rsid w:val="45FA0D0B"/>
    <w:rsid w:val="46160AA8"/>
    <w:rsid w:val="46641814"/>
    <w:rsid w:val="46842982"/>
    <w:rsid w:val="46B310A6"/>
    <w:rsid w:val="46D02A05"/>
    <w:rsid w:val="46F337F6"/>
    <w:rsid w:val="46F954C9"/>
    <w:rsid w:val="471F7129"/>
    <w:rsid w:val="47280A93"/>
    <w:rsid w:val="47596E9F"/>
    <w:rsid w:val="47703CF4"/>
    <w:rsid w:val="477A4EA8"/>
    <w:rsid w:val="47A01962"/>
    <w:rsid w:val="47AA6646"/>
    <w:rsid w:val="47AE1078"/>
    <w:rsid w:val="47BA5463"/>
    <w:rsid w:val="47E30E5E"/>
    <w:rsid w:val="4803505C"/>
    <w:rsid w:val="48056E5E"/>
    <w:rsid w:val="48084C71"/>
    <w:rsid w:val="485A2984"/>
    <w:rsid w:val="486A6DF0"/>
    <w:rsid w:val="487235A7"/>
    <w:rsid w:val="489650B8"/>
    <w:rsid w:val="48A1626A"/>
    <w:rsid w:val="48A32A06"/>
    <w:rsid w:val="48D533DB"/>
    <w:rsid w:val="48E704DA"/>
    <w:rsid w:val="49051B21"/>
    <w:rsid w:val="491018AF"/>
    <w:rsid w:val="49323566"/>
    <w:rsid w:val="494A511F"/>
    <w:rsid w:val="496122D3"/>
    <w:rsid w:val="496D2E4E"/>
    <w:rsid w:val="499A72FA"/>
    <w:rsid w:val="49AA023D"/>
    <w:rsid w:val="49C61CC3"/>
    <w:rsid w:val="49CD5922"/>
    <w:rsid w:val="49E24B15"/>
    <w:rsid w:val="4A0D3F70"/>
    <w:rsid w:val="4A1368BF"/>
    <w:rsid w:val="4A7F3599"/>
    <w:rsid w:val="4AFD3FE5"/>
    <w:rsid w:val="4B2969B8"/>
    <w:rsid w:val="4B7A5B4A"/>
    <w:rsid w:val="4B810772"/>
    <w:rsid w:val="4B83098E"/>
    <w:rsid w:val="4B90143B"/>
    <w:rsid w:val="4B9F509C"/>
    <w:rsid w:val="4C237A7B"/>
    <w:rsid w:val="4C2537F3"/>
    <w:rsid w:val="4C534154"/>
    <w:rsid w:val="4CAD4014"/>
    <w:rsid w:val="4CC8666A"/>
    <w:rsid w:val="4CD07C03"/>
    <w:rsid w:val="4CDA552C"/>
    <w:rsid w:val="4CDE094D"/>
    <w:rsid w:val="4CFB27A6"/>
    <w:rsid w:val="4CFD4F7F"/>
    <w:rsid w:val="4CFE07AC"/>
    <w:rsid w:val="4D0C49B3"/>
    <w:rsid w:val="4D3F08E5"/>
    <w:rsid w:val="4D53613E"/>
    <w:rsid w:val="4D7B566F"/>
    <w:rsid w:val="4D8D2C98"/>
    <w:rsid w:val="4DB7491F"/>
    <w:rsid w:val="4DC030AB"/>
    <w:rsid w:val="4DE70B18"/>
    <w:rsid w:val="4E22162D"/>
    <w:rsid w:val="4E3C3076"/>
    <w:rsid w:val="4E5C54C6"/>
    <w:rsid w:val="4E832A53"/>
    <w:rsid w:val="4E9234C3"/>
    <w:rsid w:val="4EC512BE"/>
    <w:rsid w:val="4EF207A6"/>
    <w:rsid w:val="4F0E5CA5"/>
    <w:rsid w:val="4FCC21D8"/>
    <w:rsid w:val="4FD615AF"/>
    <w:rsid w:val="4FDC79E2"/>
    <w:rsid w:val="4FF43C08"/>
    <w:rsid w:val="502F41A2"/>
    <w:rsid w:val="504479E3"/>
    <w:rsid w:val="508A00C9"/>
    <w:rsid w:val="509251CF"/>
    <w:rsid w:val="50D6330E"/>
    <w:rsid w:val="50F47C38"/>
    <w:rsid w:val="51256043"/>
    <w:rsid w:val="517D2033"/>
    <w:rsid w:val="5181771E"/>
    <w:rsid w:val="51B003BE"/>
    <w:rsid w:val="51B4012F"/>
    <w:rsid w:val="51B573C7"/>
    <w:rsid w:val="521B540F"/>
    <w:rsid w:val="52262073"/>
    <w:rsid w:val="523E6BBC"/>
    <w:rsid w:val="528B5D4F"/>
    <w:rsid w:val="52903990"/>
    <w:rsid w:val="529945F3"/>
    <w:rsid w:val="52A86A64"/>
    <w:rsid w:val="52E11E52"/>
    <w:rsid w:val="52F263F9"/>
    <w:rsid w:val="53390C3A"/>
    <w:rsid w:val="53760DD8"/>
    <w:rsid w:val="53B27BB7"/>
    <w:rsid w:val="53CB2ED2"/>
    <w:rsid w:val="53DD0B4E"/>
    <w:rsid w:val="53EE772D"/>
    <w:rsid w:val="541C54DC"/>
    <w:rsid w:val="542D135B"/>
    <w:rsid w:val="543C7C24"/>
    <w:rsid w:val="545C7FCE"/>
    <w:rsid w:val="54937FC4"/>
    <w:rsid w:val="54BE47E5"/>
    <w:rsid w:val="54BE7CC8"/>
    <w:rsid w:val="54D87473"/>
    <w:rsid w:val="54DF5727"/>
    <w:rsid w:val="5539547F"/>
    <w:rsid w:val="55755617"/>
    <w:rsid w:val="55886BA1"/>
    <w:rsid w:val="55A45BD8"/>
    <w:rsid w:val="55C1657C"/>
    <w:rsid w:val="562025C2"/>
    <w:rsid w:val="562E4368"/>
    <w:rsid w:val="564B25B6"/>
    <w:rsid w:val="56576C9F"/>
    <w:rsid w:val="567C04B4"/>
    <w:rsid w:val="56824254"/>
    <w:rsid w:val="56902FD1"/>
    <w:rsid w:val="569D7705"/>
    <w:rsid w:val="569E238C"/>
    <w:rsid w:val="56A56F96"/>
    <w:rsid w:val="56B30171"/>
    <w:rsid w:val="56CB31E9"/>
    <w:rsid w:val="56E07842"/>
    <w:rsid w:val="57174680"/>
    <w:rsid w:val="571D5BC5"/>
    <w:rsid w:val="5737087F"/>
    <w:rsid w:val="5750429E"/>
    <w:rsid w:val="575E5E0B"/>
    <w:rsid w:val="57626E74"/>
    <w:rsid w:val="578C19A9"/>
    <w:rsid w:val="579A6A20"/>
    <w:rsid w:val="58030690"/>
    <w:rsid w:val="582878DF"/>
    <w:rsid w:val="5852431F"/>
    <w:rsid w:val="585316E8"/>
    <w:rsid w:val="585D3E03"/>
    <w:rsid w:val="58BC1855"/>
    <w:rsid w:val="58F65638"/>
    <w:rsid w:val="590D1897"/>
    <w:rsid w:val="592F5CB1"/>
    <w:rsid w:val="59340387"/>
    <w:rsid w:val="593530F2"/>
    <w:rsid w:val="598903E7"/>
    <w:rsid w:val="598C212C"/>
    <w:rsid w:val="59A65848"/>
    <w:rsid w:val="59AC5554"/>
    <w:rsid w:val="59B937CD"/>
    <w:rsid w:val="5A0544D6"/>
    <w:rsid w:val="5A216A20"/>
    <w:rsid w:val="5A3A6E64"/>
    <w:rsid w:val="5AA1318C"/>
    <w:rsid w:val="5AAC3332"/>
    <w:rsid w:val="5AAF3F4B"/>
    <w:rsid w:val="5ACB1A0A"/>
    <w:rsid w:val="5B3475AF"/>
    <w:rsid w:val="5B44356A"/>
    <w:rsid w:val="5B5B394A"/>
    <w:rsid w:val="5B9444F1"/>
    <w:rsid w:val="5C0623D8"/>
    <w:rsid w:val="5C3A4DBE"/>
    <w:rsid w:val="5C78171D"/>
    <w:rsid w:val="5C9C1F7A"/>
    <w:rsid w:val="5CCC1A69"/>
    <w:rsid w:val="5D0C00B7"/>
    <w:rsid w:val="5D347D3A"/>
    <w:rsid w:val="5D651CDC"/>
    <w:rsid w:val="5D924A61"/>
    <w:rsid w:val="5D972077"/>
    <w:rsid w:val="5DBE7604"/>
    <w:rsid w:val="5DC5134D"/>
    <w:rsid w:val="5DC855E3"/>
    <w:rsid w:val="5DEB4609"/>
    <w:rsid w:val="5DF213F1"/>
    <w:rsid w:val="5DFB460D"/>
    <w:rsid w:val="5E1016DA"/>
    <w:rsid w:val="5E4E6BDA"/>
    <w:rsid w:val="5E5341F0"/>
    <w:rsid w:val="5E662C96"/>
    <w:rsid w:val="5E77523A"/>
    <w:rsid w:val="5E7A5C21"/>
    <w:rsid w:val="5E9D1993"/>
    <w:rsid w:val="5F0279C4"/>
    <w:rsid w:val="5F1576F7"/>
    <w:rsid w:val="5F2D0BA6"/>
    <w:rsid w:val="5F3062DF"/>
    <w:rsid w:val="5F6C401A"/>
    <w:rsid w:val="5F804302"/>
    <w:rsid w:val="5F9B50AD"/>
    <w:rsid w:val="5FA8056B"/>
    <w:rsid w:val="5FA86C07"/>
    <w:rsid w:val="5FD259F9"/>
    <w:rsid w:val="5FDD2B3A"/>
    <w:rsid w:val="5FEC1F0A"/>
    <w:rsid w:val="5FF92B75"/>
    <w:rsid w:val="601479AF"/>
    <w:rsid w:val="606A1F45"/>
    <w:rsid w:val="60E05F15"/>
    <w:rsid w:val="60E530F9"/>
    <w:rsid w:val="610E08A2"/>
    <w:rsid w:val="615C785F"/>
    <w:rsid w:val="618667F7"/>
    <w:rsid w:val="61974A55"/>
    <w:rsid w:val="61A62964"/>
    <w:rsid w:val="61F12073"/>
    <w:rsid w:val="622E4597"/>
    <w:rsid w:val="62791D4B"/>
    <w:rsid w:val="627B3D15"/>
    <w:rsid w:val="628D3A49"/>
    <w:rsid w:val="62B25DC7"/>
    <w:rsid w:val="62B62F9F"/>
    <w:rsid w:val="62B92A90"/>
    <w:rsid w:val="62D41677"/>
    <w:rsid w:val="639F6592"/>
    <w:rsid w:val="63BC2837"/>
    <w:rsid w:val="63C401DD"/>
    <w:rsid w:val="63CF1338"/>
    <w:rsid w:val="63F57AF7"/>
    <w:rsid w:val="646D3183"/>
    <w:rsid w:val="64726F43"/>
    <w:rsid w:val="648570CD"/>
    <w:rsid w:val="64A227CA"/>
    <w:rsid w:val="64A55079"/>
    <w:rsid w:val="64BC7BAE"/>
    <w:rsid w:val="64D3579B"/>
    <w:rsid w:val="64DD35B1"/>
    <w:rsid w:val="64E57B6C"/>
    <w:rsid w:val="651A5C23"/>
    <w:rsid w:val="652642B8"/>
    <w:rsid w:val="656A5114"/>
    <w:rsid w:val="65847385"/>
    <w:rsid w:val="65B11292"/>
    <w:rsid w:val="65B366BA"/>
    <w:rsid w:val="65BA75C8"/>
    <w:rsid w:val="65E51077"/>
    <w:rsid w:val="661A4B91"/>
    <w:rsid w:val="668138C4"/>
    <w:rsid w:val="66833198"/>
    <w:rsid w:val="66BF4C99"/>
    <w:rsid w:val="670C65D6"/>
    <w:rsid w:val="67423054"/>
    <w:rsid w:val="67483640"/>
    <w:rsid w:val="676A44D6"/>
    <w:rsid w:val="676B07FC"/>
    <w:rsid w:val="677F1909"/>
    <w:rsid w:val="67920993"/>
    <w:rsid w:val="67A04E3D"/>
    <w:rsid w:val="67B17675"/>
    <w:rsid w:val="67B4673E"/>
    <w:rsid w:val="67EC3760"/>
    <w:rsid w:val="682C3AD4"/>
    <w:rsid w:val="68442DFB"/>
    <w:rsid w:val="68613679"/>
    <w:rsid w:val="68727968"/>
    <w:rsid w:val="68760E89"/>
    <w:rsid w:val="68AB2E7A"/>
    <w:rsid w:val="68BA153C"/>
    <w:rsid w:val="68C47A98"/>
    <w:rsid w:val="68EA39A3"/>
    <w:rsid w:val="68F04364"/>
    <w:rsid w:val="68FB5CC4"/>
    <w:rsid w:val="69EF1C7F"/>
    <w:rsid w:val="6A0C5BB7"/>
    <w:rsid w:val="6A154A4F"/>
    <w:rsid w:val="6A303637"/>
    <w:rsid w:val="6A915DF3"/>
    <w:rsid w:val="6AAF6C52"/>
    <w:rsid w:val="6AF9199E"/>
    <w:rsid w:val="6B5C7C76"/>
    <w:rsid w:val="6B6A7665"/>
    <w:rsid w:val="6B9D6AAA"/>
    <w:rsid w:val="6BA0144E"/>
    <w:rsid w:val="6C0B643D"/>
    <w:rsid w:val="6C1825D5"/>
    <w:rsid w:val="6C1A00FB"/>
    <w:rsid w:val="6C2216A6"/>
    <w:rsid w:val="6C2C7E2E"/>
    <w:rsid w:val="6C4B4758"/>
    <w:rsid w:val="6CBC7404"/>
    <w:rsid w:val="6CD26C28"/>
    <w:rsid w:val="6D2C0311"/>
    <w:rsid w:val="6D3671B7"/>
    <w:rsid w:val="6D4D22D2"/>
    <w:rsid w:val="6DA00AD4"/>
    <w:rsid w:val="6DB1683D"/>
    <w:rsid w:val="6DBF45BF"/>
    <w:rsid w:val="6DE2733E"/>
    <w:rsid w:val="6E1D536C"/>
    <w:rsid w:val="6E2B0B07"/>
    <w:rsid w:val="6E4542A4"/>
    <w:rsid w:val="6E4C0C5C"/>
    <w:rsid w:val="6E851A78"/>
    <w:rsid w:val="6EA75E92"/>
    <w:rsid w:val="6EAB4561"/>
    <w:rsid w:val="6EED1AF7"/>
    <w:rsid w:val="6F616041"/>
    <w:rsid w:val="6F7264A0"/>
    <w:rsid w:val="6F9E7295"/>
    <w:rsid w:val="6FA50623"/>
    <w:rsid w:val="6FB30672"/>
    <w:rsid w:val="70741870"/>
    <w:rsid w:val="70A47889"/>
    <w:rsid w:val="70DC38F7"/>
    <w:rsid w:val="71297032"/>
    <w:rsid w:val="71306613"/>
    <w:rsid w:val="714A395B"/>
    <w:rsid w:val="71FA5E12"/>
    <w:rsid w:val="71FB277D"/>
    <w:rsid w:val="7238577F"/>
    <w:rsid w:val="72513B7B"/>
    <w:rsid w:val="72677016"/>
    <w:rsid w:val="72895FDA"/>
    <w:rsid w:val="72BF19FC"/>
    <w:rsid w:val="72D22688"/>
    <w:rsid w:val="72EF331E"/>
    <w:rsid w:val="73357F10"/>
    <w:rsid w:val="733A434A"/>
    <w:rsid w:val="734F2F9E"/>
    <w:rsid w:val="736E51D0"/>
    <w:rsid w:val="737722D7"/>
    <w:rsid w:val="73860E12"/>
    <w:rsid w:val="73C53042"/>
    <w:rsid w:val="73F27EF4"/>
    <w:rsid w:val="73F76F74"/>
    <w:rsid w:val="74406B6D"/>
    <w:rsid w:val="744B4275"/>
    <w:rsid w:val="748527D2"/>
    <w:rsid w:val="749271F3"/>
    <w:rsid w:val="7498334F"/>
    <w:rsid w:val="74C8055A"/>
    <w:rsid w:val="74C96B62"/>
    <w:rsid w:val="74FA4F6E"/>
    <w:rsid w:val="74FA6600"/>
    <w:rsid w:val="750E6C6B"/>
    <w:rsid w:val="75114065"/>
    <w:rsid w:val="75241FEA"/>
    <w:rsid w:val="75C564C6"/>
    <w:rsid w:val="75D64A4F"/>
    <w:rsid w:val="76227727"/>
    <w:rsid w:val="762B2267"/>
    <w:rsid w:val="762F6E99"/>
    <w:rsid w:val="76B01217"/>
    <w:rsid w:val="76F82B81"/>
    <w:rsid w:val="770725FA"/>
    <w:rsid w:val="772E7150"/>
    <w:rsid w:val="77A21895"/>
    <w:rsid w:val="77CC50DF"/>
    <w:rsid w:val="77F4039A"/>
    <w:rsid w:val="782D1944"/>
    <w:rsid w:val="784B5AE0"/>
    <w:rsid w:val="785A709F"/>
    <w:rsid w:val="786171CD"/>
    <w:rsid w:val="788A485A"/>
    <w:rsid w:val="78B4367F"/>
    <w:rsid w:val="7919746E"/>
    <w:rsid w:val="795E31C8"/>
    <w:rsid w:val="79627585"/>
    <w:rsid w:val="79853FBD"/>
    <w:rsid w:val="79B82F8A"/>
    <w:rsid w:val="7A532160"/>
    <w:rsid w:val="7A96669D"/>
    <w:rsid w:val="7AB44136"/>
    <w:rsid w:val="7AB756AF"/>
    <w:rsid w:val="7AC0620F"/>
    <w:rsid w:val="7AE75F94"/>
    <w:rsid w:val="7B05641A"/>
    <w:rsid w:val="7B35055F"/>
    <w:rsid w:val="7B453A59"/>
    <w:rsid w:val="7B5C5D8A"/>
    <w:rsid w:val="7B881AD9"/>
    <w:rsid w:val="7BCD7445"/>
    <w:rsid w:val="7BF15108"/>
    <w:rsid w:val="7C580C2D"/>
    <w:rsid w:val="7C6F7552"/>
    <w:rsid w:val="7C7750F6"/>
    <w:rsid w:val="7C780AA3"/>
    <w:rsid w:val="7C9A7858"/>
    <w:rsid w:val="7C9D34C4"/>
    <w:rsid w:val="7CAD6D69"/>
    <w:rsid w:val="7CD335AB"/>
    <w:rsid w:val="7D256900"/>
    <w:rsid w:val="7D351DF8"/>
    <w:rsid w:val="7D7B648E"/>
    <w:rsid w:val="7D8F021D"/>
    <w:rsid w:val="7DC73E5B"/>
    <w:rsid w:val="7E556AAE"/>
    <w:rsid w:val="7EA65570"/>
    <w:rsid w:val="7EB10D93"/>
    <w:rsid w:val="7F17496E"/>
    <w:rsid w:val="7F2D7CEE"/>
    <w:rsid w:val="7F360DB0"/>
    <w:rsid w:val="7FB46BB3"/>
    <w:rsid w:val="7FD10FC1"/>
    <w:rsid w:val="7FDA73B3"/>
    <w:rsid w:val="7FEA779A"/>
    <w:rsid w:val="7FFB79E6"/>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5"/>
    <w:qFormat/>
    <w:uiPriority w:val="0"/>
    <w:pPr>
      <w:keepNext/>
      <w:keepLines/>
      <w:spacing w:before="340" w:after="330" w:line="360" w:lineRule="auto"/>
      <w:jc w:val="center"/>
      <w:outlineLvl w:val="0"/>
    </w:pPr>
    <w:rPr>
      <w:b/>
      <w:bCs/>
      <w:kern w:val="44"/>
      <w:sz w:val="24"/>
      <w:szCs w:val="44"/>
    </w:rPr>
  </w:style>
  <w:style w:type="paragraph" w:styleId="3">
    <w:name w:val="heading 2"/>
    <w:basedOn w:val="1"/>
    <w:next w:val="1"/>
    <w:qFormat/>
    <w:uiPriority w:val="0"/>
    <w:pPr>
      <w:keepNext/>
      <w:keepLines/>
      <w:spacing w:before="260" w:after="260"/>
      <w:jc w:val="left"/>
      <w:outlineLvl w:val="1"/>
    </w:pPr>
    <w:rPr>
      <w:rFonts w:ascii="Arial" w:hAnsi="Arial"/>
      <w:b/>
      <w:bCs/>
      <w:sz w:val="24"/>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link w:val="8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35"/>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10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144"/>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16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te Heading"/>
    <w:basedOn w:val="1"/>
    <w:next w:val="1"/>
    <w:qFormat/>
    <w:uiPriority w:val="99"/>
    <w:pPr>
      <w:jc w:val="center"/>
    </w:pPr>
    <w:rPr>
      <w:szCs w:val="20"/>
    </w:rPr>
  </w:style>
  <w:style w:type="paragraph" w:styleId="13">
    <w:name w:val="Normal Indent"/>
    <w:basedOn w:val="1"/>
    <w:qFormat/>
    <w:uiPriority w:val="0"/>
    <w:pPr>
      <w:ind w:firstLine="420" w:firstLineChars="200"/>
    </w:pPr>
  </w:style>
  <w:style w:type="paragraph" w:styleId="14">
    <w:name w:val="Document Map"/>
    <w:basedOn w:val="1"/>
    <w:link w:val="173"/>
    <w:qFormat/>
    <w:uiPriority w:val="0"/>
    <w:pPr>
      <w:shd w:val="clear" w:color="auto" w:fill="000080"/>
    </w:pPr>
  </w:style>
  <w:style w:type="paragraph" w:styleId="15">
    <w:name w:val="annotation text"/>
    <w:basedOn w:val="1"/>
    <w:link w:val="147"/>
    <w:qFormat/>
    <w:uiPriority w:val="0"/>
    <w:pPr>
      <w:jc w:val="left"/>
    </w:pPr>
  </w:style>
  <w:style w:type="paragraph" w:styleId="16">
    <w:name w:val="Body Text 3"/>
    <w:basedOn w:val="1"/>
    <w:link w:val="129"/>
    <w:qFormat/>
    <w:uiPriority w:val="0"/>
    <w:rPr>
      <w:rFonts w:ascii="宋体"/>
      <w:sz w:val="24"/>
      <w:szCs w:val="20"/>
    </w:rPr>
  </w:style>
  <w:style w:type="paragraph" w:styleId="17">
    <w:name w:val="Body Text"/>
    <w:basedOn w:val="1"/>
    <w:link w:val="132"/>
    <w:qFormat/>
    <w:uiPriority w:val="0"/>
    <w:pPr>
      <w:jc w:val="center"/>
    </w:pPr>
    <w:rPr>
      <w:b/>
      <w:bCs/>
      <w:sz w:val="44"/>
      <w:szCs w:val="20"/>
    </w:rPr>
  </w:style>
  <w:style w:type="paragraph" w:styleId="18">
    <w:name w:val="Body Text Indent"/>
    <w:basedOn w:val="1"/>
    <w:next w:val="19"/>
    <w:link w:val="114"/>
    <w:qFormat/>
    <w:uiPriority w:val="0"/>
    <w:pPr>
      <w:spacing w:line="500" w:lineRule="exact"/>
      <w:ind w:firstLine="538"/>
    </w:pPr>
    <w:rPr>
      <w:sz w:val="28"/>
    </w:rPr>
  </w:style>
  <w:style w:type="paragraph" w:styleId="19">
    <w:name w:val="envelope return"/>
    <w:basedOn w:val="1"/>
    <w:qFormat/>
    <w:uiPriority w:val="0"/>
    <w:pPr>
      <w:snapToGrid w:val="0"/>
    </w:pPr>
    <w:rPr>
      <w:rFonts w:ascii="Arial" w:hAnsi="Arial"/>
    </w:rPr>
  </w:style>
  <w:style w:type="paragraph" w:styleId="20">
    <w:name w:val="List Continue"/>
    <w:basedOn w:val="1"/>
    <w:qFormat/>
    <w:uiPriority w:val="0"/>
    <w:pPr>
      <w:spacing w:after="120"/>
      <w:ind w:left="420"/>
    </w:pPr>
  </w:style>
  <w:style w:type="paragraph" w:styleId="21">
    <w:name w:val="Block Text"/>
    <w:basedOn w:val="1"/>
    <w:next w:val="17"/>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420"/>
      <w:jc w:val="left"/>
    </w:pPr>
    <w:rPr>
      <w:i/>
      <w:iCs/>
      <w:sz w:val="20"/>
      <w:szCs w:val="20"/>
    </w:rPr>
  </w:style>
  <w:style w:type="paragraph" w:styleId="24">
    <w:name w:val="Plain Text"/>
    <w:basedOn w:val="1"/>
    <w:link w:val="126"/>
    <w:qFormat/>
    <w:uiPriority w:val="0"/>
    <w:rPr>
      <w:rFonts w:ascii="Courier New" w:hAnsi="Courier New"/>
      <w:szCs w:val="20"/>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168"/>
    <w:qFormat/>
    <w:uiPriority w:val="0"/>
    <w:rPr>
      <w:rFonts w:ascii="仿宋_GB2312" w:eastAsia="仿宋_GB2312"/>
      <w:sz w:val="3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link w:val="119"/>
    <w:qFormat/>
    <w:uiPriority w:val="0"/>
    <w:rPr>
      <w:sz w:val="18"/>
      <w:szCs w:val="18"/>
    </w:rPr>
  </w:style>
  <w:style w:type="paragraph" w:styleId="29">
    <w:name w:val="footer"/>
    <w:basedOn w:val="1"/>
    <w:link w:val="70"/>
    <w:qFormat/>
    <w:uiPriority w:val="0"/>
    <w:pPr>
      <w:tabs>
        <w:tab w:val="center" w:pos="4153"/>
        <w:tab w:val="right" w:pos="8306"/>
      </w:tabs>
      <w:snapToGrid w:val="0"/>
      <w:jc w:val="left"/>
    </w:pPr>
    <w:rPr>
      <w:sz w:val="18"/>
      <w:szCs w:val="18"/>
    </w:rPr>
  </w:style>
  <w:style w:type="paragraph" w:styleId="30">
    <w:name w:val="header"/>
    <w:basedOn w:val="1"/>
    <w:link w:val="18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List"/>
    <w:basedOn w:val="1"/>
    <w:qFormat/>
    <w:uiPriority w:val="0"/>
    <w:pPr>
      <w:ind w:left="420" w:hanging="420"/>
    </w:pPr>
    <w:rPr>
      <w:rFonts w:ascii="Arial" w:hAnsi="Arial" w:eastAsia="楷体_GB2312"/>
      <w:sz w:val="28"/>
      <w:szCs w:val="20"/>
    </w:rPr>
  </w:style>
  <w:style w:type="paragraph" w:styleId="34">
    <w:name w:val="footnote text"/>
    <w:basedOn w:val="1"/>
    <w:link w:val="125"/>
    <w:qFormat/>
    <w:uiPriority w:val="0"/>
    <w:rPr>
      <w:sz w:val="20"/>
      <w:szCs w:val="20"/>
    </w:rPr>
  </w:style>
  <w:style w:type="paragraph" w:styleId="35">
    <w:name w:val="toc 6"/>
    <w:basedOn w:val="1"/>
    <w:next w:val="36"/>
    <w:qFormat/>
    <w:uiPriority w:val="0"/>
    <w:pPr>
      <w:ind w:left="1050"/>
      <w:jc w:val="left"/>
    </w:pPr>
    <w:rPr>
      <w:sz w:val="18"/>
      <w:szCs w:val="18"/>
    </w:rPr>
  </w:style>
  <w:style w:type="paragraph" w:customStyle="1" w:styleId="36">
    <w:name w:val="xl76"/>
    <w:basedOn w:val="1"/>
    <w:next w:val="37"/>
    <w:qFormat/>
    <w:uiPriority w:val="0"/>
    <w:pPr>
      <w:widowControl/>
    </w:pPr>
    <w:rPr>
      <w:rFonts w:ascii="Arial Unicode MS" w:eastAsia="Arial Unicode MS"/>
      <w:b/>
      <w:sz w:val="18"/>
    </w:rPr>
  </w:style>
  <w:style w:type="paragraph" w:customStyle="1" w:styleId="37">
    <w:name w:val="xl56"/>
    <w:basedOn w:val="1"/>
    <w:next w:val="38"/>
    <w:qFormat/>
    <w:uiPriority w:val="0"/>
    <w:pPr>
      <w:widowControl/>
      <w:jc w:val="center"/>
    </w:pPr>
    <w:rPr>
      <w:rFonts w:ascii="Arial Unicode MS" w:eastAsia="Arial Unicode MS"/>
      <w:sz w:val="18"/>
    </w:rPr>
  </w:style>
  <w:style w:type="paragraph" w:customStyle="1" w:styleId="38">
    <w:name w:val="xl32"/>
    <w:basedOn w:val="1"/>
    <w:next w:val="1"/>
    <w:qFormat/>
    <w:uiPriority w:val="0"/>
    <w:pPr>
      <w:widowControl/>
      <w:jc w:val="right"/>
    </w:pPr>
    <w:rPr>
      <w:rFonts w:ascii="Arial Unicode MS" w:eastAsia="Arial Unicode MS"/>
      <w:sz w:val="18"/>
    </w:rPr>
  </w:style>
  <w:style w:type="paragraph" w:styleId="39">
    <w:name w:val="Body Text Indent 3"/>
    <w:basedOn w:val="1"/>
    <w:link w:val="71"/>
    <w:qFormat/>
    <w:uiPriority w:val="0"/>
    <w:pPr>
      <w:spacing w:after="120"/>
      <w:ind w:left="420" w:leftChars="200"/>
    </w:pPr>
    <w:rPr>
      <w:sz w:val="16"/>
      <w:szCs w:val="16"/>
    </w:rPr>
  </w:style>
  <w:style w:type="paragraph" w:styleId="40">
    <w:name w:val="table of figures"/>
    <w:basedOn w:val="1"/>
    <w:next w:val="1"/>
    <w:qFormat/>
    <w:uiPriority w:val="0"/>
    <w:pPr>
      <w:ind w:left="200" w:leftChars="200" w:hanging="200" w:hangingChars="200"/>
    </w:pPr>
  </w:style>
  <w:style w:type="paragraph" w:styleId="41">
    <w:name w:val="toc 2"/>
    <w:basedOn w:val="1"/>
    <w:next w:val="1"/>
    <w:qFormat/>
    <w:uiPriority w:val="0"/>
    <w:pPr>
      <w:ind w:left="210"/>
      <w:jc w:val="left"/>
    </w:pPr>
    <w:rPr>
      <w:smallCaps/>
      <w:sz w:val="20"/>
      <w:szCs w:val="20"/>
    </w:rPr>
  </w:style>
  <w:style w:type="paragraph" w:styleId="42">
    <w:name w:val="toc 9"/>
    <w:basedOn w:val="1"/>
    <w:next w:val="1"/>
    <w:qFormat/>
    <w:uiPriority w:val="0"/>
    <w:pPr>
      <w:ind w:left="1680"/>
      <w:jc w:val="left"/>
    </w:pPr>
    <w:rPr>
      <w:sz w:val="18"/>
      <w:szCs w:val="18"/>
    </w:rPr>
  </w:style>
  <w:style w:type="paragraph" w:styleId="43">
    <w:name w:val="Body Text 2"/>
    <w:basedOn w:val="1"/>
    <w:qFormat/>
    <w:uiPriority w:val="0"/>
    <w:pPr>
      <w:spacing w:line="360" w:lineRule="auto"/>
      <w:ind w:firstLine="200" w:firstLineChars="200"/>
    </w:pPr>
  </w:style>
  <w:style w:type="paragraph" w:styleId="44">
    <w:name w:val="Message Header"/>
    <w:basedOn w:val="1"/>
    <w:next w:val="12"/>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link w:val="1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paragraph" w:styleId="46">
    <w:name w:val="Normal (Web)"/>
    <w:basedOn w:val="1"/>
    <w:qFormat/>
    <w:uiPriority w:val="0"/>
    <w:pPr>
      <w:widowControl/>
      <w:jc w:val="left"/>
    </w:pPr>
    <w:rPr>
      <w:rFonts w:ascii="宋体" w:hAnsi="宋体" w:cs="宋体"/>
      <w:kern w:val="0"/>
      <w:sz w:val="18"/>
      <w:szCs w:val="18"/>
    </w:rPr>
  </w:style>
  <w:style w:type="paragraph" w:styleId="47">
    <w:name w:val="Title"/>
    <w:basedOn w:val="1"/>
    <w:next w:val="1"/>
    <w:link w:val="14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8">
    <w:name w:val="annotation subject"/>
    <w:basedOn w:val="15"/>
    <w:next w:val="15"/>
    <w:link w:val="149"/>
    <w:qFormat/>
    <w:uiPriority w:val="0"/>
    <w:rPr>
      <w:b/>
      <w:bCs/>
    </w:rPr>
  </w:style>
  <w:style w:type="paragraph" w:styleId="49">
    <w:name w:val="Body Text First Indent 2"/>
    <w:basedOn w:val="18"/>
    <w:next w:val="33"/>
    <w:link w:val="170"/>
    <w:qFormat/>
    <w:uiPriority w:val="0"/>
    <w:pPr>
      <w:spacing w:after="120" w:line="240" w:lineRule="auto"/>
      <w:ind w:left="420" w:leftChars="200" w:firstLine="420" w:firstLineChars="200"/>
    </w:pPr>
    <w:rPr>
      <w:sz w:val="21"/>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rPr>
  </w:style>
  <w:style w:type="character" w:styleId="54">
    <w:name w:val="page number"/>
    <w:qFormat/>
    <w:uiPriority w:val="0"/>
  </w:style>
  <w:style w:type="character" w:styleId="55">
    <w:name w:val="FollowedHyperlink"/>
    <w:unhideWhenUsed/>
    <w:qFormat/>
    <w:uiPriority w:val="0"/>
    <w:rPr>
      <w:color w:val="800080"/>
      <w:u w:val="none"/>
    </w:rPr>
  </w:style>
  <w:style w:type="character" w:styleId="56">
    <w:name w:val="Emphasis"/>
    <w:qFormat/>
    <w:uiPriority w:val="0"/>
    <w:rPr>
      <w:color w:val="CC0033"/>
    </w:rPr>
  </w:style>
  <w:style w:type="character" w:styleId="57">
    <w:name w:val="HTML Definition"/>
    <w:qFormat/>
    <w:uiPriority w:val="0"/>
  </w:style>
  <w:style w:type="character" w:styleId="58">
    <w:name w:val="HTML Typewriter"/>
    <w:qFormat/>
    <w:uiPriority w:val="0"/>
    <w:rPr>
      <w:rFonts w:ascii="Monospace" w:hAnsi="Monospace" w:eastAsia="Monospace" w:cs="Monospace"/>
      <w:sz w:val="20"/>
      <w:lang w:bidi="ar-SA"/>
    </w:rPr>
  </w:style>
  <w:style w:type="character" w:styleId="59">
    <w:name w:val="HTML Acronym"/>
    <w:basedOn w:val="52"/>
    <w:qFormat/>
    <w:uiPriority w:val="0"/>
  </w:style>
  <w:style w:type="character" w:styleId="60">
    <w:name w:val="HTML Variable"/>
    <w:qFormat/>
    <w:uiPriority w:val="0"/>
  </w:style>
  <w:style w:type="character" w:styleId="61">
    <w:name w:val="Hyperlink"/>
    <w:qFormat/>
    <w:uiPriority w:val="0"/>
    <w:rPr>
      <w:color w:val="333333"/>
      <w:u w:val="none"/>
    </w:rPr>
  </w:style>
  <w:style w:type="character" w:styleId="62">
    <w:name w:val="HTML Code"/>
    <w:qFormat/>
    <w:uiPriority w:val="0"/>
    <w:rPr>
      <w:rFonts w:ascii="Monospace" w:hAnsi="Monospace" w:eastAsia="Monospace" w:cs="Monospace"/>
      <w:sz w:val="20"/>
      <w:lang w:bidi="ar-SA"/>
    </w:rPr>
  </w:style>
  <w:style w:type="character" w:styleId="63">
    <w:name w:val="annotation reference"/>
    <w:qFormat/>
    <w:uiPriority w:val="0"/>
    <w:rPr>
      <w:sz w:val="21"/>
      <w:szCs w:val="21"/>
    </w:rPr>
  </w:style>
  <w:style w:type="character" w:styleId="64">
    <w:name w:val="HTML Cite"/>
    <w:qFormat/>
    <w:uiPriority w:val="0"/>
  </w:style>
  <w:style w:type="character" w:styleId="65">
    <w:name w:val="footnote reference"/>
    <w:qFormat/>
    <w:uiPriority w:val="0"/>
    <w:rPr>
      <w:vertAlign w:val="superscript"/>
    </w:rPr>
  </w:style>
  <w:style w:type="character" w:styleId="66">
    <w:name w:val="HTML Keyboard"/>
    <w:qFormat/>
    <w:uiPriority w:val="0"/>
    <w:rPr>
      <w:rFonts w:ascii="Monospace" w:hAnsi="Monospace" w:eastAsia="Monospace" w:cs="Monospace"/>
      <w:sz w:val="20"/>
      <w:lang w:bidi="ar-SA"/>
    </w:rPr>
  </w:style>
  <w:style w:type="character" w:styleId="67">
    <w:name w:val="HTML Sample"/>
    <w:qFormat/>
    <w:uiPriority w:val="0"/>
    <w:rPr>
      <w:rFonts w:ascii="Monospace" w:hAnsi="Monospace" w:eastAsia="Monospace" w:cs="Monospace"/>
      <w:lang w:bidi="ar-SA"/>
    </w:rPr>
  </w:style>
  <w:style w:type="paragraph" w:customStyle="1" w:styleId="68">
    <w:name w:val="正文文字 8"/>
    <w:basedOn w:val="1"/>
    <w:next w:val="1"/>
    <w:qFormat/>
    <w:uiPriority w:val="0"/>
    <w:pPr>
      <w:ind w:left="240"/>
    </w:pPr>
    <w:rPr>
      <w:sz w:val="16"/>
    </w:rPr>
  </w:style>
  <w:style w:type="character" w:customStyle="1" w:styleId="69">
    <w:name w:val="l21"/>
    <w:qFormat/>
    <w:uiPriority w:val="0"/>
    <w:rPr>
      <w:color w:val="999999"/>
    </w:rPr>
  </w:style>
  <w:style w:type="character" w:customStyle="1" w:styleId="70">
    <w:name w:val="页脚 字符"/>
    <w:link w:val="29"/>
    <w:qFormat/>
    <w:uiPriority w:val="0"/>
    <w:rPr>
      <w:kern w:val="2"/>
      <w:sz w:val="18"/>
      <w:szCs w:val="18"/>
    </w:rPr>
  </w:style>
  <w:style w:type="character" w:customStyle="1" w:styleId="71">
    <w:name w:val="正文文本缩进 3 字符"/>
    <w:link w:val="39"/>
    <w:qFormat/>
    <w:uiPriority w:val="0"/>
    <w:rPr>
      <w:kern w:val="2"/>
      <w:sz w:val="16"/>
      <w:szCs w:val="16"/>
    </w:rPr>
  </w:style>
  <w:style w:type="character" w:customStyle="1" w:styleId="72">
    <w:name w:val="over"/>
    <w:qFormat/>
    <w:uiPriority w:val="0"/>
    <w:rPr>
      <w:color w:val="B60000"/>
    </w:rPr>
  </w:style>
  <w:style w:type="character" w:customStyle="1" w:styleId="73">
    <w:name w:val="tit13"/>
    <w:qFormat/>
    <w:uiPriority w:val="0"/>
    <w:rPr>
      <w:color w:val="FFFFFF"/>
    </w:rPr>
  </w:style>
  <w:style w:type="character" w:customStyle="1" w:styleId="74">
    <w:name w:val="tit15"/>
    <w:qFormat/>
    <w:uiPriority w:val="0"/>
    <w:rPr>
      <w:b/>
      <w:color w:val="B60000"/>
    </w:rPr>
  </w:style>
  <w:style w:type="character" w:customStyle="1" w:styleId="75">
    <w:name w:val="mesg-myd"/>
    <w:qFormat/>
    <w:uiPriority w:val="0"/>
    <w:rPr>
      <w:color w:val="EE0000"/>
    </w:rPr>
  </w:style>
  <w:style w:type="character" w:customStyle="1" w:styleId="76">
    <w:name w:val="img_title8"/>
    <w:qFormat/>
    <w:uiPriority w:val="0"/>
    <w:rPr>
      <w:vanish/>
    </w:rPr>
  </w:style>
  <w:style w:type="character" w:customStyle="1" w:styleId="77">
    <w:name w:val="l11"/>
    <w:qFormat/>
    <w:uiPriority w:val="0"/>
    <w:rPr>
      <w:color w:val="999999"/>
    </w:rPr>
  </w:style>
  <w:style w:type="character" w:customStyle="1" w:styleId="78">
    <w:name w:val="over1"/>
    <w:qFormat/>
    <w:uiPriority w:val="0"/>
    <w:rPr>
      <w:color w:val="B60000"/>
    </w:rPr>
  </w:style>
  <w:style w:type="character" w:customStyle="1" w:styleId="79">
    <w:name w:val="Char Char7"/>
    <w:qFormat/>
    <w:uiPriority w:val="0"/>
    <w:rPr>
      <w:rFonts w:ascii="Arial" w:hAnsi="Arial" w:eastAsia="黑体"/>
      <w:b/>
      <w:bCs/>
      <w:kern w:val="2"/>
      <w:sz w:val="32"/>
      <w:szCs w:val="32"/>
      <w:lang w:val="en-US" w:eastAsia="zh-CN" w:bidi="ar-SA"/>
    </w:rPr>
  </w:style>
  <w:style w:type="character" w:customStyle="1" w:styleId="80">
    <w:name w:val="Char Char5"/>
    <w:qFormat/>
    <w:uiPriority w:val="0"/>
    <w:rPr>
      <w:rFonts w:ascii="Arial" w:hAnsi="Arial" w:eastAsia="黑体"/>
      <w:b/>
      <w:bCs/>
      <w:kern w:val="2"/>
      <w:sz w:val="32"/>
      <w:szCs w:val="32"/>
    </w:rPr>
  </w:style>
  <w:style w:type="character" w:customStyle="1" w:styleId="81">
    <w:name w:val="starting1"/>
    <w:qFormat/>
    <w:uiPriority w:val="0"/>
    <w:rPr>
      <w:color w:val="339900"/>
    </w:rPr>
  </w:style>
  <w:style w:type="character" w:customStyle="1" w:styleId="82">
    <w:name w:val="num61"/>
    <w:qFormat/>
    <w:uiPriority w:val="0"/>
  </w:style>
  <w:style w:type="character" w:customStyle="1" w:styleId="83">
    <w:name w:val="标题 4 字符"/>
    <w:link w:val="5"/>
    <w:qFormat/>
    <w:uiPriority w:val="0"/>
    <w:rPr>
      <w:rFonts w:ascii="Arial" w:hAnsi="Arial" w:eastAsia="黑体"/>
      <w:b/>
      <w:bCs/>
      <w:kern w:val="2"/>
      <w:sz w:val="28"/>
      <w:szCs w:val="28"/>
    </w:rPr>
  </w:style>
  <w:style w:type="character" w:customStyle="1" w:styleId="84">
    <w:name w:val="z-窗体顶端 字符"/>
    <w:link w:val="85"/>
    <w:qFormat/>
    <w:uiPriority w:val="0"/>
    <w:rPr>
      <w:rFonts w:ascii="Arial" w:hAnsi="Calibri"/>
      <w:vanish/>
      <w:kern w:val="2"/>
      <w:sz w:val="16"/>
      <w:szCs w:val="24"/>
    </w:rPr>
  </w:style>
  <w:style w:type="paragraph" w:customStyle="1" w:styleId="85">
    <w:name w:val="z-窗体顶端1"/>
    <w:basedOn w:val="1"/>
    <w:next w:val="1"/>
    <w:link w:val="84"/>
    <w:qFormat/>
    <w:uiPriority w:val="0"/>
    <w:pPr>
      <w:pBdr>
        <w:bottom w:val="single" w:color="auto" w:sz="6" w:space="1"/>
      </w:pBdr>
      <w:jc w:val="center"/>
    </w:pPr>
    <w:rPr>
      <w:rFonts w:ascii="Arial" w:hAnsi="Calibri"/>
      <w:vanish/>
      <w:sz w:val="16"/>
    </w:rPr>
  </w:style>
  <w:style w:type="character" w:customStyle="1" w:styleId="86">
    <w:name w:val="z-窗体底端 字符"/>
    <w:link w:val="87"/>
    <w:qFormat/>
    <w:uiPriority w:val="0"/>
    <w:rPr>
      <w:rFonts w:ascii="Arial" w:hAnsi="Calibri"/>
      <w:vanish/>
      <w:kern w:val="2"/>
      <w:sz w:val="16"/>
      <w:szCs w:val="24"/>
    </w:rPr>
  </w:style>
  <w:style w:type="paragraph" w:customStyle="1" w:styleId="87">
    <w:name w:val="z-窗体底端1"/>
    <w:basedOn w:val="1"/>
    <w:next w:val="1"/>
    <w:link w:val="86"/>
    <w:qFormat/>
    <w:uiPriority w:val="0"/>
    <w:pPr>
      <w:pBdr>
        <w:top w:val="single" w:color="auto" w:sz="6" w:space="1"/>
      </w:pBdr>
      <w:jc w:val="center"/>
    </w:pPr>
    <w:rPr>
      <w:rFonts w:ascii="Arial" w:hAnsi="Calibri"/>
      <w:vanish/>
      <w:sz w:val="16"/>
    </w:rPr>
  </w:style>
  <w:style w:type="character" w:customStyle="1" w:styleId="88">
    <w:name w:val="nostart3"/>
    <w:qFormat/>
    <w:uiPriority w:val="0"/>
  </w:style>
  <w:style w:type="character" w:customStyle="1" w:styleId="89">
    <w:name w:val="标题 8 字符"/>
    <w:link w:val="9"/>
    <w:qFormat/>
    <w:uiPriority w:val="0"/>
    <w:rPr>
      <w:rFonts w:ascii="Arial" w:hAnsi="Arial" w:eastAsia="黑体"/>
      <w:sz w:val="24"/>
      <w:szCs w:val="24"/>
    </w:rPr>
  </w:style>
  <w:style w:type="character" w:customStyle="1" w:styleId="90">
    <w:name w:val="bsharetext"/>
    <w:qFormat/>
    <w:uiPriority w:val="0"/>
  </w:style>
  <w:style w:type="character" w:customStyle="1" w:styleId="91">
    <w:name w:val="name"/>
    <w:qFormat/>
    <w:uiPriority w:val="0"/>
    <w:rPr>
      <w:color w:val="444444"/>
      <w:sz w:val="21"/>
      <w:szCs w:val="21"/>
    </w:rPr>
  </w:style>
  <w:style w:type="character" w:customStyle="1" w:styleId="92">
    <w:name w:val="Char Char2"/>
    <w:qFormat/>
    <w:uiPriority w:val="0"/>
    <w:rPr>
      <w:rFonts w:eastAsia="宋体"/>
      <w:kern w:val="2"/>
      <w:sz w:val="21"/>
      <w:szCs w:val="24"/>
      <w:lang w:val="en-US" w:eastAsia="zh-CN" w:bidi="ar-SA"/>
    </w:rPr>
  </w:style>
  <w:style w:type="character" w:customStyle="1" w:styleId="93">
    <w:name w:val="tit12"/>
    <w:qFormat/>
    <w:uiPriority w:val="0"/>
    <w:rPr>
      <w:color w:val="04A06C"/>
    </w:rPr>
  </w:style>
  <w:style w:type="character" w:customStyle="1" w:styleId="94">
    <w:name w:val="starting"/>
    <w:qFormat/>
    <w:uiPriority w:val="0"/>
    <w:rPr>
      <w:color w:val="339900"/>
    </w:rPr>
  </w:style>
  <w:style w:type="character" w:customStyle="1" w:styleId="95">
    <w:name w:val="纯文本 Char1"/>
    <w:qFormat/>
    <w:uiPriority w:val="0"/>
    <w:rPr>
      <w:rFonts w:ascii="Courier New" w:hAnsi="Courier New" w:eastAsia="宋体"/>
      <w:kern w:val="2"/>
      <w:sz w:val="21"/>
      <w:lang w:val="en-US" w:eastAsia="zh-CN" w:bidi="ar-SA"/>
    </w:rPr>
  </w:style>
  <w:style w:type="character" w:customStyle="1" w:styleId="96">
    <w:name w:val="tit10"/>
    <w:qFormat/>
    <w:uiPriority w:val="0"/>
    <w:rPr>
      <w:color w:val="B60000"/>
    </w:rPr>
  </w:style>
  <w:style w:type="character" w:customStyle="1" w:styleId="97">
    <w:name w:val="job1"/>
    <w:qFormat/>
    <w:uiPriority w:val="0"/>
  </w:style>
  <w:style w:type="character" w:customStyle="1" w:styleId="98">
    <w:name w:val="font61"/>
    <w:qFormat/>
    <w:uiPriority w:val="0"/>
    <w:rPr>
      <w:rFonts w:ascii="Calibri" w:hAnsi="Calibri" w:cs="Calibri"/>
      <w:color w:val="000000"/>
      <w:sz w:val="24"/>
      <w:szCs w:val="24"/>
      <w:u w:val="none"/>
    </w:rPr>
  </w:style>
  <w:style w:type="character" w:customStyle="1" w:styleId="99">
    <w:name w:val="num210"/>
    <w:qFormat/>
    <w:uiPriority w:val="0"/>
  </w:style>
  <w:style w:type="character" w:customStyle="1" w:styleId="100">
    <w:name w:val="job"/>
    <w:qFormat/>
    <w:uiPriority w:val="0"/>
  </w:style>
  <w:style w:type="character" w:customStyle="1" w:styleId="101">
    <w:name w:val="msg-box28"/>
    <w:qFormat/>
    <w:uiPriority w:val="0"/>
  </w:style>
  <w:style w:type="character" w:customStyle="1" w:styleId="102">
    <w:name w:val="17"/>
    <w:qFormat/>
    <w:uiPriority w:val="0"/>
    <w:rPr>
      <w:rFonts w:ascii="仿宋_GB2312" w:eastAsia="仿宋_GB2312"/>
      <w:color w:val="auto"/>
      <w:sz w:val="28"/>
      <w:szCs w:val="28"/>
      <w:u w:val="single"/>
    </w:rPr>
  </w:style>
  <w:style w:type="character" w:customStyle="1" w:styleId="103">
    <w:name w:val="msg-box30"/>
    <w:qFormat/>
    <w:uiPriority w:val="0"/>
  </w:style>
  <w:style w:type="character" w:customStyle="1" w:styleId="104">
    <w:name w:val="over2"/>
    <w:qFormat/>
    <w:uiPriority w:val="0"/>
    <w:rPr>
      <w:color w:val="999999"/>
    </w:rPr>
  </w:style>
  <w:style w:type="character" w:customStyle="1" w:styleId="105">
    <w:name w:val="starting4"/>
    <w:qFormat/>
    <w:uiPriority w:val="0"/>
  </w:style>
  <w:style w:type="character" w:customStyle="1" w:styleId="106">
    <w:name w:val="datetime"/>
    <w:qFormat/>
    <w:uiPriority w:val="0"/>
    <w:rPr>
      <w:rFonts w:ascii="Arial" w:hAnsi="Arial" w:cs="Arial"/>
      <w:color w:val="999999"/>
      <w:sz w:val="21"/>
      <w:szCs w:val="21"/>
      <w:lang w:bidi="ar-SA"/>
    </w:rPr>
  </w:style>
  <w:style w:type="character" w:customStyle="1" w:styleId="107">
    <w:name w:val="标题 6 字符"/>
    <w:link w:val="7"/>
    <w:qFormat/>
    <w:uiPriority w:val="0"/>
    <w:rPr>
      <w:rFonts w:ascii="Arial" w:hAnsi="Arial" w:eastAsia="黑体"/>
      <w:b/>
      <w:bCs/>
      <w:sz w:val="24"/>
      <w:szCs w:val="24"/>
    </w:rPr>
  </w:style>
  <w:style w:type="character" w:customStyle="1" w:styleId="108">
    <w:name w:val="red"/>
    <w:qFormat/>
    <w:uiPriority w:val="0"/>
    <w:rPr>
      <w:rFonts w:ascii="Arial" w:hAnsi="Arial" w:cs="Arial"/>
      <w:color w:val="E50000"/>
      <w:lang w:bidi="ar-SA"/>
    </w:rPr>
  </w:style>
  <w:style w:type="character" w:customStyle="1" w:styleId="109">
    <w:name w:val="tit14"/>
    <w:qFormat/>
    <w:uiPriority w:val="0"/>
    <w:rPr>
      <w:color w:val="B60000"/>
    </w:rPr>
  </w:style>
  <w:style w:type="character" w:customStyle="1" w:styleId="110">
    <w:name w:val="img_title9"/>
    <w:qFormat/>
    <w:uiPriority w:val="0"/>
    <w:rPr>
      <w:vanish/>
    </w:rPr>
  </w:style>
  <w:style w:type="character" w:customStyle="1" w:styleId="111">
    <w:name w:val="p05"/>
    <w:qFormat/>
    <w:uiPriority w:val="0"/>
  </w:style>
  <w:style w:type="character" w:customStyle="1" w:styleId="112">
    <w:name w:val="nostart2"/>
    <w:qFormat/>
    <w:uiPriority w:val="0"/>
    <w:rPr>
      <w:color w:val="B60000"/>
    </w:rPr>
  </w:style>
  <w:style w:type="character" w:customStyle="1" w:styleId="113">
    <w:name w:val="img_title6"/>
    <w:qFormat/>
    <w:uiPriority w:val="0"/>
    <w:rPr>
      <w:vanish/>
    </w:rPr>
  </w:style>
  <w:style w:type="character" w:customStyle="1" w:styleId="114">
    <w:name w:val="正文文本缩进 字符"/>
    <w:link w:val="18"/>
    <w:qFormat/>
    <w:uiPriority w:val="0"/>
    <w:rPr>
      <w:kern w:val="2"/>
      <w:sz w:val="28"/>
      <w:szCs w:val="24"/>
    </w:rPr>
  </w:style>
  <w:style w:type="character" w:customStyle="1" w:styleId="115">
    <w:name w:val="Char Char71"/>
    <w:qFormat/>
    <w:uiPriority w:val="0"/>
    <w:rPr>
      <w:rFonts w:ascii="Arial" w:hAnsi="Arial" w:eastAsia="黑体"/>
      <w:b/>
      <w:bCs/>
      <w:kern w:val="2"/>
      <w:sz w:val="32"/>
      <w:szCs w:val="32"/>
      <w:lang w:val="en-US" w:eastAsia="zh-CN" w:bidi="ar-SA"/>
    </w:rPr>
  </w:style>
  <w:style w:type="character" w:customStyle="1" w:styleId="116">
    <w:name w:val="Char Char8"/>
    <w:qFormat/>
    <w:uiPriority w:val="0"/>
    <w:rPr>
      <w:rFonts w:ascii="Arial" w:hAnsi="Arial" w:eastAsia="黑体"/>
      <w:b/>
      <w:bCs/>
      <w:kern w:val="2"/>
      <w:sz w:val="32"/>
      <w:szCs w:val="32"/>
      <w:lang w:val="en-US" w:eastAsia="zh-CN" w:bidi="ar-SA"/>
    </w:rPr>
  </w:style>
  <w:style w:type="character" w:customStyle="1" w:styleId="117">
    <w:name w:val="num51"/>
    <w:qFormat/>
    <w:uiPriority w:val="0"/>
  </w:style>
  <w:style w:type="character" w:customStyle="1" w:styleId="118">
    <w:name w:val="img_title7"/>
    <w:qFormat/>
    <w:uiPriority w:val="0"/>
    <w:rPr>
      <w:vanish/>
    </w:rPr>
  </w:style>
  <w:style w:type="character" w:customStyle="1" w:styleId="119">
    <w:name w:val="批注框文本 字符"/>
    <w:link w:val="28"/>
    <w:qFormat/>
    <w:uiPriority w:val="0"/>
    <w:rPr>
      <w:kern w:val="2"/>
      <w:sz w:val="18"/>
      <w:szCs w:val="18"/>
    </w:rPr>
  </w:style>
  <w:style w:type="character" w:customStyle="1" w:styleId="120">
    <w:name w:val="buvis"/>
    <w:qFormat/>
    <w:uiPriority w:val="0"/>
    <w:rPr>
      <w:color w:val="999999"/>
    </w:rPr>
  </w:style>
  <w:style w:type="character" w:customStyle="1" w:styleId="121">
    <w:name w:val="num31"/>
    <w:qFormat/>
    <w:uiPriority w:val="0"/>
  </w:style>
  <w:style w:type="character" w:customStyle="1" w:styleId="122">
    <w:name w:val="nostart"/>
    <w:qFormat/>
    <w:uiPriority w:val="0"/>
    <w:rPr>
      <w:color w:val="FF0000"/>
    </w:rPr>
  </w:style>
  <w:style w:type="character" w:customStyle="1" w:styleId="123">
    <w:name w:val="unit"/>
    <w:qFormat/>
    <w:uiPriority w:val="0"/>
    <w:rPr>
      <w:color w:val="999999"/>
    </w:rPr>
  </w:style>
  <w:style w:type="character" w:customStyle="1" w:styleId="124">
    <w:name w:val="l6"/>
    <w:qFormat/>
    <w:uiPriority w:val="0"/>
    <w:rPr>
      <w:color w:val="999999"/>
    </w:rPr>
  </w:style>
  <w:style w:type="character" w:customStyle="1" w:styleId="125">
    <w:name w:val="脚注文本 字符"/>
    <w:link w:val="34"/>
    <w:qFormat/>
    <w:uiPriority w:val="0"/>
    <w:rPr>
      <w:kern w:val="2"/>
    </w:rPr>
  </w:style>
  <w:style w:type="character" w:customStyle="1" w:styleId="126">
    <w:name w:val="纯文本 字符"/>
    <w:link w:val="24"/>
    <w:qFormat/>
    <w:uiPriority w:val="0"/>
    <w:rPr>
      <w:rFonts w:ascii="Courier New" w:hAnsi="Courier New"/>
      <w:kern w:val="2"/>
      <w:sz w:val="21"/>
    </w:rPr>
  </w:style>
  <w:style w:type="character" w:customStyle="1" w:styleId="127">
    <w:name w:val="num81"/>
    <w:qFormat/>
    <w:uiPriority w:val="0"/>
  </w:style>
  <w:style w:type="character" w:customStyle="1" w:styleId="128">
    <w:name w:val="Char Char81"/>
    <w:qFormat/>
    <w:uiPriority w:val="0"/>
    <w:rPr>
      <w:rFonts w:ascii="Arial" w:hAnsi="Arial" w:eastAsia="黑体"/>
      <w:b/>
      <w:bCs/>
      <w:kern w:val="2"/>
      <w:sz w:val="32"/>
      <w:szCs w:val="32"/>
      <w:lang w:val="en-US" w:eastAsia="zh-CN" w:bidi="ar-SA"/>
    </w:rPr>
  </w:style>
  <w:style w:type="character" w:customStyle="1" w:styleId="129">
    <w:name w:val="正文文本 3 字符"/>
    <w:link w:val="16"/>
    <w:qFormat/>
    <w:uiPriority w:val="0"/>
    <w:rPr>
      <w:rFonts w:ascii="宋体"/>
      <w:kern w:val="2"/>
      <w:sz w:val="24"/>
    </w:rPr>
  </w:style>
  <w:style w:type="character" w:customStyle="1" w:styleId="130">
    <w:name w:val="jg"/>
    <w:qFormat/>
    <w:uiPriority w:val="0"/>
  </w:style>
  <w:style w:type="character" w:customStyle="1" w:styleId="131">
    <w:name w:val="16"/>
    <w:qFormat/>
    <w:uiPriority w:val="0"/>
    <w:rPr>
      <w:rFonts w:ascii="仿宋_GB2312" w:eastAsia="仿宋_GB2312"/>
      <w:color w:val="auto"/>
      <w:sz w:val="28"/>
      <w:szCs w:val="28"/>
    </w:rPr>
  </w:style>
  <w:style w:type="character" w:customStyle="1" w:styleId="132">
    <w:name w:val="正文文本 字符"/>
    <w:link w:val="17"/>
    <w:qFormat/>
    <w:uiPriority w:val="0"/>
    <w:rPr>
      <w:b/>
      <w:bCs/>
      <w:kern w:val="2"/>
      <w:sz w:val="44"/>
    </w:rPr>
  </w:style>
  <w:style w:type="character" w:customStyle="1" w:styleId="133">
    <w:name w:val="Char Char1"/>
    <w:qFormat/>
    <w:uiPriority w:val="0"/>
    <w:rPr>
      <w:rFonts w:eastAsia="宋体"/>
      <w:kern w:val="2"/>
      <w:sz w:val="21"/>
      <w:szCs w:val="24"/>
      <w:lang w:val="en-US" w:eastAsia="zh-CN" w:bidi="ar-SA"/>
    </w:rPr>
  </w:style>
  <w:style w:type="character" w:customStyle="1" w:styleId="134">
    <w:name w:val="starting3"/>
    <w:qFormat/>
    <w:uiPriority w:val="0"/>
  </w:style>
  <w:style w:type="character" w:customStyle="1" w:styleId="135">
    <w:name w:val="标题 5 字符"/>
    <w:link w:val="6"/>
    <w:qFormat/>
    <w:uiPriority w:val="0"/>
    <w:rPr>
      <w:rFonts w:ascii="Calibri" w:hAnsi="Calibri"/>
      <w:b/>
      <w:bCs/>
      <w:kern w:val="2"/>
      <w:sz w:val="28"/>
      <w:szCs w:val="28"/>
    </w:rPr>
  </w:style>
  <w:style w:type="character" w:customStyle="1" w:styleId="136">
    <w:name w:val="l51"/>
    <w:qFormat/>
    <w:uiPriority w:val="0"/>
    <w:rPr>
      <w:color w:val="999999"/>
    </w:rPr>
  </w:style>
  <w:style w:type="character" w:customStyle="1" w:styleId="137">
    <w:name w:val="Char Char Char"/>
    <w:qFormat/>
    <w:uiPriority w:val="0"/>
    <w:rPr>
      <w:rFonts w:eastAsia="宋体"/>
      <w:b/>
      <w:bCs/>
      <w:kern w:val="44"/>
      <w:sz w:val="44"/>
      <w:szCs w:val="44"/>
      <w:lang w:val="en-US" w:eastAsia="zh-CN" w:bidi="ar-SA"/>
    </w:rPr>
  </w:style>
  <w:style w:type="character" w:customStyle="1" w:styleId="138">
    <w:name w:val="starting2"/>
    <w:qFormat/>
    <w:uiPriority w:val="0"/>
    <w:rPr>
      <w:color w:val="B60000"/>
    </w:rPr>
  </w:style>
  <w:style w:type="character" w:customStyle="1" w:styleId="139">
    <w:name w:val="zs"/>
    <w:qFormat/>
    <w:uiPriority w:val="0"/>
    <w:rPr>
      <w:color w:val="8D744B"/>
      <w:sz w:val="18"/>
      <w:szCs w:val="18"/>
    </w:rPr>
  </w:style>
  <w:style w:type="character" w:customStyle="1" w:styleId="140">
    <w:name w:val="font161"/>
    <w:qFormat/>
    <w:uiPriority w:val="0"/>
    <w:rPr>
      <w:b/>
      <w:bCs/>
      <w:sz w:val="32"/>
      <w:szCs w:val="32"/>
    </w:rPr>
  </w:style>
  <w:style w:type="character" w:customStyle="1" w:styleId="141">
    <w:name w:val="nostart1"/>
    <w:qFormat/>
    <w:uiPriority w:val="0"/>
    <w:rPr>
      <w:color w:val="FF0000"/>
    </w:rPr>
  </w:style>
  <w:style w:type="character" w:customStyle="1" w:styleId="142">
    <w:name w:val="标题 字符"/>
    <w:link w:val="47"/>
    <w:qFormat/>
    <w:uiPriority w:val="0"/>
    <w:rPr>
      <w:rFonts w:ascii="Arial" w:hAnsi="Arial"/>
      <w:b/>
      <w:sz w:val="32"/>
    </w:rPr>
  </w:style>
  <w:style w:type="character" w:customStyle="1" w:styleId="143">
    <w:name w:val="msg-box29"/>
    <w:qFormat/>
    <w:uiPriority w:val="0"/>
  </w:style>
  <w:style w:type="character" w:customStyle="1" w:styleId="144">
    <w:name w:val="标题 7 字符"/>
    <w:link w:val="8"/>
    <w:qFormat/>
    <w:uiPriority w:val="0"/>
    <w:rPr>
      <w:b/>
      <w:bCs/>
      <w:sz w:val="24"/>
      <w:szCs w:val="24"/>
    </w:rPr>
  </w:style>
  <w:style w:type="character" w:customStyle="1" w:styleId="145">
    <w:name w:val="over3"/>
    <w:qFormat/>
    <w:uiPriority w:val="0"/>
  </w:style>
  <w:style w:type="character" w:customStyle="1" w:styleId="146">
    <w:name w:val="l41"/>
    <w:qFormat/>
    <w:uiPriority w:val="0"/>
    <w:rPr>
      <w:color w:val="999999"/>
    </w:rPr>
  </w:style>
  <w:style w:type="character" w:customStyle="1" w:styleId="147">
    <w:name w:val="批注文字 字符"/>
    <w:link w:val="15"/>
    <w:qFormat/>
    <w:uiPriority w:val="0"/>
    <w:rPr>
      <w:kern w:val="2"/>
      <w:sz w:val="21"/>
      <w:szCs w:val="24"/>
    </w:rPr>
  </w:style>
  <w:style w:type="character" w:customStyle="1" w:styleId="148">
    <w:name w:val="bigfont"/>
    <w:qFormat/>
    <w:uiPriority w:val="0"/>
  </w:style>
  <w:style w:type="character" w:customStyle="1" w:styleId="149">
    <w:name w:val="批注主题 字符"/>
    <w:link w:val="48"/>
    <w:qFormat/>
    <w:uiPriority w:val="0"/>
  </w:style>
  <w:style w:type="character" w:customStyle="1" w:styleId="150">
    <w:name w:val="font41"/>
    <w:qFormat/>
    <w:uiPriority w:val="0"/>
    <w:rPr>
      <w:rFonts w:hint="eastAsia" w:ascii="宋体" w:hAnsi="宋体" w:eastAsia="宋体" w:cs="宋体"/>
      <w:color w:val="000000"/>
      <w:sz w:val="24"/>
      <w:szCs w:val="24"/>
      <w:u w:val="none"/>
    </w:rPr>
  </w:style>
  <w:style w:type="character" w:customStyle="1" w:styleId="151">
    <w:name w:val="l3"/>
    <w:qFormat/>
    <w:uiPriority w:val="0"/>
    <w:rPr>
      <w:color w:val="999999"/>
    </w:rPr>
  </w:style>
  <w:style w:type="character" w:customStyle="1" w:styleId="152">
    <w:name w:val="Char Char21"/>
    <w:qFormat/>
    <w:uiPriority w:val="0"/>
    <w:rPr>
      <w:rFonts w:eastAsia="宋体"/>
      <w:kern w:val="2"/>
      <w:sz w:val="21"/>
      <w:szCs w:val="24"/>
      <w:lang w:val="en-US" w:eastAsia="zh-CN" w:bidi="ar-SA"/>
    </w:rPr>
  </w:style>
  <w:style w:type="character" w:customStyle="1" w:styleId="153">
    <w:name w:val="标题 1 Char Char"/>
    <w:qFormat/>
    <w:locked/>
    <w:uiPriority w:val="0"/>
    <w:rPr>
      <w:rFonts w:eastAsia="宋体"/>
      <w:b/>
      <w:bCs/>
      <w:kern w:val="44"/>
      <w:sz w:val="44"/>
      <w:szCs w:val="44"/>
      <w:lang w:val="en-US" w:eastAsia="zh-CN" w:bidi="ar-SA"/>
    </w:rPr>
  </w:style>
  <w:style w:type="character" w:customStyle="1" w:styleId="154">
    <w:name w:val="img4"/>
    <w:qFormat/>
    <w:uiPriority w:val="0"/>
  </w:style>
  <w:style w:type="character" w:customStyle="1" w:styleId="155">
    <w:name w:val="标题 1 字符"/>
    <w:link w:val="2"/>
    <w:qFormat/>
    <w:uiPriority w:val="0"/>
    <w:rPr>
      <w:rFonts w:ascii="Times New Roman" w:hAnsi="Times New Roman" w:eastAsia="宋体"/>
      <w:b/>
      <w:bCs/>
      <w:kern w:val="44"/>
      <w:sz w:val="24"/>
      <w:szCs w:val="44"/>
    </w:rPr>
  </w:style>
  <w:style w:type="character" w:customStyle="1" w:styleId="156">
    <w:name w:val="name1"/>
    <w:qFormat/>
    <w:uiPriority w:val="0"/>
    <w:rPr>
      <w:color w:val="695435"/>
      <w:sz w:val="24"/>
      <w:szCs w:val="24"/>
    </w:rPr>
  </w:style>
  <w:style w:type="character" w:customStyle="1" w:styleId="157">
    <w:name w:val="font01"/>
    <w:qFormat/>
    <w:uiPriority w:val="0"/>
    <w:rPr>
      <w:rFonts w:hint="eastAsia" w:ascii="仿宋_GB2312" w:eastAsia="仿宋_GB2312" w:cs="仿宋_GB2312"/>
      <w:color w:val="000000"/>
      <w:sz w:val="28"/>
      <w:szCs w:val="28"/>
      <w:u w:val="none"/>
    </w:rPr>
  </w:style>
  <w:style w:type="character" w:customStyle="1" w:styleId="158">
    <w:name w:val="HTML 预设格式 字符"/>
    <w:link w:val="45"/>
    <w:qFormat/>
    <w:uiPriority w:val="0"/>
    <w:rPr>
      <w:rFonts w:ascii="宋体" w:hAnsi="Calibri"/>
      <w:sz w:val="24"/>
      <w:szCs w:val="24"/>
    </w:rPr>
  </w:style>
  <w:style w:type="character" w:customStyle="1" w:styleId="159">
    <w:name w:val="标题 2 Char Char"/>
    <w:qFormat/>
    <w:locked/>
    <w:uiPriority w:val="0"/>
    <w:rPr>
      <w:rFonts w:ascii="Arial" w:hAnsi="Arial" w:eastAsia="黑体"/>
      <w:b/>
      <w:bCs/>
      <w:kern w:val="2"/>
      <w:sz w:val="32"/>
      <w:szCs w:val="32"/>
      <w:lang w:val="en-US" w:eastAsia="zh-CN" w:bidi="ar-SA"/>
    </w:rPr>
  </w:style>
  <w:style w:type="character" w:customStyle="1" w:styleId="160">
    <w:name w:val="msg-box31"/>
    <w:qFormat/>
    <w:uiPriority w:val="0"/>
  </w:style>
  <w:style w:type="character" w:customStyle="1" w:styleId="161">
    <w:name w:val="font51"/>
    <w:qFormat/>
    <w:uiPriority w:val="0"/>
    <w:rPr>
      <w:rFonts w:ascii="Arial" w:hAnsi="Arial" w:cs="Arial"/>
      <w:color w:val="000000"/>
      <w:sz w:val="24"/>
      <w:szCs w:val="24"/>
      <w:u w:val="none"/>
    </w:rPr>
  </w:style>
  <w:style w:type="character" w:customStyle="1" w:styleId="162">
    <w:name w:val="l7"/>
    <w:qFormat/>
    <w:uiPriority w:val="0"/>
    <w:rPr>
      <w:color w:val="999999"/>
    </w:rPr>
  </w:style>
  <w:style w:type="character" w:customStyle="1" w:styleId="163">
    <w:name w:val="标题 2 Char"/>
    <w:qFormat/>
    <w:uiPriority w:val="0"/>
    <w:rPr>
      <w:rFonts w:eastAsia="宋体"/>
      <w:sz w:val="24"/>
      <w:lang w:val="en-US" w:eastAsia="zh-CN" w:bidi="ar-SA"/>
    </w:rPr>
  </w:style>
  <w:style w:type="character" w:customStyle="1" w:styleId="164">
    <w:name w:val="标题 9 字符"/>
    <w:link w:val="10"/>
    <w:qFormat/>
    <w:uiPriority w:val="0"/>
    <w:rPr>
      <w:rFonts w:ascii="Arial" w:hAnsi="Arial" w:eastAsia="黑体"/>
      <w:sz w:val="21"/>
      <w:szCs w:val="21"/>
    </w:rPr>
  </w:style>
  <w:style w:type="character" w:customStyle="1" w:styleId="165">
    <w:name w:val="buvis1"/>
    <w:qFormat/>
    <w:uiPriority w:val="0"/>
    <w:rPr>
      <w:color w:val="CC0000"/>
    </w:rPr>
  </w:style>
  <w:style w:type="character" w:customStyle="1" w:styleId="166">
    <w:name w:val="标题 2 Char11"/>
    <w:qFormat/>
    <w:uiPriority w:val="0"/>
    <w:rPr>
      <w:rFonts w:eastAsia="宋体"/>
      <w:sz w:val="24"/>
      <w:lang w:val="en-US" w:eastAsia="zh-CN" w:bidi="ar-SA"/>
    </w:rPr>
  </w:style>
  <w:style w:type="character" w:customStyle="1" w:styleId="167">
    <w:name w:val="txt"/>
    <w:qFormat/>
    <w:uiPriority w:val="0"/>
    <w:rPr>
      <w:color w:val="C0C0C0"/>
    </w:rPr>
  </w:style>
  <w:style w:type="character" w:customStyle="1" w:styleId="168">
    <w:name w:val="日期 字符"/>
    <w:link w:val="26"/>
    <w:qFormat/>
    <w:uiPriority w:val="0"/>
    <w:rPr>
      <w:rFonts w:ascii="仿宋_GB2312" w:eastAsia="仿宋_GB2312"/>
      <w:kern w:val="2"/>
      <w:sz w:val="30"/>
      <w:lang w:val="en-US" w:eastAsia="zh-CN" w:bidi="ar-SA"/>
    </w:rPr>
  </w:style>
  <w:style w:type="character" w:customStyle="1" w:styleId="169">
    <w:name w:val="标题 2 Char1"/>
    <w:qFormat/>
    <w:uiPriority w:val="0"/>
    <w:rPr>
      <w:rFonts w:ascii="Arial" w:hAnsi="Arial" w:eastAsia="黑体"/>
      <w:b/>
      <w:bCs/>
      <w:kern w:val="2"/>
      <w:sz w:val="32"/>
      <w:szCs w:val="32"/>
      <w:lang w:val="en-US" w:eastAsia="zh-CN" w:bidi="ar-SA"/>
    </w:rPr>
  </w:style>
  <w:style w:type="character" w:customStyle="1" w:styleId="170">
    <w:name w:val="正文首行缩进 2 字符"/>
    <w:link w:val="49"/>
    <w:qFormat/>
    <w:uiPriority w:val="0"/>
  </w:style>
  <w:style w:type="character" w:customStyle="1" w:styleId="171">
    <w:name w:val="font31"/>
    <w:qFormat/>
    <w:uiPriority w:val="0"/>
    <w:rPr>
      <w:rFonts w:hint="eastAsia" w:ascii="仿宋_GB2312" w:eastAsia="仿宋_GB2312" w:cs="仿宋_GB2312"/>
      <w:color w:val="000000"/>
      <w:sz w:val="28"/>
      <w:szCs w:val="28"/>
      <w:u w:val="single"/>
    </w:rPr>
  </w:style>
  <w:style w:type="character" w:customStyle="1" w:styleId="172">
    <w:name w:val="textcontents"/>
    <w:qFormat/>
    <w:uiPriority w:val="0"/>
  </w:style>
  <w:style w:type="character" w:customStyle="1" w:styleId="173">
    <w:name w:val="文档结构图 字符"/>
    <w:link w:val="14"/>
    <w:qFormat/>
    <w:uiPriority w:val="0"/>
    <w:rPr>
      <w:kern w:val="2"/>
      <w:sz w:val="21"/>
      <w:szCs w:val="24"/>
      <w:shd w:val="clear" w:color="auto" w:fill="000080"/>
    </w:rPr>
  </w:style>
  <w:style w:type="character" w:customStyle="1" w:styleId="174">
    <w:name w:val="zw"/>
    <w:qFormat/>
    <w:uiPriority w:val="0"/>
    <w:rPr>
      <w:color w:val="BD1E22"/>
      <w:sz w:val="22"/>
      <w:szCs w:val="22"/>
    </w:rPr>
  </w:style>
  <w:style w:type="character" w:customStyle="1" w:styleId="175">
    <w:name w:val="txt1"/>
    <w:qFormat/>
    <w:uiPriority w:val="0"/>
  </w:style>
  <w:style w:type="character" w:customStyle="1" w:styleId="176">
    <w:name w:val="tit11"/>
    <w:qFormat/>
    <w:uiPriority w:val="0"/>
    <w:rPr>
      <w:color w:val="B60000"/>
    </w:rPr>
  </w:style>
  <w:style w:type="character" w:customStyle="1" w:styleId="177">
    <w:name w:val="num71"/>
    <w:qFormat/>
    <w:uiPriority w:val="0"/>
  </w:style>
  <w:style w:type="character" w:customStyle="1" w:styleId="178">
    <w:name w:val="name2"/>
    <w:qFormat/>
    <w:uiPriority w:val="0"/>
    <w:rPr>
      <w:color w:val="000000"/>
      <w:sz w:val="39"/>
      <w:szCs w:val="39"/>
    </w:rPr>
  </w:style>
  <w:style w:type="character" w:customStyle="1" w:styleId="179">
    <w:name w:val="c3"/>
    <w:qFormat/>
    <w:uiPriority w:val="0"/>
  </w:style>
  <w:style w:type="character" w:customStyle="1" w:styleId="180">
    <w:name w:val="Char Char"/>
    <w:qFormat/>
    <w:uiPriority w:val="0"/>
    <w:rPr>
      <w:rFonts w:ascii="Arial" w:hAnsi="Arial" w:eastAsia="黑体"/>
      <w:b/>
      <w:bCs/>
      <w:kern w:val="2"/>
      <w:sz w:val="32"/>
      <w:szCs w:val="32"/>
      <w:lang w:val="en-US" w:eastAsia="zh-CN" w:bidi="ar-SA"/>
    </w:rPr>
  </w:style>
  <w:style w:type="character" w:customStyle="1" w:styleId="181">
    <w:name w:val="num41"/>
    <w:qFormat/>
    <w:uiPriority w:val="0"/>
  </w:style>
  <w:style w:type="character" w:customStyle="1" w:styleId="182">
    <w:name w:val="c1"/>
    <w:qFormat/>
    <w:uiPriority w:val="0"/>
  </w:style>
  <w:style w:type="character" w:customStyle="1" w:styleId="183">
    <w:name w:val="c2"/>
    <w:qFormat/>
    <w:uiPriority w:val="0"/>
  </w:style>
  <w:style w:type="character" w:customStyle="1" w:styleId="184">
    <w:name w:val="页眉 字符"/>
    <w:link w:val="30"/>
    <w:qFormat/>
    <w:uiPriority w:val="0"/>
    <w:rPr>
      <w:kern w:val="2"/>
      <w:sz w:val="18"/>
      <w:szCs w:val="18"/>
    </w:rPr>
  </w:style>
  <w:style w:type="character" w:customStyle="1" w:styleId="185">
    <w:name w:val="Char Char4"/>
    <w:qFormat/>
    <w:uiPriority w:val="0"/>
    <w:rPr>
      <w:rFonts w:eastAsia="宋体"/>
      <w:b/>
      <w:bCs/>
      <w:kern w:val="44"/>
      <w:sz w:val="44"/>
      <w:szCs w:val="44"/>
      <w:lang w:val="en-US" w:eastAsia="zh-CN" w:bidi="ar-SA"/>
    </w:rPr>
  </w:style>
  <w:style w:type="character" w:customStyle="1" w:styleId="186">
    <w:name w:val="tit9"/>
    <w:qFormat/>
    <w:uiPriority w:val="0"/>
    <w:rPr>
      <w:color w:val="B60000"/>
      <w:sz w:val="27"/>
      <w:szCs w:val="27"/>
      <w:bdr w:val="single" w:color="DFCEB8" w:sz="6" w:space="0"/>
      <w:shd w:val="clear" w:color="auto" w:fill="FFFFFF"/>
    </w:rPr>
  </w:style>
  <w:style w:type="character" w:customStyle="1" w:styleId="187">
    <w:name w:val="Char Char3"/>
    <w:qFormat/>
    <w:uiPriority w:val="0"/>
    <w:rPr>
      <w:rFonts w:ascii="Arial" w:hAnsi="Arial" w:eastAsia="黑体"/>
      <w:b/>
      <w:bCs/>
      <w:kern w:val="2"/>
      <w:sz w:val="32"/>
      <w:szCs w:val="32"/>
      <w:lang w:val="en-US" w:eastAsia="zh-CN" w:bidi="ar-SA"/>
    </w:rPr>
  </w:style>
  <w:style w:type="paragraph" w:customStyle="1" w:styleId="188">
    <w:name w:val="首行缩进"/>
    <w:basedOn w:val="1"/>
    <w:next w:val="20"/>
    <w:qFormat/>
    <w:uiPriority w:val="0"/>
    <w:pPr>
      <w:spacing w:line="360" w:lineRule="auto"/>
      <w:ind w:firstLine="480" w:firstLineChars="200"/>
    </w:pPr>
    <w:rPr>
      <w:sz w:val="24"/>
      <w:lang w:val="zh-CN"/>
    </w:rPr>
  </w:style>
  <w:style w:type="paragraph" w:customStyle="1" w:styleId="189">
    <w:name w:val="正文文本缩进1"/>
    <w:basedOn w:val="1"/>
    <w:qFormat/>
    <w:uiPriority w:val="0"/>
    <w:pPr>
      <w:spacing w:after="120"/>
      <w:ind w:left="420" w:leftChars="200"/>
    </w:pPr>
    <w:rPr>
      <w:color w:val="000000"/>
      <w:kern w:val="0"/>
      <w:szCs w:val="20"/>
      <w:u w:color="000000"/>
    </w:rPr>
  </w:style>
  <w:style w:type="paragraph" w:customStyle="1" w:styleId="190">
    <w:name w:val="Char Char Char Char"/>
    <w:basedOn w:val="1"/>
    <w:qFormat/>
    <w:uiPriority w:val="0"/>
    <w:rPr>
      <w:rFonts w:ascii="Tahoma" w:hAnsi="Tahoma"/>
      <w:sz w:val="24"/>
      <w:szCs w:val="20"/>
    </w:rPr>
  </w:style>
  <w:style w:type="paragraph" w:customStyle="1" w:styleId="1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p"/>
    <w:basedOn w:val="1"/>
    <w:qFormat/>
    <w:uiPriority w:val="0"/>
    <w:rPr>
      <w:rFonts w:ascii="宋体"/>
      <w:sz w:val="24"/>
    </w:rPr>
  </w:style>
  <w:style w:type="paragraph" w:customStyle="1" w:styleId="193">
    <w:name w:val="正文文本首行缩进 21"/>
    <w:basedOn w:val="189"/>
    <w:qFormat/>
    <w:uiPriority w:val="0"/>
    <w:pPr>
      <w:ind w:firstLine="420" w:firstLineChars="200"/>
    </w:pPr>
  </w:style>
  <w:style w:type="paragraph" w:customStyle="1" w:styleId="194">
    <w:name w:val="表格"/>
    <w:basedOn w:val="1"/>
    <w:qFormat/>
    <w:uiPriority w:val="0"/>
    <w:pPr>
      <w:jc w:val="center"/>
      <w:textAlignment w:val="center"/>
    </w:pPr>
    <w:rPr>
      <w:rFonts w:ascii="华文细黑" w:hAnsi="华文细黑"/>
      <w:kern w:val="0"/>
      <w:szCs w:val="20"/>
    </w:rPr>
  </w:style>
  <w:style w:type="paragraph" w:customStyle="1" w:styleId="195">
    <w:name w:val="Other|1"/>
    <w:basedOn w:val="1"/>
    <w:qFormat/>
    <w:uiPriority w:val="0"/>
    <w:rPr>
      <w:rFonts w:ascii="宋体" w:hAnsi="宋体" w:cs="宋体"/>
      <w:sz w:val="20"/>
      <w:szCs w:val="20"/>
      <w:lang w:val="zh-TW" w:eastAsia="zh-TW" w:bidi="zh-TW"/>
    </w:rPr>
  </w:style>
  <w:style w:type="paragraph" w:customStyle="1" w:styleId="196">
    <w:name w:val="Table caption|1"/>
    <w:basedOn w:val="1"/>
    <w:qFormat/>
    <w:uiPriority w:val="0"/>
    <w:rPr>
      <w:rFonts w:ascii="宋体" w:hAnsi="宋体" w:cs="宋体"/>
      <w:sz w:val="20"/>
      <w:szCs w:val="20"/>
      <w:lang w:val="zh-TW" w:eastAsia="zh-TW" w:bidi="zh-TW"/>
    </w:rPr>
  </w:style>
  <w:style w:type="paragraph" w:customStyle="1" w:styleId="197">
    <w:name w:val="p15"/>
    <w:qFormat/>
    <w:uiPriority w:val="0"/>
    <w:pPr>
      <w:jc w:val="both"/>
    </w:pPr>
    <w:rPr>
      <w:rFonts w:ascii="宋体" w:hAnsi="Calibri" w:eastAsia="宋体" w:cs="宋体"/>
      <w:sz w:val="21"/>
      <w:szCs w:val="21"/>
      <w:lang w:val="en-US" w:eastAsia="zh-CN" w:bidi="ar-SA"/>
    </w:rPr>
  </w:style>
  <w:style w:type="paragraph" w:customStyle="1" w:styleId="198">
    <w:name w:val="Default Paragraph Char Char Char Char"/>
    <w:basedOn w:val="1"/>
    <w:next w:val="1"/>
    <w:qFormat/>
    <w:uiPriority w:val="0"/>
    <w:pPr>
      <w:spacing w:line="360" w:lineRule="auto"/>
    </w:pPr>
    <w:rPr>
      <w:rFonts w:ascii="Calibri" w:hAnsi="Calibri"/>
      <w:szCs w:val="20"/>
    </w:rPr>
  </w:style>
  <w:style w:type="paragraph" w:customStyle="1" w:styleId="199">
    <w:name w:val="样式1"/>
    <w:basedOn w:val="4"/>
    <w:qFormat/>
    <w:uiPriority w:val="0"/>
    <w:pPr>
      <w:spacing w:line="415" w:lineRule="auto"/>
    </w:pPr>
    <w:rPr>
      <w:rFonts w:eastAsia="Arial"/>
    </w:rPr>
  </w:style>
  <w:style w:type="paragraph" w:customStyle="1" w:styleId="200">
    <w:name w:val="表格文字"/>
    <w:basedOn w:val="1"/>
    <w:qFormat/>
    <w:uiPriority w:val="0"/>
    <w:pPr>
      <w:adjustRightInd w:val="0"/>
      <w:spacing w:line="420" w:lineRule="atLeast"/>
      <w:jc w:val="left"/>
      <w:textAlignment w:val="baseline"/>
    </w:pPr>
    <w:rPr>
      <w:kern w:val="0"/>
      <w:szCs w:val="20"/>
    </w:rPr>
  </w:style>
  <w:style w:type="paragraph" w:customStyle="1" w:styleId="201">
    <w:name w:val="列表段落1"/>
    <w:basedOn w:val="1"/>
    <w:qFormat/>
    <w:uiPriority w:val="34"/>
    <w:pPr>
      <w:ind w:firstLine="200" w:firstLineChars="200"/>
    </w:pPr>
  </w:style>
  <w:style w:type="paragraph" w:customStyle="1" w:styleId="202">
    <w:name w:val="正文1"/>
    <w:qFormat/>
    <w:uiPriority w:val="0"/>
    <w:pPr>
      <w:widowControl w:val="0"/>
      <w:adjustRightInd w:val="0"/>
      <w:spacing w:line="312" w:lineRule="atLeast"/>
      <w:jc w:val="both"/>
      <w:textAlignment w:val="baseline"/>
    </w:pPr>
    <w:rPr>
      <w:rFonts w:ascii="宋体" w:hAnsi="Calibri" w:eastAsia="宋体" w:cs="宋体"/>
      <w:sz w:val="24"/>
      <w:szCs w:val="24"/>
      <w:lang w:val="en-US" w:eastAsia="zh-CN" w:bidi="ar-SA"/>
    </w:rPr>
  </w:style>
  <w:style w:type="paragraph" w:customStyle="1" w:styleId="203">
    <w:name w:val="Char1 Char Char Char Char Char Char Char Char Char Char Char Char1 Char Char Char Char Char1 Char Char Char Char Char Char Char Char Char1 Char"/>
    <w:basedOn w:val="1"/>
    <w:qFormat/>
    <w:uiPriority w:val="0"/>
    <w:pPr>
      <w:widowControl/>
      <w:spacing w:after="160" w:line="240" w:lineRule="exact"/>
      <w:ind w:firstLine="560" w:firstLineChars="200"/>
      <w:jc w:val="left"/>
    </w:pPr>
    <w:rPr>
      <w:rFonts w:ascii="宋体" w:hAnsi="宋体"/>
      <w:kern w:val="0"/>
      <w:sz w:val="28"/>
      <w:szCs w:val="28"/>
      <w:lang w:eastAsia="en-US"/>
    </w:rPr>
  </w:style>
  <w:style w:type="paragraph" w:customStyle="1" w:styleId="204">
    <w:name w:val="Char"/>
    <w:basedOn w:val="1"/>
    <w:next w:val="1"/>
    <w:qFormat/>
    <w:uiPriority w:val="0"/>
    <w:pPr>
      <w:widowControl/>
      <w:spacing w:line="360" w:lineRule="auto"/>
      <w:jc w:val="left"/>
    </w:pPr>
    <w:rPr>
      <w:kern w:val="0"/>
      <w:szCs w:val="20"/>
      <w:lang w:eastAsia="en-US"/>
    </w:rPr>
  </w:style>
  <w:style w:type="paragraph" w:customStyle="1" w:styleId="20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1"/>
    <w:basedOn w:val="1"/>
    <w:next w:val="1"/>
    <w:qFormat/>
    <w:uiPriority w:val="0"/>
    <w:pPr>
      <w:widowControl/>
      <w:spacing w:line="360" w:lineRule="auto"/>
      <w:jc w:val="left"/>
    </w:pPr>
    <w:rPr>
      <w:kern w:val="0"/>
      <w:szCs w:val="20"/>
      <w:lang w:eastAsia="en-US"/>
    </w:rPr>
  </w:style>
  <w:style w:type="paragraph" w:customStyle="1" w:styleId="207">
    <w:name w:val="样式3"/>
    <w:basedOn w:val="4"/>
    <w:qFormat/>
    <w:uiPriority w:val="0"/>
    <w:pPr>
      <w:spacing w:line="415" w:lineRule="auto"/>
    </w:pPr>
    <w:rPr>
      <w:rFonts w:eastAsia="Arial"/>
    </w:rPr>
  </w:style>
  <w:style w:type="paragraph" w:customStyle="1" w:styleId="208">
    <w:name w:val="Table Paragraph"/>
    <w:basedOn w:val="1"/>
    <w:qFormat/>
    <w:uiPriority w:val="1"/>
    <w:rPr>
      <w:rFonts w:ascii="宋体" w:hAnsi="宋体" w:cs="宋体"/>
      <w:lang w:val="zh-CN" w:bidi="zh-CN"/>
    </w:rPr>
  </w:style>
  <w:style w:type="paragraph" w:customStyle="1" w:styleId="209">
    <w:name w:val="p0"/>
    <w:basedOn w:val="1"/>
    <w:qFormat/>
    <w:uiPriority w:val="0"/>
    <w:pPr>
      <w:widowControl/>
      <w:jc w:val="left"/>
    </w:pPr>
    <w:rPr>
      <w:rFonts w:ascii="宋体" w:hAnsi="宋体" w:cs="宋体"/>
      <w:kern w:val="0"/>
      <w:sz w:val="18"/>
      <w:szCs w:val="18"/>
    </w:rPr>
  </w:style>
  <w:style w:type="paragraph" w:customStyle="1" w:styleId="210">
    <w:name w:val="WPSOffice手动目录 1"/>
    <w:qFormat/>
    <w:uiPriority w:val="0"/>
    <w:rPr>
      <w:rFonts w:ascii="Times New Roman" w:hAnsi="Times New Roman" w:eastAsia="宋体" w:cs="Times New Roman"/>
      <w:lang w:val="en-US" w:eastAsia="zh-CN" w:bidi="ar-SA"/>
    </w:rPr>
  </w:style>
  <w:style w:type="paragraph" w:customStyle="1" w:styleId="211">
    <w:name w:val="Char4"/>
    <w:basedOn w:val="1"/>
    <w:qFormat/>
    <w:uiPriority w:val="0"/>
    <w:pPr>
      <w:widowControl/>
      <w:spacing w:line="360" w:lineRule="auto"/>
      <w:ind w:firstLine="200" w:firstLineChars="200"/>
      <w:textAlignment w:val="baseline"/>
    </w:pPr>
    <w:rPr>
      <w:rFonts w:ascii="Calibri" w:hAnsi="Calibri"/>
      <w:color w:val="000000"/>
      <w:kern w:val="0"/>
      <w:szCs w:val="20"/>
      <w:u w:color="000000"/>
    </w:rPr>
  </w:style>
  <w:style w:type="paragraph" w:customStyle="1" w:styleId="21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3">
    <w:name w:val="样式2"/>
    <w:basedOn w:val="4"/>
    <w:qFormat/>
    <w:uiPriority w:val="0"/>
    <w:pPr>
      <w:spacing w:line="415" w:lineRule="auto"/>
    </w:pPr>
  </w:style>
  <w:style w:type="paragraph" w:customStyle="1" w:styleId="214">
    <w:name w:val="Picture caption|1"/>
    <w:basedOn w:val="1"/>
    <w:qFormat/>
    <w:uiPriority w:val="0"/>
    <w:rPr>
      <w:rFonts w:ascii="宋体" w:hAnsi="宋体" w:cs="宋体"/>
      <w:sz w:val="20"/>
      <w:szCs w:val="20"/>
      <w:lang w:val="zh-TW" w:eastAsia="zh-TW" w:bidi="zh-TW"/>
    </w:rPr>
  </w:style>
  <w:style w:type="paragraph" w:customStyle="1" w:styleId="215">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 w:val="32"/>
      <w:szCs w:val="20"/>
    </w:rPr>
  </w:style>
  <w:style w:type="paragraph" w:customStyle="1" w:styleId="216">
    <w:name w:val="样式4"/>
    <w:basedOn w:val="4"/>
    <w:qFormat/>
    <w:uiPriority w:val="0"/>
    <w:pPr>
      <w:spacing w:line="415" w:lineRule="auto"/>
    </w:pPr>
    <w:rPr>
      <w:rFonts w:eastAsia="Arial"/>
    </w:rPr>
  </w:style>
  <w:style w:type="paragraph" w:customStyle="1" w:styleId="217">
    <w:name w:val="p0 New"/>
    <w:basedOn w:val="1"/>
    <w:qFormat/>
    <w:uiPriority w:val="0"/>
    <w:pPr>
      <w:widowControl/>
      <w:jc w:val="left"/>
    </w:pPr>
    <w:rPr>
      <w:rFonts w:ascii="宋体" w:hAnsi="Calibri" w:cs="宋体"/>
      <w:kern w:val="0"/>
      <w:sz w:val="18"/>
      <w:szCs w:val="18"/>
    </w:rPr>
  </w:style>
  <w:style w:type="paragraph" w:customStyle="1" w:styleId="218">
    <w:name w:val="Char Char6"/>
    <w:basedOn w:val="1"/>
    <w:qFormat/>
    <w:uiPriority w:val="0"/>
    <w:pPr>
      <w:widowControl/>
      <w:spacing w:after="160" w:line="240" w:lineRule="exact"/>
      <w:jc w:val="left"/>
    </w:pPr>
  </w:style>
  <w:style w:type="paragraph" w:customStyle="1" w:styleId="219">
    <w:name w:val="列出段落1"/>
    <w:basedOn w:val="1"/>
    <w:qFormat/>
    <w:uiPriority w:val="0"/>
    <w:pPr>
      <w:ind w:firstLine="200" w:firstLineChars="200"/>
    </w:pPr>
    <w:rPr>
      <w:rFonts w:ascii="Calibri" w:hAnsi="Calibri"/>
    </w:rPr>
  </w:style>
  <w:style w:type="paragraph" w:customStyle="1" w:styleId="220">
    <w:name w:val="1"/>
    <w:basedOn w:val="1"/>
    <w:next w:val="1"/>
    <w:qFormat/>
    <w:uiPriority w:val="0"/>
  </w:style>
  <w:style w:type="paragraph" w:customStyle="1" w:styleId="221">
    <w:name w:val="Body text|2"/>
    <w:basedOn w:val="1"/>
    <w:qFormat/>
    <w:uiPriority w:val="0"/>
    <w:pPr>
      <w:spacing w:before="3540" w:line="634" w:lineRule="exact"/>
      <w:ind w:left="2920" w:hanging="790"/>
    </w:pPr>
    <w:rPr>
      <w:rFonts w:ascii="宋体" w:hAnsi="宋体" w:cs="宋体"/>
      <w:sz w:val="30"/>
      <w:szCs w:val="30"/>
      <w:u w:val="single"/>
      <w:lang w:val="zh-TW" w:eastAsia="zh-TW" w:bidi="zh-TW"/>
    </w:rPr>
  </w:style>
  <w:style w:type="paragraph" w:customStyle="1" w:styleId="2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23">
    <w:name w:val="Body text|1"/>
    <w:basedOn w:val="1"/>
    <w:qFormat/>
    <w:uiPriority w:val="0"/>
    <w:pPr>
      <w:spacing w:line="468" w:lineRule="auto"/>
      <w:ind w:firstLine="400"/>
    </w:pPr>
    <w:rPr>
      <w:rFonts w:ascii="宋体" w:hAnsi="宋体" w:cs="宋体"/>
      <w:sz w:val="20"/>
      <w:szCs w:val="20"/>
      <w:lang w:val="zh-TW" w:eastAsia="zh-TW" w:bidi="zh-TW"/>
    </w:rPr>
  </w:style>
  <w:style w:type="paragraph" w:customStyle="1" w:styleId="22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styleId="225">
    <w:name w:val="List Paragraph"/>
    <w:basedOn w:val="1"/>
    <w:qFormat/>
    <w:uiPriority w:val="0"/>
    <w:pPr>
      <w:ind w:firstLine="200" w:firstLineChars="200"/>
    </w:pPr>
    <w:rPr>
      <w:rFonts w:ascii="Calibri" w:hAnsi="Calibri"/>
      <w:szCs w:val="22"/>
    </w:rPr>
  </w:style>
  <w:style w:type="paragraph" w:customStyle="1" w:styleId="226">
    <w:name w:val="默认段落字体 Para Char Char Char Char"/>
    <w:basedOn w:val="1"/>
    <w:qFormat/>
    <w:uiPriority w:val="0"/>
  </w:style>
  <w:style w:type="paragraph" w:customStyle="1" w:styleId="227">
    <w:name w:val="正文2"/>
    <w:qFormat/>
    <w:uiPriority w:val="0"/>
    <w:pPr>
      <w:widowControl w:val="0"/>
      <w:jc w:val="both"/>
    </w:pPr>
    <w:rPr>
      <w:rFonts w:ascii="Calibri" w:hAnsi="Calibri" w:eastAsia="宋体" w:cs="Times New Roman"/>
      <w:lang w:val="en-US" w:eastAsia="zh-CN" w:bidi="ar-SA"/>
    </w:rPr>
  </w:style>
  <w:style w:type="paragraph" w:customStyle="1" w:styleId="2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29">
    <w:name w:val="Char Char Char Char Char Char Char Char Char Char Char Char Char"/>
    <w:basedOn w:val="1"/>
    <w:qFormat/>
    <w:uiPriority w:val="0"/>
    <w:rPr>
      <w:rFonts w:ascii="Calibri" w:hAnsi="Calibri"/>
    </w:rPr>
  </w:style>
  <w:style w:type="paragraph" w:customStyle="1" w:styleId="23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32">
    <w:name w:val="Char Char Char Char Char Char Char Char Char Char Char Char Char1"/>
    <w:basedOn w:val="1"/>
    <w:qFormat/>
    <w:uiPriority w:val="0"/>
  </w:style>
  <w:style w:type="character" w:customStyle="1" w:styleId="233">
    <w:name w:val="未处理的提及1"/>
    <w:basedOn w:val="52"/>
    <w:semiHidden/>
    <w:unhideWhenUsed/>
    <w:qFormat/>
    <w:uiPriority w:val="99"/>
    <w:rPr>
      <w:color w:val="605E5C"/>
      <w:shd w:val="clear" w:color="auto" w:fill="E1DFDD"/>
    </w:rPr>
  </w:style>
  <w:style w:type="character" w:customStyle="1" w:styleId="234">
    <w:name w:val="NormalCharacter"/>
    <w:semiHidden/>
    <w:qFormat/>
    <w:uiPriority w:val="0"/>
  </w:style>
  <w:style w:type="table" w:customStyle="1" w:styleId="235">
    <w:name w:val="Table Normal"/>
    <w:semiHidden/>
    <w:unhideWhenUsed/>
    <w:qFormat/>
    <w:uiPriority w:val="0"/>
    <w:tblPr>
      <w:tblCellMar>
        <w:top w:w="0" w:type="dxa"/>
        <w:left w:w="0" w:type="dxa"/>
        <w:bottom w:w="0" w:type="dxa"/>
        <w:right w:w="0" w:type="dxa"/>
      </w:tblCellMar>
    </w:tblPr>
  </w:style>
  <w:style w:type="table" w:customStyle="1" w:styleId="236">
    <w:name w:val="网格型1"/>
    <w:basedOn w:val="50"/>
    <w:qFormat/>
    <w:uiPriority w:val="39"/>
    <w:rPr>
      <w:rFonts w:ascii="等线" w:hAnsi="等线" w:eastAsia="等线"/>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7">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39">
    <w:name w:val="first-child"/>
    <w:basedOn w:val="52"/>
    <w:qFormat/>
    <w:uiPriority w:val="0"/>
  </w:style>
  <w:style w:type="character" w:customStyle="1" w:styleId="240">
    <w:name w:val="layui-this"/>
    <w:basedOn w:val="52"/>
    <w:qFormat/>
    <w:uiPriority w:val="0"/>
    <w:rPr>
      <w:bdr w:val="single" w:color="EEEEEE" w:sz="4" w:space="0"/>
      <w:shd w:val="clear" w:color="auto" w:fill="FFFFFF"/>
    </w:rPr>
  </w:style>
  <w:style w:type="paragraph" w:customStyle="1" w:styleId="241">
    <w:name w:val="Table Text"/>
    <w:basedOn w:val="1"/>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186A5-D894-4067-B461-A0443B7E39B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20053</Words>
  <Characters>21337</Characters>
  <Lines>192</Lines>
  <Paragraphs>54</Paragraphs>
  <TotalTime>27</TotalTime>
  <ScaleCrop>false</ScaleCrop>
  <LinksUpToDate>false</LinksUpToDate>
  <CharactersWithSpaces>25280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2024-06-26T01:49:00Z</dcterms:created>
  <dc:creator>微软用户</dc:creator>
  <cp:lastModifiedBy>旮旯</cp:lastModifiedBy>
  <cp:lastPrinted>2022-01-03T08:24:00Z</cp:lastPrinted>
  <dcterms:modified xsi:type="dcterms:W3CDTF">2024-08-02T03:47:41Z</dcterms:modified>
  <dc:title>花亭路等道路绿化工程苗木比价采购</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D9302F39756944B4B09BDCAE54162578_13</vt:lpwstr>
  </property>
</Properties>
</file>