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723"/>
        <w:jc w:val="center"/>
        <w:rPr>
          <w:rFonts w:ascii="宋体" w:cs="宋体"/>
          <w:b/>
          <w:bCs/>
          <w:color w:val="auto"/>
          <w:kern w:val="0"/>
          <w:sz w:val="36"/>
          <w:szCs w:val="36"/>
          <w:highlight w:val="none"/>
        </w:rPr>
      </w:pPr>
    </w:p>
    <w:p>
      <w:pPr>
        <w:spacing w:after="156" w:afterLines="50"/>
        <w:ind w:right="-625"/>
        <w:jc w:val="center"/>
        <w:rPr>
          <w:rFonts w:ascii="宋体" w:hAnsi="宋体"/>
          <w:b/>
          <w:color w:val="auto"/>
          <w:sz w:val="48"/>
          <w:szCs w:val="48"/>
          <w:highlight w:val="none"/>
        </w:rPr>
      </w:pPr>
      <w:bookmarkStart w:id="0" w:name="OLE_LINK3"/>
      <w:bookmarkStart w:id="1" w:name="OLE_LINK1"/>
      <w:bookmarkStart w:id="2" w:name="_Toc21247_WPSOffice_Level1"/>
      <w:bookmarkStart w:id="3" w:name="OLE_LINK2"/>
      <w:r>
        <w:rPr>
          <w:rFonts w:hint="eastAsia" w:ascii="宋体" w:hAnsi="宋体"/>
          <w:b/>
          <w:color w:val="auto"/>
          <w:sz w:val="48"/>
          <w:szCs w:val="48"/>
          <w:highlight w:val="none"/>
        </w:rPr>
        <w:t>滁州市第二人民医院精神病院区智能化工程第三方检测项目</w:t>
      </w:r>
    </w:p>
    <w:p>
      <w:pPr>
        <w:spacing w:after="156" w:afterLines="50"/>
        <w:ind w:left="-850" w:leftChars="-405" w:right="-625"/>
        <w:jc w:val="center"/>
        <w:rPr>
          <w:color w:val="auto"/>
          <w:sz w:val="24"/>
          <w:highlight w:val="none"/>
        </w:rPr>
      </w:pPr>
    </w:p>
    <w:p>
      <w:pPr>
        <w:pStyle w:val="49"/>
        <w:ind w:left="0" w:leftChars="0" w:firstLine="3200" w:firstLineChars="1000"/>
        <w:rPr>
          <w:color w:val="auto"/>
          <w:sz w:val="32"/>
          <w:szCs w:val="32"/>
          <w:highlight w:val="none"/>
        </w:rPr>
      </w:pPr>
    </w:p>
    <w:p>
      <w:pPr>
        <w:pStyle w:val="49"/>
        <w:ind w:left="0" w:leftChars="0" w:firstLine="0" w:firstLineChars="0"/>
        <w:jc w:val="center"/>
        <w:rPr>
          <w:rFonts w:hint="eastAsia" w:ascii="宋体" w:hAnsi="宋体" w:eastAsia="宋体" w:cs="宋体"/>
          <w:color w:val="auto"/>
          <w:sz w:val="32"/>
          <w:szCs w:val="32"/>
          <w:highlight w:val="none"/>
          <w:lang w:eastAsia="zh-CN"/>
        </w:rPr>
      </w:pPr>
      <w:r>
        <w:rPr>
          <w:rFonts w:hint="eastAsia"/>
          <w:color w:val="auto"/>
          <w:sz w:val="32"/>
          <w:szCs w:val="32"/>
          <w:highlight w:val="none"/>
        </w:rPr>
        <w:t>项目编号：</w:t>
      </w:r>
      <w:r>
        <w:rPr>
          <w:rFonts w:hint="eastAsia"/>
          <w:color w:val="auto"/>
          <w:sz w:val="32"/>
          <w:szCs w:val="32"/>
          <w:highlight w:val="none"/>
          <w:lang w:eastAsia="zh-CN"/>
        </w:rPr>
        <w:t>CZEY-2024030</w:t>
      </w:r>
    </w:p>
    <w:p>
      <w:pPr>
        <w:spacing w:line="360" w:lineRule="auto"/>
        <w:ind w:firstLine="1928"/>
        <w:rPr>
          <w:rFonts w:ascii="楷体" w:hAnsi="楷体" w:eastAsia="楷体" w:cs="楷体"/>
          <w:b/>
          <w:color w:val="auto"/>
          <w:sz w:val="96"/>
          <w:szCs w:val="96"/>
          <w:highlight w:val="none"/>
        </w:rPr>
      </w:pPr>
    </w:p>
    <w:p>
      <w:pPr>
        <w:spacing w:line="360" w:lineRule="auto"/>
        <w:ind w:firstLine="1928"/>
        <w:jc w:val="center"/>
        <w:rPr>
          <w:rFonts w:ascii="宋体" w:hAnsi="宋体" w:cs="宋体"/>
          <w:bCs/>
          <w:color w:val="auto"/>
          <w:sz w:val="96"/>
          <w:szCs w:val="96"/>
          <w:highlight w:val="none"/>
        </w:rPr>
      </w:pPr>
      <w:r>
        <w:rPr>
          <w:rFonts w:hint="eastAsia" w:ascii="宋体" w:hAnsi="宋体" w:cs="宋体"/>
          <w:b/>
          <w:color w:val="auto"/>
          <w:sz w:val="96"/>
          <w:szCs w:val="96"/>
          <w:highlight w:val="none"/>
        </w:rPr>
        <w:t>招 标 文 件</w:t>
      </w:r>
    </w:p>
    <w:p>
      <w:pPr>
        <w:ind w:firstLine="1687"/>
        <w:rPr>
          <w:rFonts w:ascii="宋体" w:hAnsi="宋体"/>
          <w:b/>
          <w:color w:val="auto"/>
          <w:sz w:val="84"/>
          <w:szCs w:val="84"/>
          <w:highlight w:val="none"/>
        </w:rPr>
      </w:pPr>
    </w:p>
    <w:p>
      <w:pPr>
        <w:pStyle w:val="49"/>
        <w:rPr>
          <w:color w:val="auto"/>
          <w:highlight w:val="none"/>
        </w:rPr>
      </w:pPr>
    </w:p>
    <w:p>
      <w:pPr>
        <w:ind w:firstLine="560"/>
        <w:rPr>
          <w:rFonts w:ascii="宋体"/>
          <w:color w:val="auto"/>
          <w:sz w:val="28"/>
          <w:szCs w:val="28"/>
          <w:highlight w:val="none"/>
        </w:rPr>
      </w:pPr>
    </w:p>
    <w:p>
      <w:pPr>
        <w:ind w:firstLine="643" w:firstLineChars="200"/>
        <w:rPr>
          <w:rFonts w:ascii="宋体"/>
          <w:b/>
          <w:color w:val="auto"/>
          <w:sz w:val="32"/>
          <w:szCs w:val="32"/>
          <w:highlight w:val="none"/>
        </w:rPr>
      </w:pPr>
    </w:p>
    <w:p>
      <w:pPr>
        <w:pStyle w:val="17"/>
        <w:ind w:firstLine="883"/>
        <w:rPr>
          <w:color w:val="auto"/>
          <w:highlight w:val="none"/>
        </w:rPr>
      </w:pPr>
    </w:p>
    <w:p>
      <w:pPr>
        <w:ind w:firstLine="643"/>
        <w:rPr>
          <w:rFonts w:hint="eastAsia" w:ascii="宋体" w:hAnsi="宋体"/>
          <w:b/>
          <w:color w:val="auto"/>
          <w:spacing w:val="-20"/>
          <w:sz w:val="32"/>
          <w:szCs w:val="32"/>
          <w:highlight w:val="none"/>
          <w:u w:val="single"/>
        </w:rPr>
      </w:pPr>
      <w:r>
        <w:rPr>
          <w:rFonts w:hint="eastAsia" w:ascii="宋体"/>
          <w:b/>
          <w:color w:val="auto"/>
          <w:sz w:val="32"/>
          <w:szCs w:val="32"/>
          <w:highlight w:val="none"/>
        </w:rPr>
        <w:t>采  购  人：</w:t>
      </w:r>
      <w:r>
        <w:rPr>
          <w:rFonts w:hint="eastAsia" w:ascii="宋体" w:hAnsi="宋体"/>
          <w:b/>
          <w:color w:val="auto"/>
          <w:spacing w:val="-20"/>
          <w:sz w:val="32"/>
          <w:szCs w:val="32"/>
          <w:highlight w:val="none"/>
          <w:u w:val="single"/>
        </w:rPr>
        <w:t>滁州市第二人民医院（市传染病医院、市精神病医院）</w:t>
      </w:r>
    </w:p>
    <w:p>
      <w:pPr>
        <w:ind w:firstLine="643"/>
        <w:jc w:val="right"/>
        <w:rPr>
          <w:rFonts w:ascii="宋体"/>
          <w:b/>
          <w:color w:val="auto"/>
          <w:spacing w:val="-20"/>
          <w:sz w:val="32"/>
          <w:szCs w:val="32"/>
          <w:highlight w:val="none"/>
        </w:rPr>
      </w:pPr>
      <w:r>
        <w:rPr>
          <w:rFonts w:hint="eastAsia" w:ascii="宋体"/>
          <w:b/>
          <w:color w:val="auto"/>
          <w:spacing w:val="-20"/>
          <w:sz w:val="32"/>
          <w:szCs w:val="32"/>
          <w:highlight w:val="none"/>
        </w:rPr>
        <w:t>（盖单位章）</w:t>
      </w:r>
    </w:p>
    <w:p>
      <w:pPr>
        <w:ind w:firstLine="643"/>
        <w:rPr>
          <w:rFonts w:ascii="宋体"/>
          <w:b/>
          <w:color w:val="auto"/>
          <w:sz w:val="32"/>
          <w:szCs w:val="32"/>
          <w:highlight w:val="none"/>
          <w:u w:val="single"/>
        </w:rPr>
      </w:pPr>
      <w:r>
        <w:rPr>
          <w:rFonts w:hint="eastAsia" w:ascii="宋体"/>
          <w:b/>
          <w:color w:val="auto"/>
          <w:sz w:val="32"/>
          <w:szCs w:val="32"/>
          <w:highlight w:val="none"/>
        </w:rPr>
        <w:t>采购代理机构：</w:t>
      </w:r>
      <w:r>
        <w:rPr>
          <w:rFonts w:hint="eastAsia" w:ascii="宋体"/>
          <w:b/>
          <w:color w:val="auto"/>
          <w:sz w:val="32"/>
          <w:szCs w:val="32"/>
          <w:highlight w:val="none"/>
          <w:u w:val="single"/>
        </w:rPr>
        <w:t xml:space="preserve"> </w:t>
      </w:r>
      <w:r>
        <w:rPr>
          <w:rFonts w:hint="eastAsia" w:ascii="宋体" w:hAnsi="宋体"/>
          <w:b/>
          <w:color w:val="auto"/>
          <w:spacing w:val="-20"/>
          <w:sz w:val="32"/>
          <w:szCs w:val="32"/>
          <w:highlight w:val="none"/>
          <w:u w:val="single"/>
        </w:rPr>
        <w:t xml:space="preserve">江苏川页工程项目管理有限公司  </w:t>
      </w:r>
      <w:r>
        <w:rPr>
          <w:rFonts w:hint="eastAsia" w:ascii="宋体"/>
          <w:b/>
          <w:color w:val="auto"/>
          <w:sz w:val="32"/>
          <w:szCs w:val="32"/>
          <w:highlight w:val="none"/>
        </w:rPr>
        <w:t>（盖单位章）</w:t>
      </w:r>
    </w:p>
    <w:p>
      <w:pPr>
        <w:ind w:firstLine="643"/>
        <w:jc w:val="center"/>
        <w:rPr>
          <w:rFonts w:ascii="宋体"/>
          <w:b/>
          <w:color w:val="auto"/>
          <w:sz w:val="32"/>
          <w:szCs w:val="32"/>
          <w:highlight w:val="none"/>
        </w:rPr>
      </w:pPr>
      <w:r>
        <w:rPr>
          <w:rFonts w:hint="eastAsia" w:ascii="宋体"/>
          <w:b/>
          <w:color w:val="auto"/>
          <w:sz w:val="32"/>
          <w:szCs w:val="32"/>
          <w:highlight w:val="none"/>
          <w:u w:val="single"/>
        </w:rPr>
        <w:t xml:space="preserve">二〇二四 </w:t>
      </w:r>
      <w:r>
        <w:rPr>
          <w:rFonts w:hint="eastAsia" w:ascii="宋体"/>
          <w:b/>
          <w:color w:val="auto"/>
          <w:sz w:val="32"/>
          <w:szCs w:val="32"/>
          <w:highlight w:val="none"/>
        </w:rPr>
        <w:t xml:space="preserve">年 </w:t>
      </w:r>
      <w:r>
        <w:rPr>
          <w:rFonts w:hint="eastAsia" w:ascii="宋体"/>
          <w:b/>
          <w:color w:val="auto"/>
          <w:sz w:val="32"/>
          <w:szCs w:val="32"/>
          <w:highlight w:val="none"/>
          <w:u w:val="single"/>
        </w:rPr>
        <w:t xml:space="preserve"> 六 </w:t>
      </w:r>
      <w:r>
        <w:rPr>
          <w:rFonts w:hint="eastAsia" w:ascii="宋体"/>
          <w:b/>
          <w:color w:val="auto"/>
          <w:sz w:val="32"/>
          <w:szCs w:val="32"/>
          <w:highlight w:val="none"/>
        </w:rPr>
        <w:t>月</w:t>
      </w:r>
    </w:p>
    <w:p>
      <w:pPr>
        <w:adjustRightInd w:val="0"/>
        <w:snapToGrid w:val="0"/>
        <w:spacing w:line="460" w:lineRule="exact"/>
        <w:ind w:firstLine="723"/>
        <w:jc w:val="center"/>
        <w:rPr>
          <w:rFonts w:ascii="宋体" w:hAnsi="宋体" w:cs="宋体"/>
          <w:b/>
          <w:color w:val="auto"/>
          <w:spacing w:val="20"/>
          <w:sz w:val="32"/>
          <w:szCs w:val="32"/>
          <w:highlight w:val="none"/>
        </w:rPr>
      </w:pPr>
    </w:p>
    <w:p>
      <w:pPr>
        <w:pStyle w:val="49"/>
        <w:rPr>
          <w:color w:val="auto"/>
          <w:highlight w:val="none"/>
        </w:rPr>
      </w:pPr>
    </w:p>
    <w:p>
      <w:pPr>
        <w:adjustRightInd w:val="0"/>
        <w:snapToGrid w:val="0"/>
        <w:spacing w:line="460" w:lineRule="exact"/>
        <w:ind w:firstLine="723"/>
        <w:jc w:val="center"/>
        <w:rPr>
          <w:rFonts w:ascii="宋体" w:hAnsi="宋体" w:cs="宋体"/>
          <w:b/>
          <w:color w:val="auto"/>
          <w:spacing w:val="20"/>
          <w:sz w:val="32"/>
          <w:szCs w:val="32"/>
          <w:highlight w:val="none"/>
        </w:rPr>
      </w:pPr>
    </w:p>
    <w:p>
      <w:pPr>
        <w:adjustRightInd w:val="0"/>
        <w:snapToGrid w:val="0"/>
        <w:spacing w:line="460" w:lineRule="exact"/>
        <w:ind w:firstLine="723"/>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目 录</w:t>
      </w:r>
    </w:p>
    <w:p>
      <w:pPr>
        <w:spacing w:line="360" w:lineRule="exact"/>
        <w:ind w:firstLine="723"/>
        <w:jc w:val="center"/>
        <w:rPr>
          <w:b/>
          <w:color w:val="auto"/>
          <w:sz w:val="36"/>
          <w:highlight w:val="none"/>
        </w:rPr>
      </w:pPr>
    </w:p>
    <w:p>
      <w:pPr>
        <w:pStyle w:val="31"/>
        <w:tabs>
          <w:tab w:val="right" w:leader="dot" w:pos="8296"/>
        </w:tabs>
        <w:spacing w:line="440" w:lineRule="exact"/>
        <w:ind w:firstLine="482"/>
        <w:rPr>
          <w:rFonts w:ascii="宋体" w:hAnsi="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color w:val="auto"/>
          <w:highlight w:val="none"/>
        </w:rPr>
        <w:fldChar w:fldCharType="begin"/>
      </w:r>
      <w:r>
        <w:rPr>
          <w:color w:val="auto"/>
          <w:highlight w:val="none"/>
        </w:rPr>
        <w:instrText xml:space="preserve"> HYPERLINK \l "_Toc58430304" </w:instrText>
      </w:r>
      <w:r>
        <w:rPr>
          <w:color w:val="auto"/>
          <w:highlight w:val="none"/>
        </w:rPr>
        <w:fldChar w:fldCharType="separate"/>
      </w:r>
      <w:r>
        <w:rPr>
          <w:rStyle w:val="61"/>
          <w:rFonts w:hint="eastAsia" w:ascii="宋体" w:hAnsi="宋体"/>
          <w:color w:val="auto"/>
          <w:sz w:val="24"/>
          <w:highlight w:val="none"/>
        </w:rPr>
        <w:t>第一章</w:t>
      </w:r>
      <w:r>
        <w:rPr>
          <w:rStyle w:val="61"/>
          <w:rFonts w:ascii="宋体" w:hAnsi="宋体"/>
          <w:color w:val="auto"/>
          <w:sz w:val="24"/>
          <w:highlight w:val="none"/>
        </w:rPr>
        <w:t xml:space="preserve"> </w:t>
      </w:r>
      <w:r>
        <w:rPr>
          <w:rStyle w:val="61"/>
          <w:rFonts w:hint="eastAsia" w:ascii="宋体" w:hAnsi="宋体"/>
          <w:color w:val="auto"/>
          <w:sz w:val="24"/>
          <w:highlight w:val="none"/>
        </w:rPr>
        <w:t>招标公告</w:t>
      </w:r>
      <w:r>
        <w:rPr>
          <w:rFonts w:ascii="宋体" w:hAnsi="宋体"/>
          <w:color w:val="auto"/>
          <w:sz w:val="24"/>
          <w:highlight w:val="none"/>
        </w:rPr>
        <w:tab/>
      </w:r>
      <w:r>
        <w:rPr>
          <w:rFonts w:hint="eastAsia" w:ascii="宋体" w:hAnsi="宋体"/>
          <w:color w:val="auto"/>
          <w:sz w:val="24"/>
          <w:highlight w:val="none"/>
        </w:rPr>
        <w:t>3</w:t>
      </w:r>
      <w:r>
        <w:rPr>
          <w:rFonts w:hint="eastAsia" w:ascii="宋体" w:hAnsi="宋体"/>
          <w:color w:val="auto"/>
          <w:sz w:val="24"/>
          <w:highlight w:val="none"/>
        </w:rPr>
        <w:fldChar w:fldCharType="end"/>
      </w:r>
    </w:p>
    <w:p>
      <w:pPr>
        <w:pStyle w:val="31"/>
        <w:tabs>
          <w:tab w:val="right" w:leader="dot" w:pos="8296"/>
        </w:tabs>
        <w:spacing w:line="440" w:lineRule="exact"/>
        <w:ind w:firstLine="402"/>
        <w:rPr>
          <w:rFonts w:ascii="宋体" w:hAnsi="宋体"/>
          <w:color w:val="auto"/>
          <w:sz w:val="24"/>
          <w:highlight w:val="none"/>
        </w:rPr>
      </w:pPr>
      <w:r>
        <w:rPr>
          <w:color w:val="auto"/>
          <w:highlight w:val="none"/>
        </w:rPr>
        <w:fldChar w:fldCharType="begin"/>
      </w:r>
      <w:r>
        <w:rPr>
          <w:color w:val="auto"/>
          <w:highlight w:val="none"/>
        </w:rPr>
        <w:instrText xml:space="preserve"> HYPERLINK \l "_Toc58430313" </w:instrText>
      </w:r>
      <w:r>
        <w:rPr>
          <w:color w:val="auto"/>
          <w:highlight w:val="none"/>
        </w:rPr>
        <w:fldChar w:fldCharType="separate"/>
      </w:r>
      <w:r>
        <w:rPr>
          <w:rStyle w:val="61"/>
          <w:rFonts w:hint="eastAsia" w:ascii="宋体" w:hAnsi="宋体"/>
          <w:color w:val="auto"/>
          <w:sz w:val="24"/>
          <w:highlight w:val="none"/>
        </w:rPr>
        <w:t>第二章</w:t>
      </w:r>
      <w:r>
        <w:rPr>
          <w:rStyle w:val="61"/>
          <w:rFonts w:ascii="宋体" w:hAnsi="宋体"/>
          <w:color w:val="auto"/>
          <w:sz w:val="24"/>
          <w:highlight w:val="none"/>
        </w:rPr>
        <w:t xml:space="preserve"> </w:t>
      </w:r>
      <w:r>
        <w:rPr>
          <w:rStyle w:val="61"/>
          <w:rFonts w:hint="eastAsia" w:ascii="宋体" w:hAnsi="宋体"/>
          <w:color w:val="auto"/>
          <w:sz w:val="24"/>
          <w:highlight w:val="none"/>
        </w:rPr>
        <w:t>投标人须知前附表</w:t>
      </w:r>
      <w:r>
        <w:rPr>
          <w:rFonts w:ascii="宋体" w:hAnsi="宋体"/>
          <w:color w:val="auto"/>
          <w:sz w:val="24"/>
          <w:highlight w:val="none"/>
        </w:rPr>
        <w:tab/>
      </w:r>
      <w:r>
        <w:rPr>
          <w:rFonts w:hint="eastAsia" w:ascii="宋体" w:hAnsi="宋体"/>
          <w:color w:val="auto"/>
          <w:sz w:val="24"/>
          <w:highlight w:val="none"/>
        </w:rPr>
        <w:t>5</w:t>
      </w:r>
      <w:r>
        <w:rPr>
          <w:rFonts w:hint="eastAsia" w:ascii="宋体" w:hAnsi="宋体"/>
          <w:color w:val="auto"/>
          <w:sz w:val="24"/>
          <w:highlight w:val="none"/>
        </w:rPr>
        <w:fldChar w:fldCharType="end"/>
      </w:r>
    </w:p>
    <w:p>
      <w:pPr>
        <w:pStyle w:val="31"/>
        <w:tabs>
          <w:tab w:val="right" w:leader="dot" w:pos="8296"/>
        </w:tabs>
        <w:spacing w:line="440" w:lineRule="exact"/>
        <w:ind w:firstLine="402"/>
        <w:rPr>
          <w:rFonts w:ascii="宋体" w:hAnsi="宋体"/>
          <w:color w:val="auto"/>
          <w:sz w:val="24"/>
          <w:highlight w:val="none"/>
        </w:rPr>
      </w:pPr>
      <w:r>
        <w:rPr>
          <w:color w:val="auto"/>
          <w:highlight w:val="none"/>
        </w:rPr>
        <w:fldChar w:fldCharType="begin"/>
      </w:r>
      <w:r>
        <w:rPr>
          <w:color w:val="auto"/>
          <w:highlight w:val="none"/>
        </w:rPr>
        <w:instrText xml:space="preserve"> HYPERLINK \l "_Toc58430316" </w:instrText>
      </w:r>
      <w:r>
        <w:rPr>
          <w:color w:val="auto"/>
          <w:highlight w:val="none"/>
        </w:rPr>
        <w:fldChar w:fldCharType="separate"/>
      </w:r>
      <w:r>
        <w:rPr>
          <w:rStyle w:val="61"/>
          <w:rFonts w:hint="eastAsia" w:ascii="宋体" w:hAnsi="宋体"/>
          <w:color w:val="auto"/>
          <w:sz w:val="24"/>
          <w:highlight w:val="none"/>
        </w:rPr>
        <w:t>第三章</w:t>
      </w:r>
      <w:r>
        <w:rPr>
          <w:rStyle w:val="61"/>
          <w:rFonts w:ascii="宋体" w:hAnsi="宋体"/>
          <w:color w:val="auto"/>
          <w:sz w:val="24"/>
          <w:highlight w:val="none"/>
        </w:rPr>
        <w:t xml:space="preserve"> </w:t>
      </w:r>
      <w:r>
        <w:rPr>
          <w:rStyle w:val="61"/>
          <w:rFonts w:hint="eastAsia" w:ascii="宋体" w:hAnsi="宋体"/>
          <w:color w:val="auto"/>
          <w:sz w:val="24"/>
          <w:highlight w:val="none"/>
        </w:rPr>
        <w:t>评标办法</w:t>
      </w:r>
      <w:r>
        <w:rPr>
          <w:rFonts w:ascii="宋体" w:hAnsi="宋体"/>
          <w:color w:val="auto"/>
          <w:sz w:val="24"/>
          <w:highlight w:val="none"/>
        </w:rPr>
        <w:tab/>
      </w:r>
      <w:r>
        <w:rPr>
          <w:rFonts w:hint="eastAsia" w:ascii="宋体" w:hAnsi="宋体"/>
          <w:color w:val="auto"/>
          <w:sz w:val="24"/>
          <w:highlight w:val="none"/>
        </w:rPr>
        <w:t>1</w:t>
      </w:r>
      <w:r>
        <w:rPr>
          <w:rFonts w:hint="eastAsia" w:ascii="宋体" w:hAnsi="宋体"/>
          <w:color w:val="auto"/>
          <w:sz w:val="24"/>
          <w:highlight w:val="none"/>
        </w:rPr>
        <w:fldChar w:fldCharType="end"/>
      </w:r>
      <w:r>
        <w:rPr>
          <w:rFonts w:hint="eastAsia" w:ascii="宋体" w:hAnsi="宋体"/>
          <w:color w:val="auto"/>
          <w:sz w:val="24"/>
          <w:highlight w:val="none"/>
        </w:rPr>
        <w:t>3</w:t>
      </w:r>
    </w:p>
    <w:p>
      <w:pPr>
        <w:pStyle w:val="31"/>
        <w:tabs>
          <w:tab w:val="right" w:leader="dot" w:pos="8296"/>
        </w:tabs>
        <w:spacing w:line="440" w:lineRule="exact"/>
        <w:ind w:firstLine="402"/>
        <w:rPr>
          <w:rFonts w:ascii="宋体" w:hAnsi="宋体"/>
          <w:color w:val="auto"/>
          <w:sz w:val="24"/>
          <w:highlight w:val="none"/>
        </w:rPr>
      </w:pPr>
      <w:r>
        <w:rPr>
          <w:color w:val="auto"/>
          <w:highlight w:val="none"/>
        </w:rPr>
        <w:fldChar w:fldCharType="begin"/>
      </w:r>
      <w:r>
        <w:rPr>
          <w:color w:val="auto"/>
          <w:highlight w:val="none"/>
        </w:rPr>
        <w:instrText xml:space="preserve"> HYPERLINK \l "_Toc58430328" </w:instrText>
      </w:r>
      <w:r>
        <w:rPr>
          <w:color w:val="auto"/>
          <w:highlight w:val="none"/>
        </w:rPr>
        <w:fldChar w:fldCharType="separate"/>
      </w:r>
      <w:r>
        <w:rPr>
          <w:rStyle w:val="61"/>
          <w:rFonts w:hint="eastAsia" w:ascii="宋体" w:hAnsi="宋体"/>
          <w:color w:val="auto"/>
          <w:sz w:val="24"/>
          <w:highlight w:val="none"/>
        </w:rPr>
        <w:t>第四章</w:t>
      </w:r>
      <w:r>
        <w:rPr>
          <w:rStyle w:val="61"/>
          <w:rFonts w:ascii="宋体" w:hAnsi="宋体"/>
          <w:color w:val="auto"/>
          <w:sz w:val="24"/>
          <w:highlight w:val="none"/>
        </w:rPr>
        <w:t xml:space="preserve"> </w:t>
      </w:r>
      <w:r>
        <w:rPr>
          <w:rStyle w:val="61"/>
          <w:rFonts w:hint="eastAsia" w:ascii="宋体" w:hAnsi="宋体"/>
          <w:color w:val="auto"/>
          <w:sz w:val="24"/>
          <w:highlight w:val="none"/>
        </w:rPr>
        <w:t>服务需求</w:t>
      </w:r>
      <w:r>
        <w:rPr>
          <w:rFonts w:ascii="宋体" w:hAnsi="宋体"/>
          <w:color w:val="auto"/>
          <w:sz w:val="24"/>
          <w:highlight w:val="none"/>
        </w:rPr>
        <w:tab/>
      </w:r>
      <w:r>
        <w:rPr>
          <w:rFonts w:hint="eastAsia" w:ascii="宋体" w:hAnsi="宋体"/>
          <w:color w:val="auto"/>
          <w:sz w:val="24"/>
          <w:highlight w:val="none"/>
        </w:rPr>
        <w:t>19</w:t>
      </w:r>
      <w:r>
        <w:rPr>
          <w:rFonts w:hint="eastAsia" w:ascii="宋体" w:hAnsi="宋体"/>
          <w:color w:val="auto"/>
          <w:sz w:val="24"/>
          <w:highlight w:val="none"/>
        </w:rPr>
        <w:fldChar w:fldCharType="end"/>
      </w:r>
    </w:p>
    <w:p>
      <w:pPr>
        <w:pStyle w:val="31"/>
        <w:tabs>
          <w:tab w:val="right" w:leader="dot" w:pos="8296"/>
        </w:tabs>
        <w:spacing w:line="440" w:lineRule="exact"/>
        <w:ind w:firstLine="402"/>
        <w:rPr>
          <w:rFonts w:ascii="宋体" w:hAnsi="宋体"/>
          <w:color w:val="auto"/>
          <w:sz w:val="24"/>
          <w:highlight w:val="none"/>
        </w:rPr>
      </w:pPr>
      <w:r>
        <w:rPr>
          <w:color w:val="auto"/>
          <w:highlight w:val="none"/>
        </w:rPr>
        <w:fldChar w:fldCharType="begin"/>
      </w:r>
      <w:r>
        <w:rPr>
          <w:color w:val="auto"/>
          <w:highlight w:val="none"/>
        </w:rPr>
        <w:instrText xml:space="preserve"> HYPERLINK \l "_Toc58430329" </w:instrText>
      </w:r>
      <w:r>
        <w:rPr>
          <w:color w:val="auto"/>
          <w:highlight w:val="none"/>
        </w:rPr>
        <w:fldChar w:fldCharType="separate"/>
      </w:r>
      <w:r>
        <w:rPr>
          <w:rStyle w:val="61"/>
          <w:rFonts w:hint="eastAsia" w:ascii="宋体" w:hAnsi="宋体"/>
          <w:color w:val="auto"/>
          <w:sz w:val="24"/>
          <w:highlight w:val="none"/>
        </w:rPr>
        <w:t>第五章</w:t>
      </w:r>
      <w:r>
        <w:rPr>
          <w:rStyle w:val="61"/>
          <w:rFonts w:ascii="宋体" w:hAnsi="宋体"/>
          <w:color w:val="auto"/>
          <w:sz w:val="24"/>
          <w:highlight w:val="none"/>
        </w:rPr>
        <w:t xml:space="preserve"> </w:t>
      </w:r>
      <w:r>
        <w:rPr>
          <w:rStyle w:val="61"/>
          <w:rFonts w:hint="eastAsia" w:ascii="宋体" w:hAnsi="宋体"/>
          <w:color w:val="auto"/>
          <w:sz w:val="24"/>
          <w:highlight w:val="none"/>
        </w:rPr>
        <w:t>合同条款及格式</w:t>
      </w:r>
      <w:r>
        <w:rPr>
          <w:rFonts w:ascii="宋体" w:hAnsi="宋体"/>
          <w:color w:val="auto"/>
          <w:sz w:val="24"/>
          <w:highlight w:val="none"/>
        </w:rPr>
        <w:tab/>
      </w:r>
      <w:r>
        <w:rPr>
          <w:rFonts w:hint="eastAsia" w:ascii="宋体" w:hAnsi="宋体"/>
          <w:color w:val="auto"/>
          <w:sz w:val="24"/>
          <w:highlight w:val="none"/>
        </w:rPr>
        <w:t>2</w:t>
      </w:r>
      <w:r>
        <w:rPr>
          <w:rFonts w:hint="eastAsia" w:ascii="宋体" w:hAnsi="宋体"/>
          <w:color w:val="auto"/>
          <w:sz w:val="24"/>
          <w:highlight w:val="none"/>
        </w:rPr>
        <w:fldChar w:fldCharType="end"/>
      </w:r>
      <w:r>
        <w:rPr>
          <w:rFonts w:hint="eastAsia" w:ascii="宋体" w:hAnsi="宋体"/>
          <w:color w:val="auto"/>
          <w:sz w:val="24"/>
          <w:highlight w:val="none"/>
        </w:rPr>
        <w:t>1</w:t>
      </w:r>
    </w:p>
    <w:p>
      <w:pPr>
        <w:pStyle w:val="31"/>
        <w:tabs>
          <w:tab w:val="right" w:leader="dot" w:pos="8296"/>
        </w:tabs>
        <w:spacing w:line="440" w:lineRule="exact"/>
        <w:ind w:firstLine="402"/>
        <w:rPr>
          <w:rFonts w:ascii="宋体" w:hAnsi="宋体"/>
          <w:color w:val="auto"/>
          <w:sz w:val="24"/>
          <w:highlight w:val="none"/>
        </w:rPr>
      </w:pPr>
      <w:r>
        <w:rPr>
          <w:color w:val="auto"/>
          <w:highlight w:val="none"/>
        </w:rPr>
        <w:fldChar w:fldCharType="begin"/>
      </w:r>
      <w:r>
        <w:rPr>
          <w:color w:val="auto"/>
          <w:highlight w:val="none"/>
        </w:rPr>
        <w:instrText xml:space="preserve"> HYPERLINK \l "_Toc58430332" </w:instrText>
      </w:r>
      <w:r>
        <w:rPr>
          <w:color w:val="auto"/>
          <w:highlight w:val="none"/>
        </w:rPr>
        <w:fldChar w:fldCharType="separate"/>
      </w:r>
      <w:r>
        <w:rPr>
          <w:rStyle w:val="61"/>
          <w:rFonts w:hint="eastAsia" w:ascii="宋体" w:hAnsi="宋体"/>
          <w:color w:val="auto"/>
          <w:sz w:val="24"/>
          <w:highlight w:val="none"/>
        </w:rPr>
        <w:t>第六章</w:t>
      </w:r>
      <w:r>
        <w:rPr>
          <w:rStyle w:val="61"/>
          <w:rFonts w:ascii="宋体" w:hAnsi="宋体"/>
          <w:color w:val="auto"/>
          <w:sz w:val="24"/>
          <w:highlight w:val="none"/>
        </w:rPr>
        <w:t xml:space="preserve"> </w:t>
      </w:r>
      <w:r>
        <w:rPr>
          <w:rStyle w:val="61"/>
          <w:rFonts w:hint="eastAsia" w:ascii="宋体" w:hAnsi="宋体"/>
          <w:color w:val="auto"/>
          <w:sz w:val="24"/>
          <w:highlight w:val="none"/>
        </w:rPr>
        <w:t>投标文件格式</w:t>
      </w:r>
      <w:r>
        <w:rPr>
          <w:rFonts w:ascii="宋体" w:hAnsi="宋体"/>
          <w:color w:val="auto"/>
          <w:sz w:val="24"/>
          <w:highlight w:val="none"/>
        </w:rPr>
        <w:tab/>
      </w:r>
      <w:r>
        <w:rPr>
          <w:rFonts w:hint="eastAsia" w:ascii="宋体" w:hAnsi="宋体"/>
          <w:color w:val="auto"/>
          <w:sz w:val="24"/>
          <w:highlight w:val="none"/>
        </w:rPr>
        <w:t>2</w:t>
      </w:r>
      <w:r>
        <w:rPr>
          <w:rFonts w:hint="eastAsia" w:ascii="宋体" w:hAnsi="宋体"/>
          <w:color w:val="auto"/>
          <w:sz w:val="24"/>
          <w:highlight w:val="none"/>
        </w:rPr>
        <w:fldChar w:fldCharType="end"/>
      </w:r>
      <w:r>
        <w:rPr>
          <w:rFonts w:hint="eastAsia" w:ascii="宋体" w:hAnsi="宋体"/>
          <w:color w:val="auto"/>
          <w:sz w:val="24"/>
          <w:highlight w:val="none"/>
        </w:rPr>
        <w:t>8</w:t>
      </w:r>
    </w:p>
    <w:p>
      <w:pPr>
        <w:pStyle w:val="31"/>
        <w:tabs>
          <w:tab w:val="right" w:leader="dot" w:pos="8296"/>
        </w:tabs>
        <w:spacing w:line="440" w:lineRule="exact"/>
        <w:ind w:firstLine="482"/>
        <w:rPr>
          <w:rStyle w:val="61"/>
          <w:rFonts w:ascii="宋体" w:hAnsi="宋体"/>
          <w:color w:val="auto"/>
          <w:sz w:val="24"/>
          <w:highlight w:val="none"/>
        </w:rPr>
      </w:pPr>
      <w:r>
        <w:rPr>
          <w:rStyle w:val="61"/>
          <w:rFonts w:hint="eastAsia" w:hAnsi="宋体"/>
          <w:color w:val="auto"/>
          <w:sz w:val="24"/>
          <w:highlight w:val="none"/>
        </w:rPr>
        <w:t>第七章 采购人、采购代理机构对本招标文件的确认</w:t>
      </w:r>
      <w:r>
        <w:rPr>
          <w:rFonts w:ascii="宋体" w:hAnsi="宋体"/>
          <w:color w:val="auto"/>
          <w:sz w:val="24"/>
          <w:highlight w:val="none"/>
        </w:rPr>
        <w:tab/>
      </w:r>
      <w:r>
        <w:rPr>
          <w:rStyle w:val="61"/>
          <w:rFonts w:hint="eastAsia" w:hAnsi="宋体"/>
          <w:color w:val="auto"/>
          <w:sz w:val="24"/>
          <w:highlight w:val="none"/>
        </w:rPr>
        <w:t>40</w:t>
      </w:r>
    </w:p>
    <w:p>
      <w:pPr>
        <w:rPr>
          <w:rFonts w:ascii="宋体" w:hAnsi="宋体" w:cs="宋体"/>
          <w:bCs/>
          <w:color w:val="auto"/>
          <w:spacing w:val="20"/>
          <w:sz w:val="24"/>
          <w:highlight w:val="none"/>
        </w:rPr>
      </w:pPr>
      <w:r>
        <w:rPr>
          <w:rFonts w:hint="eastAsia" w:ascii="宋体" w:hAnsi="宋体" w:cs="宋体"/>
          <w:color w:val="auto"/>
          <w:sz w:val="24"/>
          <w:highlight w:val="none"/>
        </w:rPr>
        <w:fldChar w:fldCharType="end"/>
      </w:r>
    </w:p>
    <w:p>
      <w:pPr>
        <w:rPr>
          <w:rFonts w:ascii="宋体" w:hAnsi="宋体" w:cs="宋体"/>
          <w:bCs/>
          <w:color w:val="auto"/>
          <w:sz w:val="24"/>
          <w:highlight w:val="none"/>
        </w:rPr>
      </w:pPr>
    </w:p>
    <w:p>
      <w:pPr>
        <w:rPr>
          <w:rFonts w:ascii="宋体" w:hAnsi="宋体" w:cs="宋体"/>
          <w:bCs/>
          <w:color w:val="auto"/>
          <w:sz w:val="24"/>
          <w:highlight w:val="none"/>
        </w:rPr>
      </w:pPr>
    </w:p>
    <w:p>
      <w:pPr>
        <w:pStyle w:val="31"/>
        <w:tabs>
          <w:tab w:val="right" w:leader="dot" w:pos="9071"/>
        </w:tabs>
        <w:spacing w:line="360" w:lineRule="auto"/>
        <w:ind w:firstLine="400"/>
        <w:rPr>
          <w:rFonts w:ascii="宋体" w:hAnsi="宋体" w:cs="宋体"/>
          <w:b w:val="0"/>
          <w:color w:val="auto"/>
          <w:szCs w:val="24"/>
          <w:highlight w:val="none"/>
        </w:rPr>
      </w:pPr>
    </w:p>
    <w:p>
      <w:pPr>
        <w:rPr>
          <w:rFonts w:ascii="宋体" w:hAnsi="宋体" w:cs="宋体"/>
          <w:bCs/>
          <w:color w:val="auto"/>
          <w:sz w:val="24"/>
          <w:highlight w:val="none"/>
        </w:rPr>
      </w:pPr>
    </w:p>
    <w:p>
      <w:pPr>
        <w:spacing w:before="156" w:beforeLines="50" w:after="156" w:afterLines="50"/>
        <w:ind w:firstLine="562"/>
        <w:jc w:val="center"/>
        <w:rPr>
          <w:rFonts w:ascii="宋体" w:hAnsi="宋体" w:cs="宋体"/>
          <w:b/>
          <w:color w:val="auto"/>
          <w:sz w:val="32"/>
          <w:szCs w:val="32"/>
          <w:highlight w:val="none"/>
        </w:rPr>
        <w:sectPr>
          <w:footerReference r:id="rId5" w:type="first"/>
          <w:headerReference r:id="rId3" w:type="default"/>
          <w:footerReference r:id="rId4" w:type="default"/>
          <w:pgSz w:w="11907" w:h="16840"/>
          <w:pgMar w:top="1440" w:right="1080" w:bottom="1440" w:left="1080" w:header="680" w:footer="680" w:gutter="0"/>
          <w:cols w:space="720" w:num="1"/>
          <w:titlePg/>
          <w:docGrid w:type="lines" w:linePitch="312" w:charSpace="0"/>
        </w:sectPr>
      </w:pPr>
      <w:bookmarkStart w:id="4" w:name="_Toc20534"/>
      <w:r>
        <w:rPr>
          <w:rFonts w:hint="eastAsia" w:ascii="宋体"/>
          <w:b/>
          <w:color w:val="auto"/>
          <w:sz w:val="28"/>
          <w:szCs w:val="28"/>
          <w:highlight w:val="none"/>
        </w:rPr>
        <w:br w:type="page"/>
      </w:r>
    </w:p>
    <w:p>
      <w:pPr>
        <w:spacing w:before="156" w:beforeLines="50" w:after="156" w:afterLines="50" w:line="560" w:lineRule="exact"/>
        <w:jc w:val="center"/>
        <w:outlineLvl w:val="0"/>
        <w:rPr>
          <w:rFonts w:ascii="宋体" w:hAnsi="宋体" w:cs="宋体"/>
          <w:color w:val="auto"/>
          <w:sz w:val="32"/>
          <w:szCs w:val="32"/>
          <w:highlight w:val="none"/>
        </w:rPr>
      </w:pPr>
      <w:bookmarkStart w:id="5" w:name="_Toc58430304"/>
      <w:bookmarkStart w:id="6" w:name="_Toc16307"/>
      <w:bookmarkStart w:id="7" w:name="_Toc32457"/>
      <w:r>
        <w:rPr>
          <w:rFonts w:hint="eastAsia" w:ascii="宋体" w:hAnsi="宋体" w:cs="宋体"/>
          <w:b/>
          <w:bCs/>
          <w:color w:val="auto"/>
          <w:kern w:val="44"/>
          <w:sz w:val="32"/>
          <w:szCs w:val="32"/>
          <w:highlight w:val="none"/>
        </w:rPr>
        <w:t>第一章</w:t>
      </w:r>
      <w:r>
        <w:rPr>
          <w:rFonts w:hint="eastAsia" w:ascii="宋体" w:hAnsi="宋体" w:cs="宋体"/>
          <w:b/>
          <w:color w:val="auto"/>
          <w:sz w:val="32"/>
          <w:szCs w:val="32"/>
          <w:highlight w:val="none"/>
        </w:rPr>
        <w:t xml:space="preserve">  </w:t>
      </w:r>
      <w:r>
        <w:rPr>
          <w:rFonts w:hint="eastAsia" w:ascii="宋体" w:hAnsi="宋体" w:cs="宋体"/>
          <w:b/>
          <w:bCs/>
          <w:color w:val="auto"/>
          <w:kern w:val="44"/>
          <w:sz w:val="32"/>
          <w:szCs w:val="32"/>
          <w:highlight w:val="none"/>
        </w:rPr>
        <w:t>滁州市第二人民医院精神病院区智能化工程第三方检测项目招标公告</w:t>
      </w:r>
      <w:bookmarkEnd w:id="5"/>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color w:val="auto"/>
          <w:sz w:val="24"/>
          <w:highlight w:val="none"/>
        </w:rPr>
      </w:pPr>
      <w:bookmarkStart w:id="8" w:name="_Toc35393621"/>
      <w:bookmarkStart w:id="9" w:name="_Toc35393790"/>
      <w:bookmarkStart w:id="10" w:name="_Toc28359002"/>
      <w:bookmarkStart w:id="11" w:name="_Toc28359079"/>
      <w:bookmarkStart w:id="12" w:name="_Toc58430305"/>
      <w:bookmarkStart w:id="13" w:name="_Hlk24379207"/>
      <w:r>
        <w:rPr>
          <w:rFonts w:hint="eastAsia" w:ascii="宋体" w:hAnsi="宋体" w:cs="宋体"/>
          <w:b/>
          <w:bCs/>
          <w:color w:val="auto"/>
          <w:sz w:val="24"/>
          <w:highlight w:val="none"/>
        </w:rPr>
        <w:t>一、项目基本情况</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项目名称：滁州市第二人民医院精神病院区智能化工程第三方检测项目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CZEY-2024030</w:t>
      </w:r>
    </w:p>
    <w:bookmarkEnd w:id="13"/>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预算金额：10万元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最高限价：10万元，投标人报价高于此限价的，其投标文件按无效标处理（小于等于此报价的为有效报价）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采购需求：本项目主要涉及精神病区智能化工程第三方检测服务项目所有建设内容的施工质量、设备安装质量、网络质量及性能、设备传输质量、数据质量、平台功能性能等，委托第三方检测机构开展检测工作。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按照国家标准要求，对本项目涉及的各子系统及设备参数进行测试，具体检测内容如下：综合布线系统、计算机网络及无线网络覆盖系统、视频监控系统、入侵报警系统、一卡通管理系统、楼宇自控系统、公共广播系统、多媒体会议系统、信息发布系统、机房工程、能耗计量系统、排队叫号系统、智能照明系统、电子巡更系统、物联网建设、后勤管理系统等系统，本次检测该系统所涉及设备、成品软件、软件平台等相关功能、网络链路、数据传输准确性、接口对接、前后端设备及系统功能运行情况、系统运行稳定性和可靠性、软件平台安全性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对于测试验收中发现的问题应及时与建设单位沟通，能现场整改的应要求施工方随进度整改；不能现场整改的要向建设单位提交说明材料，并协助建设单位确定整改期限。整改完成后需要进行复测复验的，不再收取任何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服务期限： 合同签订后30日历天内完成合同约定的服务内容并出具成果报告。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color w:val="auto"/>
          <w:sz w:val="24"/>
          <w:highlight w:val="none"/>
        </w:rPr>
      </w:pPr>
      <w:bookmarkStart w:id="14" w:name="_Toc35393622"/>
      <w:bookmarkStart w:id="15" w:name="_Toc28359080"/>
      <w:bookmarkStart w:id="16" w:name="_Toc28359003"/>
      <w:bookmarkStart w:id="17" w:name="_Toc35393791"/>
      <w:bookmarkStart w:id="18" w:name="_Toc58430306"/>
      <w:r>
        <w:rPr>
          <w:rFonts w:hint="eastAsia" w:ascii="宋体" w:hAnsi="宋体" w:cs="宋体"/>
          <w:b/>
          <w:bCs/>
          <w:color w:val="auto"/>
          <w:sz w:val="24"/>
          <w:highlight w:val="none"/>
        </w:rPr>
        <w:t>二、申请人的资格要求</w:t>
      </w:r>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bookmarkStart w:id="19" w:name="_Toc28359004"/>
      <w:bookmarkStart w:id="20" w:name="_Toc28359081"/>
      <w:r>
        <w:rPr>
          <w:rFonts w:hint="eastAsia" w:ascii="宋体" w:hAnsi="宋体" w:cs="宋体"/>
          <w:color w:val="auto"/>
          <w:sz w:val="24"/>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u w:val="single"/>
        </w:rPr>
        <w:t>①具有有效的营业执照；②供应商应具有中国合格评定国家认可委员会颁发的检验机构认可证书（CNAS）或检验检测机构资质认定证书（CMA）</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4.信誉要求：投标人不得存在以下情形：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①投标人被人民法院列入失信被执行人的；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②投标人或其法定代表人或拟派项目负责人前三年有行贿犯罪行为的；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③投标人被市场监督管理部门列入经营异常名录或者严重违法企业名单的；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④投标人被税务部门列入重大税收违法案件当事人的；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⑤在“信用中国”网站上披露仍在公示期的严</w:t>
      </w:r>
      <w:bookmarkStart w:id="714" w:name="_GoBack"/>
      <w:bookmarkEnd w:id="714"/>
      <w:r>
        <w:rPr>
          <w:rFonts w:hint="eastAsia" w:ascii="宋体" w:hAnsi="宋体" w:cs="宋体"/>
          <w:color w:val="auto"/>
          <w:sz w:val="24"/>
          <w:highlight w:val="none"/>
        </w:rPr>
        <w:t>重失信行为的。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5.投标人所属分公司、办事处等分支机构存在第4款信誉要求①-⑤项情形之一的，接受投标人参加本项目。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备注：第3、4条自行查询或承诺。</w:t>
      </w:r>
    </w:p>
    <w:bookmarkEnd w:id="19"/>
    <w:bookmarkEnd w:id="20"/>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color w:val="auto"/>
          <w:sz w:val="24"/>
          <w:highlight w:val="none"/>
        </w:rPr>
      </w:pPr>
      <w:bookmarkStart w:id="21" w:name="_Toc35393625"/>
      <w:bookmarkStart w:id="22" w:name="_Toc28359007"/>
      <w:bookmarkStart w:id="23" w:name="_Toc35393794"/>
      <w:bookmarkStart w:id="24" w:name="_Toc28359084"/>
      <w:bookmarkStart w:id="25" w:name="_Toc58430309"/>
      <w:r>
        <w:rPr>
          <w:rFonts w:hint="eastAsia" w:ascii="宋体" w:hAnsi="宋体" w:cs="宋体"/>
          <w:b/>
          <w:bCs/>
          <w:color w:val="auto"/>
          <w:sz w:val="24"/>
          <w:highlight w:val="none"/>
        </w:rPr>
        <w:t>三、招标公告发布时间及文件领取方式：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发布时间：2024年6月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日12时后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领取方式：滁州市第二人民医院官网，自行下载</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color w:val="auto"/>
          <w:sz w:val="24"/>
          <w:highlight w:val="none"/>
        </w:rPr>
      </w:pPr>
      <w:bookmarkStart w:id="26" w:name="_Toc28359005"/>
      <w:bookmarkStart w:id="27" w:name="_Toc28359082"/>
      <w:bookmarkStart w:id="28" w:name="_Toc35393793"/>
      <w:bookmarkStart w:id="29" w:name="_Toc35393624"/>
      <w:bookmarkStart w:id="30" w:name="_Toc58430308"/>
      <w:r>
        <w:rPr>
          <w:rFonts w:hint="eastAsia" w:ascii="宋体" w:hAnsi="宋体" w:cs="宋体"/>
          <w:b/>
          <w:bCs/>
          <w:color w:val="auto"/>
          <w:sz w:val="24"/>
          <w:highlight w:val="none"/>
        </w:rPr>
        <w:t>四、投标文件递交</w:t>
      </w:r>
      <w:bookmarkEnd w:id="26"/>
      <w:bookmarkEnd w:id="27"/>
      <w:r>
        <w:rPr>
          <w:rFonts w:hint="eastAsia" w:ascii="宋体" w:hAnsi="宋体" w:cs="宋体"/>
          <w:b/>
          <w:bCs/>
          <w:color w:val="auto"/>
          <w:sz w:val="24"/>
          <w:highlight w:val="none"/>
        </w:rPr>
        <w:t>截止时间、开标时间和地点</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2024年</w:t>
      </w: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月</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日11时30分前(北京时间)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注：各投标人可以采用直接送达或邮寄的方式，递交时间以直接送达或快递送达的时间为准，逾期不予接收。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地点：滁州市第二人民医院西区至善楼三楼第三会议室</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六、投标保证金金额及缴纳账户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bookmarkStart w:id="31" w:name="_Toc58430312"/>
      <w:r>
        <w:rPr>
          <w:rFonts w:hint="eastAsia" w:ascii="宋体" w:hAnsi="宋体" w:cs="宋体"/>
          <w:color w:val="auto"/>
          <w:sz w:val="24"/>
          <w:highlight w:val="none"/>
        </w:rPr>
        <w:t>不要求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31"/>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    称：滁州市第二人民医院（市传染病医院、市精神病医院）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    址：滁州市清流中路1401号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联系方式：</w:t>
      </w:r>
      <w:bookmarkStart w:id="32" w:name="_Toc28359009"/>
      <w:bookmarkStart w:id="33" w:name="_Toc28359086"/>
      <w:r>
        <w:rPr>
          <w:rFonts w:hint="eastAsia" w:ascii="宋体" w:hAnsi="宋体" w:cs="宋体"/>
          <w:color w:val="auto"/>
          <w:sz w:val="24"/>
          <w:highlight w:val="none"/>
        </w:rPr>
        <w:t xml:space="preserve">招标办0550-3523822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bookmarkEnd w:id="32"/>
      <w:bookmarkEnd w:id="3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    称：江苏川页工程项目管理有限公司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  　址：滁州市世贸大厦A座18楼1818室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联系方式：</w:t>
      </w:r>
      <w:bookmarkStart w:id="34" w:name="_Toc28359087"/>
      <w:bookmarkStart w:id="35" w:name="_Toc28359010"/>
      <w:r>
        <w:rPr>
          <w:rFonts w:hint="eastAsia" w:ascii="宋体" w:hAnsi="宋体" w:cs="宋体"/>
          <w:color w:val="auto"/>
          <w:sz w:val="24"/>
          <w:highlight w:val="none"/>
        </w:rPr>
        <w:t>赵建飞18755018236</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3.项目联系方式</w:t>
      </w:r>
      <w:bookmarkEnd w:id="34"/>
      <w:bookmarkEnd w:id="3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项目联系人：招标办、赵建飞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电　  话：0550-3523822 、18755018236</w:t>
      </w:r>
    </w:p>
    <w:p>
      <w:pPr>
        <w:spacing w:line="440" w:lineRule="exact"/>
        <w:ind w:firstLine="480" w:firstLineChars="200"/>
        <w:rPr>
          <w:rFonts w:ascii="宋体" w:hAnsi="宋体" w:cs="宋体"/>
          <w:color w:val="auto"/>
          <w:sz w:val="24"/>
          <w:highlight w:val="none"/>
        </w:rPr>
      </w:pPr>
    </w:p>
    <w:p>
      <w:pPr>
        <w:spacing w:before="156" w:beforeLines="50" w:after="156" w:afterLines="50"/>
        <w:jc w:val="center"/>
        <w:outlineLvl w:val="0"/>
        <w:rPr>
          <w:rFonts w:ascii="宋体"/>
          <w:b/>
          <w:color w:val="auto"/>
          <w:sz w:val="32"/>
          <w:szCs w:val="32"/>
          <w:highlight w:val="none"/>
        </w:rPr>
      </w:pPr>
      <w:bookmarkStart w:id="36" w:name="_Toc58430313"/>
      <w:r>
        <w:rPr>
          <w:rFonts w:hint="eastAsia" w:ascii="宋体"/>
          <w:b/>
          <w:color w:val="auto"/>
          <w:sz w:val="32"/>
          <w:szCs w:val="32"/>
          <w:highlight w:val="none"/>
        </w:rPr>
        <w:t>第二章 投标人须知</w:t>
      </w:r>
      <w:bookmarkEnd w:id="36"/>
    </w:p>
    <w:p>
      <w:pPr>
        <w:snapToGrid w:val="0"/>
        <w:spacing w:line="500" w:lineRule="exact"/>
        <w:jc w:val="center"/>
        <w:outlineLvl w:val="1"/>
        <w:rPr>
          <w:rFonts w:ascii="宋体"/>
          <w:b/>
          <w:color w:val="auto"/>
          <w:sz w:val="28"/>
          <w:szCs w:val="28"/>
          <w:highlight w:val="none"/>
        </w:rPr>
      </w:pPr>
      <w:bookmarkStart w:id="37" w:name="_Toc449028865"/>
      <w:bookmarkStart w:id="38" w:name="_Toc58430314"/>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37"/>
      <w:bookmarkEnd w:id="38"/>
    </w:p>
    <w:tbl>
      <w:tblPr>
        <w:tblStyle w:val="50"/>
        <w:tblW w:w="1019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70"/>
        <w:gridCol w:w="2400"/>
        <w:gridCol w:w="712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jc w:val="center"/>
        </w:trPr>
        <w:tc>
          <w:tcPr>
            <w:tcW w:w="670" w:type="dxa"/>
            <w:vAlign w:val="center"/>
          </w:tcPr>
          <w:p>
            <w:pPr>
              <w:pStyle w:val="23"/>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firstLine="482"/>
              <w:jc w:val="left"/>
              <w:textAlignment w:val="auto"/>
              <w:rPr>
                <w:rFonts w:ascii="宋体" w:hAnsi="宋体" w:cs="宋体"/>
                <w:b/>
                <w:color w:val="auto"/>
                <w:szCs w:val="21"/>
                <w:highlight w:val="none"/>
              </w:rPr>
            </w:pPr>
            <w:r>
              <w:rPr>
                <w:rFonts w:hint="eastAsia" w:ascii="宋体" w:hAnsi="宋体" w:cs="宋体"/>
                <w:b/>
                <w:color w:val="auto"/>
                <w:szCs w:val="21"/>
                <w:highlight w:val="none"/>
              </w:rPr>
              <w:t>内容</w:t>
            </w:r>
          </w:p>
        </w:tc>
        <w:tc>
          <w:tcPr>
            <w:tcW w:w="7127" w:type="dxa"/>
            <w:vAlign w:val="center"/>
          </w:tcPr>
          <w:p>
            <w:pPr>
              <w:pStyle w:val="23"/>
              <w:spacing w:line="360" w:lineRule="exact"/>
              <w:ind w:firstLine="482"/>
              <w:jc w:val="center"/>
              <w:rPr>
                <w:rFonts w:ascii="宋体" w:hAnsi="宋体" w:cs="宋体"/>
                <w:b/>
                <w:color w:val="auto"/>
                <w:szCs w:val="21"/>
                <w:highlight w:val="none"/>
              </w:rPr>
            </w:pPr>
            <w:r>
              <w:rPr>
                <w:rFonts w:hint="eastAsia" w:ascii="宋体" w:hAnsi="宋体" w:cs="宋体"/>
                <w:b/>
                <w:color w:val="auto"/>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项目名称</w:t>
            </w:r>
          </w:p>
        </w:tc>
        <w:tc>
          <w:tcPr>
            <w:tcW w:w="7127" w:type="dxa"/>
            <w:vAlign w:val="center"/>
          </w:tcPr>
          <w:p>
            <w:pPr>
              <w:pStyle w:val="23"/>
              <w:spacing w:line="360" w:lineRule="exact"/>
              <w:rPr>
                <w:rFonts w:ascii="宋体" w:hAnsi="宋体" w:cs="宋体"/>
                <w:color w:val="auto"/>
                <w:szCs w:val="21"/>
                <w:highlight w:val="none"/>
              </w:rPr>
            </w:pPr>
            <w:r>
              <w:rPr>
                <w:rFonts w:hint="eastAsia" w:ascii="宋体" w:hAnsi="宋体" w:cs="宋体"/>
                <w:color w:val="auto"/>
                <w:szCs w:val="21"/>
                <w:highlight w:val="none"/>
              </w:rPr>
              <w:t>滁州市第二人民医院精神病院区智能化工程第三方检测项目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b/>
                <w:bCs/>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b/>
                <w:bCs/>
                <w:color w:val="auto"/>
                <w:szCs w:val="21"/>
                <w:highlight w:val="none"/>
              </w:rPr>
            </w:pPr>
            <w:r>
              <w:rPr>
                <w:rFonts w:hint="eastAsia" w:ascii="宋体" w:hAnsi="宋体" w:cs="宋体"/>
                <w:b/>
                <w:bCs/>
                <w:color w:val="auto"/>
                <w:szCs w:val="21"/>
                <w:highlight w:val="none"/>
              </w:rPr>
              <w:t>服务期</w:t>
            </w:r>
          </w:p>
        </w:tc>
        <w:tc>
          <w:tcPr>
            <w:tcW w:w="7127" w:type="dxa"/>
            <w:vAlign w:val="center"/>
          </w:tcPr>
          <w:p>
            <w:pPr>
              <w:pStyle w:val="23"/>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合同签订后30日历天内完成合同约定的服务内容并出具成果报告。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服务地点</w:t>
            </w:r>
          </w:p>
        </w:tc>
        <w:tc>
          <w:tcPr>
            <w:tcW w:w="7127" w:type="dxa"/>
            <w:vAlign w:val="center"/>
          </w:tcPr>
          <w:p>
            <w:pPr>
              <w:pStyle w:val="23"/>
              <w:spacing w:line="360" w:lineRule="exact"/>
              <w:rPr>
                <w:rFonts w:ascii="宋体" w:hAnsi="宋体" w:cs="宋体"/>
                <w:color w:val="auto"/>
                <w:szCs w:val="21"/>
                <w:highlight w:val="none"/>
              </w:rPr>
            </w:pPr>
            <w:r>
              <w:rPr>
                <w:rFonts w:hint="eastAsia" w:ascii="宋体" w:hAnsi="宋体" w:cs="宋体"/>
                <w:color w:val="auto"/>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采购人联系人及电话</w:t>
            </w:r>
          </w:p>
        </w:tc>
        <w:tc>
          <w:tcPr>
            <w:tcW w:w="7127" w:type="dxa"/>
            <w:vAlign w:val="center"/>
          </w:tcPr>
          <w:p>
            <w:pPr>
              <w:pStyle w:val="23"/>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招标办 0550-3523822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采购代理机构联系人及电话</w:t>
            </w:r>
          </w:p>
        </w:tc>
        <w:tc>
          <w:tcPr>
            <w:tcW w:w="7127" w:type="dxa"/>
            <w:vAlign w:val="center"/>
          </w:tcPr>
          <w:p>
            <w:pPr>
              <w:pStyle w:val="23"/>
              <w:spacing w:line="360" w:lineRule="exact"/>
              <w:rPr>
                <w:rFonts w:ascii="宋体" w:hAnsi="宋体" w:cs="宋体"/>
                <w:color w:val="auto"/>
                <w:szCs w:val="21"/>
                <w:highlight w:val="none"/>
              </w:rPr>
            </w:pPr>
            <w:r>
              <w:rPr>
                <w:rFonts w:hint="eastAsia" w:ascii="宋体" w:hAnsi="宋体" w:cs="宋体"/>
                <w:color w:val="auto"/>
                <w:szCs w:val="21"/>
                <w:highlight w:val="none"/>
              </w:rPr>
              <w:t>赵建飞 18755018236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资金来源</w:t>
            </w:r>
          </w:p>
        </w:tc>
        <w:tc>
          <w:tcPr>
            <w:tcW w:w="7127" w:type="dxa"/>
            <w:vAlign w:val="center"/>
          </w:tcPr>
          <w:p>
            <w:pPr>
              <w:pStyle w:val="23"/>
              <w:spacing w:line="360" w:lineRule="exact"/>
              <w:rPr>
                <w:rFonts w:ascii="宋体" w:hAnsi="宋体" w:cs="宋体"/>
                <w:color w:val="auto"/>
                <w:szCs w:val="21"/>
                <w:highlight w:val="none"/>
              </w:rPr>
            </w:pPr>
            <w:r>
              <w:rPr>
                <w:rFonts w:hint="eastAsia" w:ascii="宋体" w:hAnsi="宋体" w:cs="宋体"/>
                <w:color w:val="auto"/>
                <w:szCs w:val="21"/>
                <w:highlight w:val="none"/>
              </w:rPr>
              <w:t>财政资金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采购预算</w:t>
            </w:r>
          </w:p>
        </w:tc>
        <w:tc>
          <w:tcPr>
            <w:tcW w:w="7127" w:type="dxa"/>
            <w:vAlign w:val="center"/>
          </w:tcPr>
          <w:p>
            <w:pPr>
              <w:pStyle w:val="23"/>
              <w:spacing w:line="360" w:lineRule="exact"/>
              <w:rPr>
                <w:rFonts w:ascii="宋体" w:hAnsi="宋体" w:cs="宋体"/>
                <w:color w:val="auto"/>
                <w:szCs w:val="21"/>
                <w:highlight w:val="none"/>
              </w:rPr>
            </w:pPr>
            <w:r>
              <w:rPr>
                <w:rFonts w:hint="eastAsia" w:ascii="宋体" w:hAnsi="宋体" w:cs="宋体"/>
                <w:b/>
                <w:color w:val="auto"/>
                <w:kern w:val="0"/>
                <w:szCs w:val="21"/>
                <w:highlight w:val="none"/>
              </w:rPr>
              <w:t>10万元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b/>
                <w:bCs/>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b/>
                <w:bCs/>
                <w:color w:val="auto"/>
                <w:szCs w:val="21"/>
                <w:highlight w:val="none"/>
              </w:rPr>
            </w:pPr>
            <w:r>
              <w:rPr>
                <w:rFonts w:hint="eastAsia" w:ascii="宋体" w:hAnsi="宋体" w:cs="宋体"/>
                <w:b/>
                <w:bCs/>
                <w:color w:val="auto"/>
                <w:szCs w:val="21"/>
                <w:highlight w:val="none"/>
              </w:rPr>
              <w:t>最高限价</w:t>
            </w:r>
          </w:p>
        </w:tc>
        <w:tc>
          <w:tcPr>
            <w:tcW w:w="7127" w:type="dxa"/>
            <w:vAlign w:val="center"/>
          </w:tcPr>
          <w:p>
            <w:pPr>
              <w:pStyle w:val="49"/>
              <w:spacing w:after="0" w:line="360" w:lineRule="exact"/>
              <w:ind w:left="0" w:leftChars="0" w:firstLine="0" w:firstLineChars="0"/>
              <w:rPr>
                <w:rFonts w:ascii="宋体" w:hAnsi="宋体" w:cs="宋体"/>
                <w:b/>
                <w:bCs/>
                <w:color w:val="auto"/>
                <w:kern w:val="0"/>
                <w:szCs w:val="21"/>
                <w:highlight w:val="none"/>
              </w:rPr>
            </w:pPr>
            <w:r>
              <w:rPr>
                <w:rFonts w:hint="eastAsia" w:ascii="宋体" w:hAnsi="宋体" w:cs="宋体"/>
                <w:b/>
                <w:bCs/>
                <w:color w:val="auto"/>
                <w:kern w:val="0"/>
                <w:szCs w:val="21"/>
                <w:highlight w:val="none"/>
              </w:rPr>
              <w:t>10万元，各单位投标总报价不得高于最高限价，否则其投标文件按无效标处理。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采购内容</w:t>
            </w:r>
          </w:p>
        </w:tc>
        <w:tc>
          <w:tcPr>
            <w:tcW w:w="7127" w:type="dxa"/>
            <w:vAlign w:val="center"/>
          </w:tcPr>
          <w:p>
            <w:pPr>
              <w:pStyle w:val="23"/>
              <w:spacing w:line="360" w:lineRule="exact"/>
              <w:rPr>
                <w:rFonts w:hint="eastAsia" w:ascii="宋体" w:hAnsi="宋体" w:cs="宋体"/>
                <w:color w:val="auto"/>
                <w:szCs w:val="21"/>
                <w:highlight w:val="none"/>
                <w:lang w:eastAsia="zh-CN"/>
              </w:rPr>
            </w:pPr>
            <w:r>
              <w:rPr>
                <w:rFonts w:hint="eastAsia" w:ascii="宋体" w:hAnsi="宋体" w:cs="宋体"/>
                <w:color w:val="auto"/>
                <w:szCs w:val="21"/>
                <w:highlight w:val="none"/>
              </w:rPr>
              <w:t>综合布线系统、计算机网络及无线网络覆盖系统、视频监控系统、入侵报警系统、一卡通管理系统、楼宇自控系统、公共广播系统、多媒体会议系统、信息发布系统、机房工程、能耗计量系统、排队叫号系统、智能照明系统、电子巡更系统、物联网建设、后勤管理系统等系统，本次检测该系统所涉及设备、成品软件、软件平台等相关功能、网络链路、数据传输准确性、接口对接、前后端设备及系统功能运行情况、系统运行稳定性和可靠性、软件平台安全性等</w:t>
            </w:r>
            <w:r>
              <w:rPr>
                <w:rFonts w:hint="eastAsia" w:ascii="宋体" w:hAnsi="宋体" w:cs="宋体"/>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标包划分</w:t>
            </w:r>
          </w:p>
        </w:tc>
        <w:tc>
          <w:tcPr>
            <w:tcW w:w="7127" w:type="dxa"/>
            <w:vAlign w:val="center"/>
          </w:tcPr>
          <w:p>
            <w:pPr>
              <w:pStyle w:val="23"/>
              <w:spacing w:line="360" w:lineRule="exact"/>
              <w:rPr>
                <w:rFonts w:ascii="宋体" w:hAnsi="宋体" w:cs="宋体"/>
                <w:color w:val="auto"/>
                <w:szCs w:val="21"/>
                <w:highlight w:val="none"/>
              </w:rPr>
            </w:pPr>
            <w:r>
              <w:rPr>
                <w:rFonts w:hint="eastAsia" w:ascii="宋体" w:hAnsi="宋体" w:cs="宋体"/>
                <w:color w:val="auto"/>
                <w:szCs w:val="21"/>
                <w:highlight w:val="none"/>
              </w:rPr>
              <w:t>本项目划分为</w:t>
            </w:r>
            <w:r>
              <w:rPr>
                <w:rFonts w:hint="eastAsia" w:ascii="宋体" w:hAnsi="宋体" w:cs="宋体"/>
                <w:color w:val="auto"/>
                <w:szCs w:val="21"/>
                <w:highlight w:val="none"/>
                <w:u w:val="single"/>
              </w:rPr>
              <w:t>壹</w:t>
            </w:r>
            <w:r>
              <w:rPr>
                <w:rFonts w:hint="eastAsia" w:ascii="宋体" w:hAnsi="宋体" w:cs="宋体"/>
                <w:color w:val="auto"/>
                <w:szCs w:val="21"/>
                <w:highlight w:val="none"/>
              </w:rPr>
              <w:t>个标包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招标方式</w:t>
            </w:r>
          </w:p>
        </w:tc>
        <w:tc>
          <w:tcPr>
            <w:tcW w:w="7127" w:type="dxa"/>
            <w:vAlign w:val="center"/>
          </w:tcPr>
          <w:p>
            <w:pPr>
              <w:pStyle w:val="23"/>
              <w:spacing w:line="360" w:lineRule="exact"/>
              <w:rPr>
                <w:rFonts w:ascii="宋体" w:hAnsi="宋体" w:cs="宋体"/>
                <w:color w:val="auto"/>
                <w:szCs w:val="21"/>
                <w:highlight w:val="none"/>
              </w:rPr>
            </w:pPr>
            <w:r>
              <w:rPr>
                <w:rFonts w:hint="eastAsia" w:ascii="宋体" w:hAnsi="宋体" w:cs="宋体"/>
                <w:color w:val="auto"/>
                <w:szCs w:val="21"/>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投标人资格条件及其他要求</w:t>
            </w:r>
          </w:p>
        </w:tc>
        <w:tc>
          <w:tcPr>
            <w:tcW w:w="7127" w:type="dxa"/>
            <w:vAlign w:val="center"/>
          </w:tcPr>
          <w:p>
            <w:pPr>
              <w:spacing w:line="360" w:lineRule="exact"/>
              <w:jc w:val="left"/>
              <w:rPr>
                <w:rFonts w:ascii="宋体" w:hAnsi="宋体" w:cs="宋体"/>
                <w:color w:val="auto"/>
                <w:szCs w:val="21"/>
                <w:highlight w:val="none"/>
              </w:rPr>
            </w:pPr>
            <w:r>
              <w:rPr>
                <w:rFonts w:hint="eastAsia" w:ascii="宋体" w:hAnsi="宋体" w:cs="宋体"/>
                <w:bCs/>
                <w:color w:val="auto"/>
                <w:szCs w:val="21"/>
                <w:highlight w:val="none"/>
                <w:lang w:bidi="ar"/>
              </w:rPr>
              <w:t>详见招标公告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踏勘现场</w:t>
            </w:r>
          </w:p>
        </w:tc>
        <w:tc>
          <w:tcPr>
            <w:tcW w:w="7127" w:type="dxa"/>
            <w:vAlign w:val="center"/>
          </w:tcPr>
          <w:p>
            <w:pPr>
              <w:pStyle w:val="23"/>
              <w:spacing w:line="360" w:lineRule="exact"/>
              <w:rPr>
                <w:rFonts w:ascii="宋体" w:hAnsi="宋体" w:cs="宋体"/>
                <w:color w:val="auto"/>
                <w:szCs w:val="21"/>
                <w:highlight w:val="none"/>
              </w:rPr>
            </w:pPr>
            <w:r>
              <w:rPr>
                <w:rFonts w:hint="eastAsia" w:ascii="宋体" w:hAnsi="宋体" w:cs="宋体"/>
                <w:color w:val="auto"/>
                <w:szCs w:val="21"/>
                <w:highlight w:val="none"/>
              </w:rPr>
              <w:t>不组织,投标人自行踏勘现场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投标预备会</w:t>
            </w:r>
          </w:p>
        </w:tc>
        <w:tc>
          <w:tcPr>
            <w:tcW w:w="7127" w:type="dxa"/>
            <w:vAlign w:val="center"/>
          </w:tcPr>
          <w:p>
            <w:pPr>
              <w:pStyle w:val="23"/>
              <w:spacing w:line="360" w:lineRule="exact"/>
              <w:rPr>
                <w:rFonts w:ascii="宋体" w:hAnsi="宋体" w:cs="宋体"/>
                <w:color w:val="auto"/>
                <w:szCs w:val="21"/>
                <w:highlight w:val="none"/>
              </w:rPr>
            </w:pPr>
            <w:r>
              <w:rPr>
                <w:rFonts w:hint="eastAsia" w:ascii="宋体" w:hAnsi="宋体" w:cs="宋体"/>
                <w:color w:val="auto"/>
                <w:szCs w:val="21"/>
                <w:highlight w:val="none"/>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投标人提出</w:t>
            </w:r>
            <w:r>
              <w:rPr>
                <w:rFonts w:hint="eastAsia" w:ascii="宋体" w:hAnsi="宋体" w:cs="宋体"/>
                <w:color w:val="auto"/>
                <w:szCs w:val="21"/>
                <w:highlight w:val="none"/>
                <w:u w:val="single"/>
              </w:rPr>
              <w:t>质疑</w:t>
            </w:r>
            <w:r>
              <w:rPr>
                <w:rFonts w:hint="eastAsia" w:ascii="宋体" w:hAnsi="宋体" w:cs="宋体"/>
                <w:color w:val="auto"/>
                <w:szCs w:val="21"/>
                <w:highlight w:val="none"/>
              </w:rPr>
              <w:t>的截止时间及方式</w:t>
            </w:r>
          </w:p>
        </w:tc>
        <w:tc>
          <w:tcPr>
            <w:tcW w:w="7127"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如投标人对招标文件有疑问，请于 2024年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日17时前以邮件的形式发送到招标代理公司邮箱：290407638@qq.com</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采购人澄清的时间及方式</w:t>
            </w:r>
          </w:p>
        </w:tc>
        <w:tc>
          <w:tcPr>
            <w:tcW w:w="7127" w:type="dxa"/>
            <w:vAlign w:val="center"/>
          </w:tcPr>
          <w:p>
            <w:pPr>
              <w:spacing w:line="360" w:lineRule="exact"/>
              <w:rPr>
                <w:rFonts w:ascii="宋体" w:hAnsi="宋体" w:cs="宋体"/>
                <w:color w:val="auto"/>
                <w:szCs w:val="21"/>
                <w:highlight w:val="none"/>
              </w:rPr>
            </w:pPr>
            <w:r>
              <w:rPr>
                <w:rFonts w:hint="eastAsia" w:ascii="宋体" w:hAnsi="宋体" w:cs="宋体"/>
                <w:bCs/>
                <w:color w:val="auto"/>
                <w:szCs w:val="21"/>
                <w:highlight w:val="none"/>
              </w:rPr>
              <w:t>2024年</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日17时</w:t>
            </w:r>
            <w:r>
              <w:rPr>
                <w:rFonts w:hint="eastAsia" w:ascii="宋体" w:hAnsi="宋体" w:cs="宋体"/>
                <w:color w:val="auto"/>
                <w:szCs w:val="21"/>
                <w:highlight w:val="none"/>
              </w:rPr>
              <w:t>前，以澄清公告形式在滁州市第二人民医院官网予以公告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45"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联合体投标</w:t>
            </w:r>
          </w:p>
        </w:tc>
        <w:tc>
          <w:tcPr>
            <w:tcW w:w="7127" w:type="dxa"/>
            <w:vAlign w:val="center"/>
          </w:tcPr>
          <w:p>
            <w:pPr>
              <w:pStyle w:val="23"/>
              <w:spacing w:line="360" w:lineRule="exact"/>
              <w:rPr>
                <w:rFonts w:ascii="宋体" w:hAnsi="宋体" w:cs="宋体"/>
                <w:color w:val="auto"/>
                <w:szCs w:val="21"/>
                <w:highlight w:val="none"/>
              </w:rPr>
            </w:pPr>
            <w:r>
              <w:rPr>
                <w:rFonts w:hint="eastAsia" w:ascii="宋体" w:hAnsi="宋体" w:cs="宋体"/>
                <w:color w:val="auto"/>
                <w:szCs w:val="21"/>
                <w:highlight w:val="none"/>
              </w:rPr>
              <w:t>本次招标☑</w:t>
            </w:r>
            <w:r>
              <w:rPr>
                <w:rFonts w:hint="eastAsia" w:ascii="宋体" w:hAnsi="宋体" w:cs="宋体"/>
                <w:color w:val="auto"/>
                <w:szCs w:val="21"/>
                <w:highlight w:val="none"/>
                <w:u w:val="single"/>
              </w:rPr>
              <w:t>不接受</w:t>
            </w:r>
            <w:r>
              <w:rPr>
                <w:rFonts w:hint="eastAsia" w:ascii="宋体" w:hAnsi="宋体" w:cs="宋体"/>
                <w:color w:val="auto"/>
                <w:szCs w:val="21"/>
                <w:highlight w:val="none"/>
              </w:rPr>
              <w:t>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670" w:type="dxa"/>
            <w:vAlign w:val="center"/>
          </w:tcPr>
          <w:p>
            <w:pPr>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招标代理费</w:t>
            </w:r>
          </w:p>
        </w:tc>
        <w:tc>
          <w:tcPr>
            <w:tcW w:w="7127" w:type="dxa"/>
            <w:vAlign w:val="center"/>
          </w:tcPr>
          <w:p>
            <w:pPr>
              <w:spacing w:line="360" w:lineRule="exact"/>
              <w:jc w:val="left"/>
              <w:rPr>
                <w:rFonts w:ascii="宋体" w:hAnsi="宋体" w:cs="宋体"/>
                <w:color w:val="auto"/>
                <w:kern w:val="0"/>
                <w:szCs w:val="21"/>
                <w:highlight w:val="none"/>
              </w:rPr>
            </w:pPr>
            <w:r>
              <w:rPr>
                <w:rFonts w:hint="eastAsia" w:ascii="宋体" w:hAnsi="宋体" w:cs="宋体"/>
                <w:color w:val="auto"/>
                <w:szCs w:val="21"/>
                <w:highlight w:val="none"/>
              </w:rPr>
              <w:t>代理服务费：2000元（专家评审费另计，以实际支付为准）。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代理服务费及专家评审费支付主体：中标人，由中标人在领取中标通知书时，一次性支付给代理公司。</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投标人要求澄清招标文件的截止时间及方式</w:t>
            </w:r>
          </w:p>
        </w:tc>
        <w:tc>
          <w:tcPr>
            <w:tcW w:w="7127"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同表15款</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投标有效期</w:t>
            </w:r>
          </w:p>
        </w:tc>
        <w:tc>
          <w:tcPr>
            <w:tcW w:w="7127" w:type="dxa"/>
            <w:vAlign w:val="center"/>
          </w:tcPr>
          <w:p>
            <w:pPr>
              <w:pStyle w:val="23"/>
              <w:spacing w:line="360" w:lineRule="exact"/>
              <w:rPr>
                <w:rFonts w:ascii="宋体" w:hAnsi="宋体" w:cs="宋体"/>
                <w:color w:val="auto"/>
                <w:szCs w:val="21"/>
                <w:highlight w:val="none"/>
              </w:rPr>
            </w:pPr>
            <w:r>
              <w:rPr>
                <w:rFonts w:hint="eastAsia" w:ascii="宋体" w:hAnsi="宋体" w:cs="宋体"/>
                <w:color w:val="auto"/>
                <w:szCs w:val="21"/>
                <w:highlight w:val="none"/>
              </w:rPr>
              <w:t>投标有效期为</w:t>
            </w:r>
            <w:r>
              <w:rPr>
                <w:rFonts w:hint="eastAsia" w:ascii="宋体" w:hAnsi="宋体" w:cs="宋体"/>
                <w:color w:val="auto"/>
                <w:szCs w:val="21"/>
                <w:highlight w:val="none"/>
                <w:u w:val="single"/>
              </w:rPr>
              <w:t xml:space="preserve">30 </w:t>
            </w:r>
            <w:r>
              <w:rPr>
                <w:rFonts w:hint="eastAsia" w:ascii="宋体" w:hAnsi="宋体" w:cs="宋体"/>
                <w:color w:val="auto"/>
                <w:szCs w:val="21"/>
                <w:highlight w:val="none"/>
              </w:rPr>
              <w:t>日历天（从投标截止之日算起）。在此期限内，凡符合本招标文件要求的投标文件均保持有效。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5"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b/>
                <w:bCs/>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b/>
                <w:bCs/>
                <w:color w:val="auto"/>
                <w:szCs w:val="21"/>
                <w:highlight w:val="none"/>
              </w:rPr>
            </w:pPr>
            <w:r>
              <w:rPr>
                <w:rFonts w:hint="eastAsia" w:ascii="宋体" w:hAnsi="宋体" w:cs="宋体"/>
                <w:b/>
                <w:bCs/>
                <w:color w:val="auto"/>
                <w:szCs w:val="21"/>
                <w:highlight w:val="none"/>
              </w:rPr>
              <w:t>投标文件数量</w:t>
            </w:r>
          </w:p>
        </w:tc>
        <w:tc>
          <w:tcPr>
            <w:tcW w:w="7127" w:type="dxa"/>
            <w:vAlign w:val="center"/>
          </w:tcPr>
          <w:p>
            <w:pPr>
              <w:widowControl/>
              <w:spacing w:line="360" w:lineRule="exact"/>
              <w:ind w:firstLine="89" w:firstLineChars="42"/>
              <w:jc w:val="left"/>
              <w:rPr>
                <w:rFonts w:ascii="宋体" w:hAnsi="宋体" w:cs="宋体"/>
                <w:b/>
                <w:bCs/>
                <w:color w:val="auto"/>
                <w:szCs w:val="21"/>
                <w:highlight w:val="none"/>
              </w:rPr>
            </w:pPr>
            <w:r>
              <w:rPr>
                <w:rFonts w:hint="eastAsia" w:ascii="宋体" w:hAnsi="宋体" w:cs="宋体"/>
                <w:b/>
                <w:color w:val="auto"/>
                <w:kern w:val="0"/>
                <w:szCs w:val="21"/>
                <w:highlight w:val="none"/>
              </w:rPr>
              <w:t>正本</w:t>
            </w:r>
            <w:r>
              <w:rPr>
                <w:rFonts w:hint="eastAsia" w:ascii="宋体" w:hAnsi="宋体" w:cs="宋体"/>
                <w:b/>
                <w:color w:val="auto"/>
                <w:kern w:val="0"/>
                <w:szCs w:val="21"/>
                <w:highlight w:val="none"/>
                <w:u w:val="single"/>
              </w:rPr>
              <w:t xml:space="preserve"> 1 </w:t>
            </w:r>
            <w:r>
              <w:rPr>
                <w:rFonts w:hint="eastAsia" w:ascii="宋体" w:hAnsi="宋体" w:cs="宋体"/>
                <w:b/>
                <w:color w:val="auto"/>
                <w:kern w:val="0"/>
                <w:szCs w:val="21"/>
                <w:highlight w:val="none"/>
              </w:rPr>
              <w:t>份，副本</w:t>
            </w:r>
            <w:r>
              <w:rPr>
                <w:rFonts w:hint="eastAsia" w:ascii="宋体" w:hAnsi="宋体" w:cs="宋体"/>
                <w:b/>
                <w:color w:val="auto"/>
                <w:kern w:val="0"/>
                <w:szCs w:val="21"/>
                <w:highlight w:val="none"/>
                <w:u w:val="single"/>
              </w:rPr>
              <w:t xml:space="preserve"> 2 </w:t>
            </w:r>
            <w:r>
              <w:rPr>
                <w:rFonts w:hint="eastAsia" w:ascii="宋体" w:hAnsi="宋体" w:cs="宋体"/>
                <w:b/>
                <w:color w:val="auto"/>
                <w:kern w:val="0"/>
                <w:szCs w:val="21"/>
                <w:highlight w:val="none"/>
              </w:rPr>
              <w:t>份，正副本不一致时，以正本为准。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670" w:type="dxa"/>
            <w:vAlign w:val="center"/>
          </w:tcPr>
          <w:p>
            <w:pPr>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签字或盖章及密封要求</w:t>
            </w:r>
          </w:p>
        </w:tc>
        <w:tc>
          <w:tcPr>
            <w:tcW w:w="7127" w:type="dxa"/>
            <w:vAlign w:val="center"/>
          </w:tcPr>
          <w:p>
            <w:pPr>
              <w:spacing w:line="360" w:lineRule="exact"/>
              <w:rPr>
                <w:rFonts w:ascii="宋体" w:hAnsi="宋体" w:cs="宋体"/>
                <w:b/>
                <w:color w:val="auto"/>
                <w:kern w:val="0"/>
                <w:szCs w:val="21"/>
                <w:highlight w:val="none"/>
              </w:rPr>
            </w:pPr>
            <w:r>
              <w:rPr>
                <w:rFonts w:hint="eastAsia" w:ascii="宋体" w:hAnsi="宋体" w:cs="宋体"/>
                <w:b/>
                <w:color w:val="auto"/>
                <w:spacing w:val="-4"/>
                <w:kern w:val="0"/>
                <w:szCs w:val="21"/>
                <w:highlight w:val="none"/>
              </w:rPr>
              <w:t>一正两副装订成册，密封于档案袋中，各部分档案袋封面注明项目名称、单位、联系人及联系方式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670" w:type="dxa"/>
            <w:vAlign w:val="center"/>
          </w:tcPr>
          <w:p>
            <w:pPr>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投标文件提交截止时间</w:t>
            </w:r>
          </w:p>
        </w:tc>
        <w:tc>
          <w:tcPr>
            <w:tcW w:w="7127"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递交投标文件截止时间：</w:t>
            </w:r>
            <w:r>
              <w:rPr>
                <w:rFonts w:hint="eastAsia" w:ascii="宋体" w:hAnsi="宋体" w:cs="宋体"/>
                <w:b/>
                <w:bCs/>
                <w:color w:val="auto"/>
                <w:szCs w:val="21"/>
                <w:highlight w:val="none"/>
              </w:rPr>
              <w:t>2024年</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 xml:space="preserve"> 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日11时30分（北京时间）</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注：以投标人在投标截止时间前递交的投标文件为准，逾期提交的，投标文件将被拒绝。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670" w:type="dxa"/>
            <w:vAlign w:val="center"/>
          </w:tcPr>
          <w:p>
            <w:pPr>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是否退还投标文件</w:t>
            </w:r>
          </w:p>
        </w:tc>
        <w:tc>
          <w:tcPr>
            <w:tcW w:w="7127"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开标程序</w:t>
            </w:r>
          </w:p>
        </w:tc>
        <w:tc>
          <w:tcPr>
            <w:tcW w:w="7127"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开标顺序：投标文件启封后，由评审委员会评审。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7127" w:type="dxa"/>
          </w:tcPr>
          <w:p>
            <w:pPr>
              <w:pStyle w:val="23"/>
              <w:spacing w:line="360" w:lineRule="exact"/>
              <w:rPr>
                <w:rFonts w:ascii="宋体" w:hAnsi="宋体" w:cs="宋体"/>
                <w:color w:val="auto"/>
                <w:szCs w:val="21"/>
                <w:highlight w:val="none"/>
              </w:rPr>
            </w:pPr>
            <w:r>
              <w:rPr>
                <w:rFonts w:hint="eastAsia" w:ascii="宋体" w:hAnsi="宋体" w:cs="宋体"/>
                <w:color w:val="auto"/>
                <w:szCs w:val="21"/>
                <w:highlight w:val="none"/>
              </w:rPr>
              <w:t>依法组建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是否授权评标委员会确定中标候选人</w:t>
            </w:r>
          </w:p>
        </w:tc>
        <w:tc>
          <w:tcPr>
            <w:tcW w:w="7127" w:type="dxa"/>
            <w:vAlign w:val="center"/>
          </w:tcPr>
          <w:p>
            <w:pPr>
              <w:pStyle w:val="23"/>
              <w:spacing w:line="360" w:lineRule="exact"/>
              <w:rPr>
                <w:rFonts w:ascii="宋体" w:hAnsi="宋体" w:cs="宋体"/>
                <w:color w:val="auto"/>
                <w:szCs w:val="21"/>
                <w:highlight w:val="none"/>
              </w:rPr>
            </w:pPr>
            <w:r>
              <w:rPr>
                <w:rFonts w:hint="eastAsia" w:ascii="宋体" w:hAnsi="宋体" w:cs="宋体"/>
                <w:color w:val="auto"/>
                <w:szCs w:val="21"/>
                <w:highlight w:val="none"/>
              </w:rPr>
              <w:t>是，评标委员会推荐</w:t>
            </w:r>
            <w:r>
              <w:rPr>
                <w:rFonts w:hint="eastAsia" w:ascii="宋体" w:hAnsi="宋体" w:cs="宋体"/>
                <w:color w:val="auto"/>
                <w:szCs w:val="21"/>
                <w:highlight w:val="none"/>
                <w:u w:val="single"/>
              </w:rPr>
              <w:t>3</w:t>
            </w:r>
            <w:r>
              <w:rPr>
                <w:rFonts w:hint="eastAsia" w:ascii="宋体" w:hAnsi="宋体" w:cs="宋体"/>
                <w:color w:val="auto"/>
                <w:szCs w:val="21"/>
                <w:highlight w:val="none"/>
              </w:rPr>
              <w:t>名中标候选人。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bCs/>
                <w:color w:val="auto"/>
                <w:szCs w:val="21"/>
                <w:highlight w:val="none"/>
                <w:u w:color="000000"/>
              </w:rPr>
              <w:t>中标结果公告媒介</w:t>
            </w:r>
          </w:p>
        </w:tc>
        <w:tc>
          <w:tcPr>
            <w:tcW w:w="7127" w:type="dxa"/>
            <w:vAlign w:val="center"/>
          </w:tcPr>
          <w:p>
            <w:pPr>
              <w:pStyle w:val="23"/>
              <w:spacing w:line="360" w:lineRule="exact"/>
              <w:rPr>
                <w:rFonts w:ascii="宋体" w:hAnsi="宋体" w:cs="宋体"/>
                <w:color w:val="auto"/>
                <w:szCs w:val="21"/>
                <w:highlight w:val="none"/>
              </w:rPr>
            </w:pPr>
            <w:r>
              <w:rPr>
                <w:rFonts w:hint="eastAsia" w:ascii="宋体" w:hAnsi="宋体" w:cs="宋体"/>
                <w:bCs/>
                <w:color w:val="auto"/>
                <w:szCs w:val="21"/>
                <w:highlight w:val="none"/>
              </w:rPr>
              <w:t>滁州市第二人民医院官网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pPr>
              <w:pStyle w:val="23"/>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pStyle w:val="23"/>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bCs/>
                <w:color w:val="auto"/>
                <w:szCs w:val="21"/>
                <w:highlight w:val="none"/>
                <w:u w:color="000000"/>
              </w:rPr>
              <w:t>中标结果公告期限</w:t>
            </w:r>
          </w:p>
        </w:tc>
        <w:tc>
          <w:tcPr>
            <w:tcW w:w="7127" w:type="dxa"/>
            <w:vAlign w:val="center"/>
          </w:tcPr>
          <w:p>
            <w:pPr>
              <w:pStyle w:val="23"/>
              <w:spacing w:line="360" w:lineRule="exact"/>
              <w:rPr>
                <w:rFonts w:ascii="宋体" w:hAnsi="宋体" w:cs="宋体"/>
                <w:bCs/>
                <w:color w:val="auto"/>
                <w:szCs w:val="21"/>
                <w:highlight w:val="none"/>
              </w:rPr>
            </w:pPr>
            <w:r>
              <w:rPr>
                <w:rFonts w:hint="eastAsia" w:ascii="宋体" w:hAnsi="宋体" w:cs="宋体"/>
                <w:bCs/>
                <w:color w:val="auto"/>
                <w:szCs w:val="21"/>
                <w:highlight w:val="none"/>
              </w:rPr>
              <w:t>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jc w:val="center"/>
        </w:trPr>
        <w:tc>
          <w:tcPr>
            <w:tcW w:w="670" w:type="dxa"/>
            <w:vAlign w:val="center"/>
          </w:tcPr>
          <w:p>
            <w:pPr>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中标通知书</w:t>
            </w:r>
          </w:p>
        </w:tc>
        <w:tc>
          <w:tcPr>
            <w:tcW w:w="7127"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中标通知书须加盖采购人及代理机构公章后方可发出。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670" w:type="dxa"/>
            <w:vAlign w:val="center"/>
          </w:tcPr>
          <w:p>
            <w:pPr>
              <w:numPr>
                <w:ilvl w:val="0"/>
                <w:numId w:val="1"/>
              </w:numPr>
              <w:spacing w:line="360" w:lineRule="exact"/>
              <w:ind w:left="425" w:leftChars="0" w:hanging="425" w:firstLineChars="0"/>
              <w:jc w:val="center"/>
              <w:rPr>
                <w:rFonts w:ascii="宋体" w:hAnsi="宋体" w:cs="宋体"/>
                <w:color w:val="auto"/>
                <w:szCs w:val="21"/>
                <w:highlight w:val="none"/>
              </w:rPr>
            </w:pPr>
          </w:p>
        </w:tc>
        <w:tc>
          <w:tcPr>
            <w:tcW w:w="24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中标通知书发放形式</w:t>
            </w:r>
          </w:p>
        </w:tc>
        <w:tc>
          <w:tcPr>
            <w:tcW w:w="7127"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纸质版通知书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jc w:val="center"/>
        </w:trPr>
        <w:tc>
          <w:tcPr>
            <w:tcW w:w="30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482"/>
              <w:jc w:val="left"/>
              <w:textAlignment w:val="auto"/>
              <w:rPr>
                <w:rFonts w:ascii="宋体" w:hAnsi="宋体" w:cs="宋体"/>
                <w:b/>
                <w:bCs/>
                <w:color w:val="auto"/>
                <w:szCs w:val="21"/>
                <w:highlight w:val="none"/>
              </w:rPr>
            </w:pPr>
            <w:r>
              <w:rPr>
                <w:rFonts w:hint="eastAsia" w:ascii="宋体" w:hAnsi="宋体" w:cs="宋体"/>
                <w:b/>
                <w:bCs/>
                <w:color w:val="auto"/>
                <w:szCs w:val="21"/>
                <w:highlight w:val="none"/>
              </w:rPr>
              <w:t>付款方式、时间、条件</w:t>
            </w:r>
          </w:p>
        </w:tc>
        <w:tc>
          <w:tcPr>
            <w:tcW w:w="7127" w:type="dxa"/>
            <w:vAlign w:val="center"/>
          </w:tcPr>
          <w:p>
            <w:pPr>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供应商完成全部测试并出具测试报告后，采购人向供应商一次性支付合同价款的100%。</w:t>
            </w:r>
          </w:p>
        </w:tc>
      </w:tr>
      <w:bookmarkEnd w:id="0"/>
      <w:bookmarkEnd w:id="1"/>
      <w:bookmarkEnd w:id="2"/>
      <w:bookmarkEnd w:id="3"/>
      <w:bookmarkEnd w:id="4"/>
      <w:bookmarkEnd w:id="6"/>
      <w:bookmarkEnd w:id="7"/>
    </w:tbl>
    <w:p>
      <w:pPr>
        <w:pStyle w:val="3"/>
        <w:ind w:firstLine="482"/>
        <w:rPr>
          <w:color w:val="auto"/>
          <w:highlight w:val="none"/>
        </w:rPr>
      </w:pPr>
      <w:bookmarkStart w:id="39" w:name="_Toc15058846"/>
      <w:bookmarkStart w:id="40" w:name="_Toc13234"/>
      <w:bookmarkStart w:id="41" w:name="_Toc35425053"/>
      <w:bookmarkStart w:id="42" w:name="_Toc8242"/>
      <w:bookmarkStart w:id="43" w:name="_Toc35947170"/>
      <w:bookmarkStart w:id="44" w:name="_Toc35424887"/>
      <w:bookmarkStart w:id="45" w:name="_Toc26342"/>
      <w:bookmarkStart w:id="46" w:name="_Toc20532"/>
      <w:bookmarkStart w:id="47" w:name="_Toc531771949"/>
      <w:bookmarkStart w:id="48" w:name="_Toc8218_WPSOffice_Level1"/>
    </w:p>
    <w:p>
      <w:pPr>
        <w:ind w:firstLine="480"/>
        <w:rPr>
          <w:color w:val="auto"/>
          <w:highlight w:val="none"/>
        </w:rPr>
      </w:pPr>
    </w:p>
    <w:p>
      <w:pPr>
        <w:pStyle w:val="49"/>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0"/>
        <w:rPr>
          <w:color w:val="auto"/>
          <w:highlight w:val="none"/>
        </w:rPr>
      </w:pPr>
    </w:p>
    <w:p>
      <w:pPr>
        <w:pStyle w:val="3"/>
        <w:ind w:firstLine="482"/>
        <w:rPr>
          <w:color w:val="auto"/>
          <w:highlight w:val="none"/>
        </w:rPr>
      </w:pPr>
      <w:r>
        <w:rPr>
          <w:rFonts w:hint="eastAsia"/>
          <w:color w:val="auto"/>
          <w:highlight w:val="none"/>
        </w:rPr>
        <w:t>1. 总则</w:t>
      </w:r>
      <w:bookmarkEnd w:id="39"/>
      <w:bookmarkEnd w:id="40"/>
      <w:bookmarkEnd w:id="41"/>
      <w:bookmarkEnd w:id="42"/>
      <w:bookmarkEnd w:id="43"/>
      <w:bookmarkEnd w:id="44"/>
      <w:bookmarkEnd w:id="45"/>
      <w:bookmarkEnd w:id="46"/>
    </w:p>
    <w:p>
      <w:pPr>
        <w:snapToGrid w:val="0"/>
        <w:spacing w:line="440" w:lineRule="exact"/>
        <w:ind w:firstLine="422" w:firstLineChars="200"/>
        <w:rPr>
          <w:rFonts w:ascii="宋体"/>
          <w:b/>
          <w:color w:val="auto"/>
          <w:szCs w:val="21"/>
          <w:highlight w:val="none"/>
        </w:rPr>
      </w:pPr>
      <w:bookmarkStart w:id="49" w:name="_Toc246996187"/>
      <w:bookmarkStart w:id="50" w:name="_Toc247085701"/>
      <w:bookmarkStart w:id="51" w:name="_Toc179632560"/>
      <w:bookmarkStart w:id="52" w:name="_Toc152045542"/>
      <w:bookmarkStart w:id="53" w:name="_Toc152042318"/>
      <w:bookmarkStart w:id="54" w:name="_Toc506107281"/>
      <w:bookmarkStart w:id="55" w:name="_Toc35425065"/>
      <w:bookmarkStart w:id="56" w:name="_Toc246996930"/>
      <w:bookmarkStart w:id="57" w:name="_Toc15058858"/>
      <w:bookmarkStart w:id="58" w:name="_Toc144974510"/>
      <w:bookmarkStart w:id="59" w:name="_Toc35424899"/>
      <w:bookmarkStart w:id="60" w:name="_Toc324404827"/>
      <w:bookmarkStart w:id="61" w:name="_Toc35947182"/>
      <w:bookmarkStart w:id="62" w:name="_Toc26510"/>
      <w:bookmarkStart w:id="63" w:name="_Toc11696"/>
      <w:bookmarkStart w:id="64" w:name="_Toc24080"/>
      <w:bookmarkStart w:id="65" w:name="_Toc32316"/>
      <w:r>
        <w:rPr>
          <w:rFonts w:hint="eastAsia" w:ascii="宋体"/>
          <w:b/>
          <w:color w:val="auto"/>
          <w:szCs w:val="21"/>
          <w:highlight w:val="none"/>
        </w:rPr>
        <w:t>1.项目概况</w:t>
      </w:r>
    </w:p>
    <w:p>
      <w:pPr>
        <w:snapToGrid w:val="0"/>
        <w:spacing w:line="440" w:lineRule="exact"/>
        <w:ind w:firstLine="420" w:firstLineChars="200"/>
        <w:rPr>
          <w:color w:val="auto"/>
          <w:szCs w:val="21"/>
          <w:highlight w:val="none"/>
        </w:rPr>
      </w:pPr>
      <w:r>
        <w:rPr>
          <w:rFonts w:hint="eastAsia"/>
          <w:color w:val="auto"/>
          <w:szCs w:val="21"/>
          <w:highlight w:val="none"/>
        </w:rPr>
        <w:t>本次招标采购项目名称：滁州市第二人民医院精神病院区智能化工程第三方检测项目</w:t>
      </w:r>
    </w:p>
    <w:p>
      <w:pPr>
        <w:snapToGrid w:val="0"/>
        <w:spacing w:line="440" w:lineRule="exact"/>
        <w:ind w:firstLine="420" w:firstLineChars="200"/>
        <w:rPr>
          <w:color w:val="auto"/>
          <w:szCs w:val="21"/>
          <w:highlight w:val="none"/>
        </w:rPr>
      </w:pPr>
      <w:r>
        <w:rPr>
          <w:rFonts w:hint="eastAsia"/>
          <w:color w:val="auto"/>
          <w:szCs w:val="21"/>
          <w:highlight w:val="none"/>
        </w:rPr>
        <w:t>采 购 人：滁州市第二人民医院（市传染病医院、市精神病医院）</w:t>
      </w:r>
    </w:p>
    <w:p>
      <w:pPr>
        <w:snapToGrid w:val="0"/>
        <w:spacing w:line="440" w:lineRule="exact"/>
        <w:ind w:firstLine="420" w:firstLineChars="200"/>
        <w:rPr>
          <w:color w:val="auto"/>
          <w:szCs w:val="21"/>
          <w:highlight w:val="none"/>
        </w:rPr>
      </w:pPr>
      <w:r>
        <w:rPr>
          <w:rFonts w:hint="eastAsia"/>
          <w:color w:val="auto"/>
          <w:szCs w:val="21"/>
          <w:highlight w:val="none"/>
        </w:rPr>
        <w:t>服务期限： 合同签订后30日历天内完成合同约定的服务内容并出具成果报告。</w:t>
      </w:r>
    </w:p>
    <w:p>
      <w:pPr>
        <w:snapToGrid w:val="0"/>
        <w:spacing w:line="440" w:lineRule="exact"/>
        <w:ind w:firstLine="422" w:firstLineChars="200"/>
        <w:rPr>
          <w:rFonts w:ascii="宋体"/>
          <w:b/>
          <w:color w:val="auto"/>
          <w:szCs w:val="21"/>
          <w:highlight w:val="none"/>
        </w:rPr>
      </w:pPr>
      <w:r>
        <w:rPr>
          <w:rFonts w:hint="eastAsia" w:ascii="宋体"/>
          <w:b/>
          <w:color w:val="auto"/>
          <w:szCs w:val="21"/>
          <w:highlight w:val="none"/>
        </w:rPr>
        <w:t>2.招标范围：</w:t>
      </w:r>
    </w:p>
    <w:p>
      <w:pPr>
        <w:snapToGrid w:val="0"/>
        <w:spacing w:line="440" w:lineRule="exact"/>
        <w:ind w:firstLine="420" w:firstLineChars="200"/>
        <w:rPr>
          <w:rFonts w:hint="eastAsia"/>
          <w:color w:val="auto"/>
          <w:szCs w:val="21"/>
          <w:highlight w:val="none"/>
        </w:rPr>
      </w:pPr>
      <w:r>
        <w:rPr>
          <w:rFonts w:hint="eastAsia"/>
          <w:color w:val="auto"/>
          <w:szCs w:val="21"/>
          <w:highlight w:val="none"/>
        </w:rPr>
        <w:t>本项目主要涉及精神病区智能化工程第三方检测服务项目所有建设内容的施工质量、设备安装质量、网络质量及性能、设备传输质量、数据质量、平台功能性能等，委托第三方检测机构开展检测工作。</w:t>
      </w:r>
    </w:p>
    <w:p>
      <w:pPr>
        <w:snapToGrid w:val="0"/>
        <w:spacing w:line="440" w:lineRule="exact"/>
        <w:ind w:firstLine="420" w:firstLineChars="200"/>
        <w:rPr>
          <w:rFonts w:hint="eastAsia"/>
          <w:color w:val="auto"/>
          <w:szCs w:val="21"/>
          <w:highlight w:val="none"/>
        </w:rPr>
      </w:pPr>
      <w:r>
        <w:rPr>
          <w:rFonts w:hint="eastAsia"/>
          <w:color w:val="auto"/>
          <w:szCs w:val="21"/>
          <w:highlight w:val="none"/>
        </w:rPr>
        <w:t>按照国家标准要求，对本项目涉及的各子系统及设备参数进行测试，具体检测内容如下：综合布线系统、计算机网络及无线网络覆盖系统、视频监控系统、入侵报警系统、一卡通管理系统、楼宇自控系统、公共广播系统、多媒体会议系统、信息发布系统、机房工程、能耗计量系统、排队叫号系统、智能照明系统、电子巡更系统、物联网建设、后勤管理系统等系统，本次检测该系统所涉及设备、成品软件、软件平台等相关功能、网络链路、数据传输准确性、接口对接、前后端设备及系统功能运行情况、系统运行稳定性和可靠性、软件平台安全性等。</w:t>
      </w:r>
    </w:p>
    <w:p>
      <w:pPr>
        <w:snapToGrid w:val="0"/>
        <w:spacing w:line="440" w:lineRule="exact"/>
        <w:ind w:firstLine="420" w:firstLineChars="200"/>
        <w:rPr>
          <w:rFonts w:hint="eastAsia"/>
          <w:color w:val="auto"/>
          <w:szCs w:val="21"/>
          <w:highlight w:val="none"/>
        </w:rPr>
      </w:pPr>
      <w:r>
        <w:rPr>
          <w:rFonts w:hint="eastAsia"/>
          <w:color w:val="auto"/>
          <w:szCs w:val="21"/>
          <w:highlight w:val="none"/>
        </w:rPr>
        <w:t>对于测试验收中发现的问题应及时与建设单位沟通，能现场整改的应要求施工方随进度整改；不能现场整改的要向建设单位提交说明材料，并协助建设单位确定整改期限。整改完成后需要进行复测复验的，不再收取任何费用。</w:t>
      </w:r>
    </w:p>
    <w:p>
      <w:pPr>
        <w:snapToGrid w:val="0"/>
        <w:spacing w:line="440" w:lineRule="exact"/>
        <w:ind w:firstLine="422" w:firstLineChars="200"/>
        <w:rPr>
          <w:rFonts w:ascii="宋体"/>
          <w:color w:val="auto"/>
          <w:szCs w:val="21"/>
          <w:highlight w:val="none"/>
        </w:rPr>
      </w:pPr>
      <w:r>
        <w:rPr>
          <w:rFonts w:hint="eastAsia" w:ascii="宋体"/>
          <w:b/>
          <w:color w:val="auto"/>
          <w:szCs w:val="21"/>
          <w:highlight w:val="none"/>
        </w:rPr>
        <w:t>3.标包划分：</w:t>
      </w:r>
      <w:r>
        <w:rPr>
          <w:rFonts w:hint="eastAsia" w:ascii="宋体"/>
          <w:color w:val="auto"/>
          <w:szCs w:val="21"/>
          <w:highlight w:val="none"/>
        </w:rPr>
        <w:t>一个标段。</w:t>
      </w:r>
    </w:p>
    <w:p>
      <w:pPr>
        <w:snapToGrid w:val="0"/>
        <w:spacing w:line="440" w:lineRule="exact"/>
        <w:ind w:firstLine="422" w:firstLineChars="200"/>
        <w:rPr>
          <w:rFonts w:ascii="宋体"/>
          <w:color w:val="auto"/>
          <w:szCs w:val="21"/>
          <w:highlight w:val="none"/>
        </w:rPr>
      </w:pPr>
      <w:r>
        <w:rPr>
          <w:rFonts w:hint="eastAsia" w:ascii="宋体"/>
          <w:b/>
          <w:color w:val="auto"/>
          <w:szCs w:val="21"/>
          <w:highlight w:val="none"/>
        </w:rPr>
        <w:t>4.招标方式：</w:t>
      </w:r>
      <w:r>
        <w:rPr>
          <w:rFonts w:hint="eastAsia" w:ascii="宋体"/>
          <w:color w:val="auto"/>
          <w:szCs w:val="21"/>
          <w:highlight w:val="none"/>
        </w:rPr>
        <w:t>公开招标</w:t>
      </w:r>
    </w:p>
    <w:p>
      <w:pPr>
        <w:snapToGrid w:val="0"/>
        <w:spacing w:line="440" w:lineRule="exact"/>
        <w:ind w:firstLine="422" w:firstLineChars="200"/>
        <w:rPr>
          <w:rFonts w:ascii="宋体"/>
          <w:color w:val="auto"/>
          <w:szCs w:val="21"/>
          <w:highlight w:val="none"/>
        </w:rPr>
      </w:pPr>
      <w:r>
        <w:rPr>
          <w:rFonts w:hint="eastAsia" w:ascii="宋体"/>
          <w:b/>
          <w:color w:val="auto"/>
          <w:szCs w:val="21"/>
          <w:highlight w:val="none"/>
        </w:rPr>
        <w:t>5.计价方式：</w:t>
      </w:r>
      <w:r>
        <w:rPr>
          <w:rFonts w:hint="eastAsia" w:ascii="宋体"/>
          <w:color w:val="auto"/>
          <w:szCs w:val="21"/>
          <w:highlight w:val="none"/>
        </w:rPr>
        <w:t>本次招标项目合同采用</w:t>
      </w:r>
      <w:r>
        <w:rPr>
          <w:rFonts w:hint="eastAsia" w:ascii="宋体"/>
          <w:color w:val="auto"/>
          <w:szCs w:val="21"/>
          <w:highlight w:val="none"/>
          <w:u w:val="single"/>
        </w:rPr>
        <w:t xml:space="preserve">   固定总价  。</w:t>
      </w:r>
    </w:p>
    <w:p>
      <w:pPr>
        <w:snapToGrid w:val="0"/>
        <w:spacing w:line="440" w:lineRule="exact"/>
        <w:ind w:firstLine="422" w:firstLineChars="200"/>
        <w:rPr>
          <w:rFonts w:ascii="宋体"/>
          <w:color w:val="auto"/>
          <w:szCs w:val="21"/>
          <w:highlight w:val="none"/>
        </w:rPr>
      </w:pPr>
      <w:r>
        <w:rPr>
          <w:rFonts w:hint="eastAsia" w:ascii="宋体"/>
          <w:b/>
          <w:color w:val="auto"/>
          <w:szCs w:val="21"/>
          <w:highlight w:val="none"/>
        </w:rPr>
        <w:t>6.评标办法：</w:t>
      </w:r>
      <w:r>
        <w:rPr>
          <w:rFonts w:hint="eastAsia" w:ascii="宋体"/>
          <w:color w:val="auto"/>
          <w:szCs w:val="21"/>
          <w:highlight w:val="none"/>
        </w:rPr>
        <w:t>本次招标评标采用</w:t>
      </w:r>
      <w:r>
        <w:rPr>
          <w:rFonts w:hint="eastAsia" w:ascii="宋体"/>
          <w:color w:val="auto"/>
          <w:szCs w:val="21"/>
          <w:highlight w:val="none"/>
          <w:u w:val="single"/>
        </w:rPr>
        <w:t xml:space="preserve"> </w:t>
      </w:r>
      <w:r>
        <w:rPr>
          <w:rFonts w:hint="eastAsia" w:ascii="宋体"/>
          <w:b/>
          <w:color w:val="auto"/>
          <w:szCs w:val="21"/>
          <w:highlight w:val="none"/>
          <w:u w:val="single"/>
        </w:rPr>
        <w:t>综合评分</w:t>
      </w:r>
      <w:r>
        <w:rPr>
          <w:rFonts w:ascii="宋体"/>
          <w:b/>
          <w:color w:val="auto"/>
          <w:szCs w:val="21"/>
          <w:highlight w:val="none"/>
          <w:u w:val="single"/>
        </w:rPr>
        <w:t>法</w:t>
      </w:r>
      <w:r>
        <w:rPr>
          <w:rFonts w:hint="eastAsia" w:ascii="宋体"/>
          <w:color w:val="auto"/>
          <w:szCs w:val="21"/>
          <w:highlight w:val="none"/>
        </w:rPr>
        <w:t>（详见第三章评标办法）</w:t>
      </w:r>
    </w:p>
    <w:p>
      <w:pPr>
        <w:snapToGrid w:val="0"/>
        <w:spacing w:line="440" w:lineRule="exact"/>
        <w:ind w:firstLine="422" w:firstLineChars="200"/>
        <w:rPr>
          <w:rFonts w:ascii="宋体"/>
          <w:b/>
          <w:color w:val="auto"/>
          <w:szCs w:val="21"/>
          <w:highlight w:val="none"/>
        </w:rPr>
      </w:pPr>
      <w:r>
        <w:rPr>
          <w:rFonts w:hint="eastAsia" w:ascii="宋体"/>
          <w:b/>
          <w:color w:val="auto"/>
          <w:szCs w:val="21"/>
          <w:highlight w:val="none"/>
        </w:rPr>
        <w:t>7.投标人资格：</w:t>
      </w:r>
      <w:r>
        <w:rPr>
          <w:rFonts w:hint="eastAsia" w:ascii="宋体"/>
          <w:color w:val="auto"/>
          <w:szCs w:val="21"/>
          <w:highlight w:val="none"/>
        </w:rPr>
        <w:t>详见第一章“招标公告”</w:t>
      </w:r>
    </w:p>
    <w:p>
      <w:pPr>
        <w:pStyle w:val="3"/>
        <w:ind w:firstLine="482"/>
        <w:rPr>
          <w:color w:val="auto"/>
          <w:highlight w:val="none"/>
        </w:rPr>
      </w:pPr>
      <w:r>
        <w:rPr>
          <w:rFonts w:hint="eastAsia"/>
          <w:color w:val="auto"/>
          <w:highlight w:val="none"/>
        </w:rPr>
        <w:t xml:space="preserve">2. </w:t>
      </w:r>
      <w:bookmarkEnd w:id="49"/>
      <w:bookmarkEnd w:id="50"/>
      <w:bookmarkEnd w:id="51"/>
      <w:bookmarkEnd w:id="52"/>
      <w:bookmarkEnd w:id="53"/>
      <w:bookmarkEnd w:id="54"/>
      <w:bookmarkEnd w:id="55"/>
      <w:bookmarkEnd w:id="56"/>
      <w:bookmarkEnd w:id="57"/>
      <w:bookmarkEnd w:id="58"/>
      <w:bookmarkEnd w:id="59"/>
      <w:bookmarkEnd w:id="60"/>
      <w:bookmarkEnd w:id="61"/>
      <w:r>
        <w:rPr>
          <w:rFonts w:hint="eastAsia"/>
          <w:color w:val="auto"/>
          <w:highlight w:val="none"/>
        </w:rPr>
        <w:t>交易文件</w:t>
      </w:r>
      <w:bookmarkEnd w:id="62"/>
      <w:bookmarkEnd w:id="63"/>
      <w:bookmarkEnd w:id="64"/>
      <w:bookmarkEnd w:id="65"/>
      <w:bookmarkStart w:id="66" w:name="_Toc247085702"/>
      <w:bookmarkStart w:id="67" w:name="_Toc144974511"/>
      <w:bookmarkStart w:id="68" w:name="_Toc35947183"/>
      <w:bookmarkStart w:id="69" w:name="_Toc324404828"/>
      <w:bookmarkStart w:id="70" w:name="_Toc246996931"/>
      <w:bookmarkStart w:id="71" w:name="_Toc3202"/>
      <w:bookmarkStart w:id="72" w:name="_Toc29501"/>
      <w:bookmarkStart w:id="73" w:name="_Toc35425066"/>
      <w:bookmarkStart w:id="74" w:name="_Toc246996188"/>
      <w:bookmarkStart w:id="75" w:name="_Toc152045543"/>
      <w:bookmarkStart w:id="76" w:name="_Toc179632561"/>
      <w:bookmarkStart w:id="77" w:name="_Toc152042319"/>
      <w:bookmarkStart w:id="78" w:name="_Toc506107282"/>
      <w:bookmarkStart w:id="79" w:name="_Toc35424900"/>
      <w:bookmarkStart w:id="80" w:name="_Toc296602433"/>
      <w:bookmarkStart w:id="81" w:name="_Toc15058859"/>
      <w:bookmarkStart w:id="82" w:name="_Toc23619"/>
    </w:p>
    <w:p>
      <w:pPr>
        <w:spacing w:line="440" w:lineRule="atLeast"/>
        <w:ind w:firstLine="422" w:firstLineChars="200"/>
        <w:outlineLvl w:val="2"/>
        <w:rPr>
          <w:rFonts w:ascii="宋体" w:hAnsi="宋体" w:cs="宋体"/>
          <w:b/>
          <w:bCs/>
          <w:color w:val="auto"/>
          <w:szCs w:val="21"/>
          <w:highlight w:val="none"/>
        </w:rPr>
      </w:pPr>
      <w:r>
        <w:rPr>
          <w:rFonts w:hint="eastAsia" w:ascii="宋体" w:hAnsi="宋体" w:cs="宋体"/>
          <w:b/>
          <w:bCs/>
          <w:color w:val="auto"/>
          <w:szCs w:val="21"/>
          <w:highlight w:val="none"/>
        </w:rPr>
        <w:t>2.1 交易文件的组成</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（1）招标公告；</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（2）投标人须知前附表；</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（3）评标办法；</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（4）服务需求；</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（5）合同条款及格式；</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（7）采购人、采购代理机构对本招标文件的确认。</w:t>
      </w:r>
    </w:p>
    <w:p>
      <w:pPr>
        <w:spacing w:line="440" w:lineRule="atLeast"/>
        <w:ind w:firstLine="422" w:firstLineChars="200"/>
        <w:outlineLvl w:val="2"/>
        <w:rPr>
          <w:rFonts w:ascii="宋体" w:hAnsi="宋体" w:cs="宋体"/>
          <w:b/>
          <w:bCs/>
          <w:color w:val="auto"/>
          <w:szCs w:val="21"/>
          <w:highlight w:val="none"/>
        </w:rPr>
      </w:pPr>
      <w:bookmarkStart w:id="83" w:name="_Toc246996189"/>
      <w:bookmarkStart w:id="84" w:name="_Toc15058860"/>
      <w:bookmarkStart w:id="85" w:name="_Toc179632562"/>
      <w:bookmarkStart w:id="86" w:name="_Toc247085703"/>
      <w:bookmarkStart w:id="87" w:name="_Toc506107283"/>
      <w:bookmarkStart w:id="88" w:name="_Toc296602434"/>
      <w:bookmarkStart w:id="89" w:name="_Toc152042320"/>
      <w:bookmarkStart w:id="90" w:name="_Toc35425067"/>
      <w:bookmarkStart w:id="91" w:name="_Toc152045544"/>
      <w:bookmarkStart w:id="92" w:name="_Toc35424901"/>
      <w:bookmarkStart w:id="93" w:name="_Toc11806"/>
      <w:bookmarkStart w:id="94" w:name="_Toc35947184"/>
      <w:bookmarkStart w:id="95" w:name="_Toc144974512"/>
      <w:bookmarkStart w:id="96" w:name="_Toc324404829"/>
      <w:bookmarkStart w:id="97" w:name="_Toc246996932"/>
      <w:bookmarkStart w:id="98" w:name="_Toc7670"/>
      <w:bookmarkStart w:id="99" w:name="_Toc25054"/>
      <w:r>
        <w:rPr>
          <w:rFonts w:hint="eastAsia" w:ascii="宋体" w:hAnsi="宋体" w:cs="宋体"/>
          <w:b/>
          <w:bCs/>
          <w:color w:val="auto"/>
          <w:szCs w:val="21"/>
          <w:highlight w:val="none"/>
        </w:rPr>
        <w:t>2.2 交易文件的澄清</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ascii="宋体" w:hAnsi="宋体" w:cs="宋体"/>
          <w:b/>
          <w:bCs/>
          <w:color w:val="auto"/>
          <w:szCs w:val="21"/>
          <w:highlight w:val="none"/>
        </w:rPr>
        <w:t xml:space="preserve"> </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2.2.1 投标人应仔细阅读和检查交易文件的全部内容。如有疑问，应在投标人须知前附表规定的时间前以网上邮件或书面形式（包括信函、电报、传真等可以有形地表现所载内容的形式，下同），要求采购人对交易文件予以澄清。</w:t>
      </w:r>
    </w:p>
    <w:p>
      <w:pPr>
        <w:spacing w:line="440" w:lineRule="atLeast"/>
        <w:ind w:firstLine="422" w:firstLineChars="200"/>
        <w:outlineLvl w:val="2"/>
        <w:rPr>
          <w:rFonts w:ascii="宋体" w:hAnsi="宋体" w:cs="宋体"/>
          <w:b/>
          <w:bCs/>
          <w:color w:val="auto"/>
          <w:szCs w:val="21"/>
          <w:highlight w:val="none"/>
        </w:rPr>
      </w:pPr>
      <w:bookmarkStart w:id="100" w:name="_Toc152042321"/>
      <w:bookmarkStart w:id="101" w:name="_Toc15058861"/>
      <w:bookmarkStart w:id="102" w:name="_Toc506107284"/>
      <w:bookmarkStart w:id="103" w:name="_Toc246996933"/>
      <w:bookmarkStart w:id="104" w:name="_Toc247085704"/>
      <w:bookmarkStart w:id="105" w:name="_Toc12699"/>
      <w:bookmarkStart w:id="106" w:name="_Toc30752"/>
      <w:bookmarkStart w:id="107" w:name="_Toc35424902"/>
      <w:bookmarkStart w:id="108" w:name="_Toc296602435"/>
      <w:bookmarkStart w:id="109" w:name="_Toc246996190"/>
      <w:bookmarkStart w:id="110" w:name="_Toc144974513"/>
      <w:bookmarkStart w:id="111" w:name="_Toc35425068"/>
      <w:bookmarkStart w:id="112" w:name="_Toc324404830"/>
      <w:bookmarkStart w:id="113" w:name="_Toc179632563"/>
      <w:bookmarkStart w:id="114" w:name="_Toc20350"/>
      <w:bookmarkStart w:id="115" w:name="_Toc152045545"/>
      <w:bookmarkStart w:id="116" w:name="_Toc35947185"/>
      <w:r>
        <w:rPr>
          <w:rFonts w:hint="eastAsia" w:ascii="宋体" w:hAnsi="宋体" w:cs="宋体"/>
          <w:b/>
          <w:bCs/>
          <w:color w:val="auto"/>
          <w:szCs w:val="21"/>
          <w:highlight w:val="none"/>
        </w:rPr>
        <w:t>2.3 交易文件的修改</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440" w:lineRule="atLeast"/>
        <w:ind w:firstLine="420" w:firstLineChars="200"/>
        <w:rPr>
          <w:rFonts w:ascii="宋体" w:hAnsi="宋体" w:cs="宋体"/>
          <w:color w:val="auto"/>
          <w:szCs w:val="21"/>
          <w:highlight w:val="none"/>
        </w:rPr>
      </w:pPr>
      <w:bookmarkStart w:id="117" w:name="_Toc324404831"/>
      <w:bookmarkStart w:id="118" w:name="_Toc992"/>
      <w:bookmarkStart w:id="119" w:name="_Toc15058862"/>
      <w:bookmarkStart w:id="120" w:name="_Toc35424903"/>
      <w:bookmarkStart w:id="121" w:name="_Toc2312"/>
      <w:bookmarkStart w:id="122" w:name="_Toc35947186"/>
      <w:bookmarkStart w:id="123" w:name="_Toc22085"/>
      <w:bookmarkStart w:id="124" w:name="_Toc35425069"/>
      <w:r>
        <w:rPr>
          <w:rFonts w:hint="eastAsia" w:ascii="宋体" w:hAnsi="宋体" w:cs="宋体"/>
          <w:color w:val="auto"/>
          <w:szCs w:val="21"/>
          <w:highlight w:val="none"/>
        </w:rPr>
        <w:t>以澄清公告形式在滁州市第二人民医院（市传染病医院、市精神病医院）官网予以公告。如果澄清内容影响投标文件编制的，将相应延长投标截止时间。</w:t>
      </w:r>
    </w:p>
    <w:bookmarkEnd w:id="117"/>
    <w:bookmarkEnd w:id="118"/>
    <w:bookmarkEnd w:id="119"/>
    <w:bookmarkEnd w:id="120"/>
    <w:bookmarkEnd w:id="121"/>
    <w:bookmarkEnd w:id="122"/>
    <w:bookmarkEnd w:id="123"/>
    <w:bookmarkEnd w:id="124"/>
    <w:p>
      <w:pPr>
        <w:pStyle w:val="3"/>
        <w:ind w:firstLine="482"/>
        <w:rPr>
          <w:color w:val="auto"/>
          <w:highlight w:val="none"/>
        </w:rPr>
      </w:pPr>
      <w:bookmarkStart w:id="125" w:name="_Toc24360"/>
      <w:bookmarkStart w:id="126" w:name="_Toc22327"/>
      <w:bookmarkStart w:id="127" w:name="_Toc506107285"/>
      <w:bookmarkStart w:id="128" w:name="_Toc35424904"/>
      <w:bookmarkStart w:id="129" w:name="_Toc35425070"/>
      <w:bookmarkStart w:id="130" w:name="_Toc23986"/>
      <w:bookmarkStart w:id="131" w:name="_Toc35947187"/>
      <w:bookmarkStart w:id="132" w:name="_Toc7791"/>
      <w:bookmarkStart w:id="133" w:name="_Toc15058863"/>
      <w:r>
        <w:rPr>
          <w:rFonts w:hint="eastAsia"/>
          <w:color w:val="auto"/>
          <w:highlight w:val="none"/>
        </w:rPr>
        <w:t>3. 投标文件</w:t>
      </w:r>
      <w:bookmarkEnd w:id="125"/>
      <w:bookmarkEnd w:id="126"/>
      <w:bookmarkEnd w:id="127"/>
      <w:bookmarkEnd w:id="128"/>
      <w:bookmarkEnd w:id="129"/>
      <w:bookmarkEnd w:id="130"/>
      <w:bookmarkEnd w:id="131"/>
      <w:bookmarkEnd w:id="132"/>
      <w:bookmarkEnd w:id="133"/>
    </w:p>
    <w:p>
      <w:pPr>
        <w:spacing w:line="440" w:lineRule="atLeast"/>
        <w:ind w:firstLine="422" w:firstLineChars="200"/>
        <w:outlineLvl w:val="2"/>
        <w:rPr>
          <w:rFonts w:ascii="宋体" w:hAnsi="宋体" w:cs="宋体"/>
          <w:b/>
          <w:bCs/>
          <w:color w:val="auto"/>
          <w:szCs w:val="21"/>
          <w:highlight w:val="none"/>
        </w:rPr>
      </w:pPr>
      <w:bookmarkStart w:id="134" w:name="_Toc13866"/>
      <w:bookmarkStart w:id="135" w:name="_Toc6370"/>
      <w:bookmarkStart w:id="136" w:name="_Toc10744"/>
      <w:bookmarkStart w:id="137" w:name="_Toc35424905"/>
      <w:bookmarkStart w:id="138" w:name="_Toc35425071"/>
      <w:bookmarkStart w:id="139" w:name="_Toc35947188"/>
      <w:bookmarkStart w:id="140" w:name="_Toc15058864"/>
      <w:bookmarkStart w:id="141" w:name="_Toc506107286"/>
      <w:r>
        <w:rPr>
          <w:rFonts w:hint="eastAsia" w:ascii="宋体" w:hAnsi="宋体" w:cs="宋体"/>
          <w:b/>
          <w:bCs/>
          <w:color w:val="auto"/>
          <w:szCs w:val="21"/>
          <w:highlight w:val="none"/>
        </w:rPr>
        <w:t>3.1 投标文件的组成</w:t>
      </w:r>
      <w:bookmarkEnd w:id="134"/>
      <w:bookmarkEnd w:id="135"/>
      <w:bookmarkEnd w:id="136"/>
      <w:bookmarkEnd w:id="137"/>
      <w:bookmarkEnd w:id="138"/>
      <w:bookmarkEnd w:id="139"/>
      <w:bookmarkEnd w:id="140"/>
      <w:bookmarkEnd w:id="141"/>
    </w:p>
    <w:p>
      <w:pPr>
        <w:spacing w:line="440" w:lineRule="exact"/>
        <w:ind w:firstLine="422" w:firstLineChars="200"/>
        <w:rPr>
          <w:rFonts w:ascii="宋体" w:hAnsi="宋体"/>
          <w:b/>
          <w:bCs/>
          <w:color w:val="auto"/>
          <w:highlight w:val="none"/>
        </w:rPr>
      </w:pPr>
      <w:bookmarkStart w:id="142" w:name="_Toc35424906"/>
      <w:bookmarkStart w:id="143" w:name="_Toc247085707"/>
      <w:bookmarkStart w:id="144" w:name="_Toc324404834"/>
      <w:bookmarkStart w:id="145" w:name="_Toc296602438"/>
      <w:bookmarkStart w:id="146" w:name="_Toc31424"/>
      <w:bookmarkStart w:id="147" w:name="_Toc246996936"/>
      <w:bookmarkStart w:id="148" w:name="_Toc15058865"/>
      <w:bookmarkStart w:id="149" w:name="_Toc506107287"/>
      <w:bookmarkStart w:id="150" w:name="_Toc179632566"/>
      <w:bookmarkStart w:id="151" w:name="_Toc152045548"/>
      <w:bookmarkStart w:id="152" w:name="_Toc14180"/>
      <w:bookmarkStart w:id="153" w:name="_Toc35425072"/>
      <w:bookmarkStart w:id="154" w:name="_Toc152042324"/>
      <w:bookmarkStart w:id="155" w:name="_Toc35947189"/>
      <w:bookmarkStart w:id="156" w:name="_Toc144974516"/>
      <w:bookmarkStart w:id="157" w:name="_Toc6207"/>
      <w:bookmarkStart w:id="158" w:name="_Toc246996193"/>
      <w:r>
        <w:rPr>
          <w:rFonts w:hint="eastAsia" w:ascii="宋体" w:hAnsi="宋体"/>
          <w:b/>
          <w:bCs/>
          <w:color w:val="auto"/>
          <w:highlight w:val="none"/>
        </w:rPr>
        <w:t>投标文件由资信部分、技术部分、商务部分三部分组成，按照招标文件格式要求进行编写。</w:t>
      </w:r>
    </w:p>
    <w:p>
      <w:pPr>
        <w:spacing w:line="440" w:lineRule="atLeast"/>
        <w:ind w:firstLine="422" w:firstLineChars="200"/>
        <w:outlineLvl w:val="2"/>
        <w:rPr>
          <w:rFonts w:ascii="宋体" w:hAnsi="宋体" w:cs="宋体"/>
          <w:b/>
          <w:bCs/>
          <w:color w:val="auto"/>
          <w:szCs w:val="21"/>
          <w:highlight w:val="none"/>
        </w:rPr>
      </w:pPr>
      <w:r>
        <w:rPr>
          <w:rFonts w:hint="eastAsia" w:ascii="宋体" w:hAnsi="宋体" w:cs="宋体"/>
          <w:b/>
          <w:bCs/>
          <w:color w:val="auto"/>
          <w:szCs w:val="21"/>
          <w:highlight w:val="none"/>
        </w:rPr>
        <w:t>3.2 投标报价</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spacing w:line="440" w:lineRule="atLeast"/>
        <w:ind w:firstLine="420" w:firstLineChars="200"/>
        <w:rPr>
          <w:rFonts w:ascii="宋体" w:hAnsi="宋体" w:cs="宋体"/>
          <w:color w:val="auto"/>
          <w:szCs w:val="21"/>
          <w:highlight w:val="none"/>
        </w:rPr>
      </w:pPr>
      <w:bookmarkStart w:id="159" w:name="_Toc35947190"/>
      <w:bookmarkStart w:id="160" w:name="_Toc35425073"/>
      <w:bookmarkStart w:id="161" w:name="_Toc24128"/>
      <w:bookmarkStart w:id="162" w:name="_Toc144974517"/>
      <w:bookmarkStart w:id="163" w:name="_Toc8930"/>
      <w:bookmarkStart w:id="164" w:name="_Toc324404835"/>
      <w:bookmarkStart w:id="165" w:name="_Toc246996194"/>
      <w:bookmarkStart w:id="166" w:name="_Toc296602439"/>
      <w:bookmarkStart w:id="167" w:name="_Toc24368"/>
      <w:bookmarkStart w:id="168" w:name="_Toc247085708"/>
      <w:bookmarkStart w:id="169" w:name="_Toc35424907"/>
      <w:bookmarkStart w:id="170" w:name="_Toc15058866"/>
      <w:bookmarkStart w:id="171" w:name="_Toc179632567"/>
      <w:bookmarkStart w:id="172" w:name="_Toc506107288"/>
      <w:bookmarkStart w:id="173" w:name="_Toc152042325"/>
      <w:bookmarkStart w:id="174" w:name="_Toc152045549"/>
      <w:bookmarkStart w:id="175" w:name="_Toc246996937"/>
      <w:r>
        <w:rPr>
          <w:rFonts w:hint="eastAsia" w:ascii="宋体" w:hAnsi="宋体" w:cs="宋体"/>
          <w:color w:val="auto"/>
          <w:szCs w:val="21"/>
          <w:highlight w:val="none"/>
        </w:rPr>
        <w:t>3.2.1投标报价文件中的单价和总价全部采用人民币表示。投标人的报价应含有服务、利润、税金、政策性文件规定及合同包含的所有风险、责任、义务等，即为完成招标文件要求的服务内容所包含的一切应有费用，采购人后期不再追加费用，投标投标人自行考虑投标风险。</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3.2.2投标人只允许有一个方案、一个报价。</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3.2.3技术要求中规定的安装、调试和培训费用应包括在投标价格中。投标文件报价为含税价，采购人不再为此次招标支付任何费用。</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3.2.4投标报价应由法定代表人或被授权人签署。</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3.2.5投标人的报价不得高于本次招标最高限价，否则将作为无效投标处理。</w:t>
      </w:r>
    </w:p>
    <w:p>
      <w:pPr>
        <w:spacing w:line="440" w:lineRule="atLeast"/>
        <w:ind w:firstLine="422" w:firstLineChars="200"/>
        <w:outlineLvl w:val="2"/>
        <w:rPr>
          <w:rFonts w:ascii="宋体" w:hAnsi="宋体" w:cs="宋体"/>
          <w:b/>
          <w:bCs/>
          <w:color w:val="auto"/>
          <w:szCs w:val="21"/>
          <w:highlight w:val="none"/>
        </w:rPr>
      </w:pPr>
      <w:r>
        <w:rPr>
          <w:rFonts w:hint="eastAsia" w:ascii="宋体" w:hAnsi="宋体" w:cs="宋体"/>
          <w:b/>
          <w:bCs/>
          <w:color w:val="auto"/>
          <w:szCs w:val="21"/>
          <w:highlight w:val="none"/>
        </w:rPr>
        <w:t>3.3 投标有效期</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spacing w:line="440" w:lineRule="exact"/>
        <w:ind w:firstLine="420" w:firstLineChars="200"/>
        <w:rPr>
          <w:rFonts w:ascii="宋体"/>
          <w:color w:val="auto"/>
          <w:szCs w:val="21"/>
          <w:highlight w:val="none"/>
        </w:rPr>
      </w:pPr>
      <w:bookmarkStart w:id="176" w:name="_Toc11832"/>
      <w:bookmarkStart w:id="177" w:name="_Toc152045550"/>
      <w:bookmarkStart w:id="178" w:name="_Toc296602440"/>
      <w:bookmarkStart w:id="179" w:name="_Toc144974518"/>
      <w:bookmarkStart w:id="180" w:name="_Toc246996195"/>
      <w:bookmarkStart w:id="181" w:name="_Toc246996938"/>
      <w:bookmarkStart w:id="182" w:name="_Toc35947191"/>
      <w:bookmarkStart w:id="183" w:name="_Toc247085709"/>
      <w:bookmarkStart w:id="184" w:name="_Toc15058867"/>
      <w:bookmarkStart w:id="185" w:name="_Toc35424908"/>
      <w:bookmarkStart w:id="186" w:name="_Toc324404836"/>
      <w:bookmarkStart w:id="187" w:name="_Toc152042326"/>
      <w:bookmarkStart w:id="188" w:name="_Toc35425074"/>
      <w:bookmarkStart w:id="189" w:name="_Toc179632568"/>
      <w:bookmarkStart w:id="190" w:name="_Toc506107289"/>
      <w:bookmarkStart w:id="191" w:name="_Toc10052"/>
      <w:bookmarkStart w:id="192" w:name="_Toc7863"/>
      <w:r>
        <w:rPr>
          <w:rFonts w:hint="eastAsia" w:ascii="宋体"/>
          <w:color w:val="auto"/>
          <w:szCs w:val="21"/>
          <w:highlight w:val="none"/>
        </w:rPr>
        <w:t>13.1 除投标人须知前附表另有规定外，投标有效期为30天。</w:t>
      </w:r>
    </w:p>
    <w:p>
      <w:pPr>
        <w:spacing w:line="440" w:lineRule="exact"/>
        <w:ind w:firstLine="420" w:firstLineChars="200"/>
        <w:rPr>
          <w:rFonts w:ascii="宋体"/>
          <w:color w:val="auto"/>
          <w:szCs w:val="21"/>
          <w:highlight w:val="none"/>
        </w:rPr>
      </w:pPr>
      <w:r>
        <w:rPr>
          <w:rFonts w:hint="eastAsia" w:ascii="宋体"/>
          <w:color w:val="auto"/>
          <w:szCs w:val="21"/>
          <w:highlight w:val="none"/>
        </w:rPr>
        <w:t>13.2在投标有效期内，投标人撤销或修改其投标文件的，应承担招标文件和法律规定的责任。</w:t>
      </w:r>
    </w:p>
    <w:p>
      <w:pPr>
        <w:spacing w:line="440" w:lineRule="exact"/>
        <w:ind w:firstLine="420" w:firstLineChars="200"/>
        <w:rPr>
          <w:rFonts w:ascii="宋体"/>
          <w:color w:val="auto"/>
          <w:szCs w:val="21"/>
          <w:highlight w:val="none"/>
        </w:rPr>
      </w:pPr>
      <w:r>
        <w:rPr>
          <w:rFonts w:hint="eastAsia" w:ascii="宋体"/>
          <w:color w:val="auto"/>
          <w:szCs w:val="21"/>
          <w:highlight w:val="none"/>
        </w:rPr>
        <w:t>13.3出现特殊情况需要延长投标有效期的，采购人以书面形式通知所有投标人延长投标有效期。</w:t>
      </w:r>
    </w:p>
    <w:p>
      <w:pPr>
        <w:spacing w:line="440" w:lineRule="atLeast"/>
        <w:ind w:firstLine="422" w:firstLineChars="200"/>
        <w:outlineLvl w:val="2"/>
        <w:rPr>
          <w:rFonts w:ascii="宋体" w:hAnsi="宋体" w:cs="宋体"/>
          <w:b/>
          <w:bCs/>
          <w:color w:val="auto"/>
          <w:szCs w:val="21"/>
          <w:highlight w:val="none"/>
        </w:rPr>
      </w:pPr>
      <w:r>
        <w:rPr>
          <w:rFonts w:hint="eastAsia" w:ascii="宋体" w:hAnsi="宋体" w:cs="宋体"/>
          <w:b/>
          <w:bCs/>
          <w:color w:val="auto"/>
          <w:szCs w:val="21"/>
          <w:highlight w:val="none"/>
        </w:rPr>
        <w:t>3.4 投标保证金</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rFonts w:hint="eastAsia" w:ascii="宋体" w:hAnsi="宋体" w:cs="宋体"/>
          <w:b/>
          <w:bCs/>
          <w:color w:val="auto"/>
          <w:szCs w:val="21"/>
          <w:highlight w:val="none"/>
        </w:rPr>
        <w:t>（不要求）</w:t>
      </w:r>
    </w:p>
    <w:bookmarkEnd w:id="191"/>
    <w:bookmarkEnd w:id="192"/>
    <w:p>
      <w:pPr>
        <w:spacing w:line="440" w:lineRule="atLeast"/>
        <w:ind w:firstLine="422" w:firstLineChars="200"/>
        <w:outlineLvl w:val="2"/>
        <w:rPr>
          <w:rFonts w:ascii="宋体" w:hAnsi="宋体" w:cs="宋体"/>
          <w:b/>
          <w:bCs/>
          <w:color w:val="auto"/>
          <w:szCs w:val="21"/>
          <w:highlight w:val="none"/>
        </w:rPr>
      </w:pPr>
      <w:bookmarkStart w:id="193" w:name="_Toc35947192"/>
      <w:bookmarkStart w:id="194" w:name="_Toc18845"/>
      <w:bookmarkStart w:id="195" w:name="_Toc35424909"/>
      <w:bookmarkStart w:id="196" w:name="_Toc506107290"/>
      <w:bookmarkStart w:id="197" w:name="_Toc296602442"/>
      <w:bookmarkStart w:id="198" w:name="_Toc15058868"/>
      <w:bookmarkStart w:id="199" w:name="_Toc35425075"/>
      <w:bookmarkStart w:id="200" w:name="_Toc324404837"/>
      <w:bookmarkStart w:id="201" w:name="_Toc18536"/>
      <w:bookmarkStart w:id="202" w:name="_Toc2570"/>
      <w:bookmarkStart w:id="203" w:name="_Toc246996940"/>
      <w:bookmarkStart w:id="204" w:name="_Toc144974521"/>
      <w:bookmarkStart w:id="205" w:name="_Toc152045553"/>
      <w:bookmarkStart w:id="206" w:name="_Toc247085711"/>
      <w:bookmarkStart w:id="207" w:name="_Toc246996197"/>
      <w:bookmarkStart w:id="208" w:name="_Toc179632571"/>
      <w:bookmarkStart w:id="209" w:name="_Toc152042329"/>
      <w:r>
        <w:rPr>
          <w:rFonts w:hint="eastAsia" w:ascii="宋体" w:hAnsi="宋体" w:cs="宋体"/>
          <w:b/>
          <w:bCs/>
          <w:color w:val="auto"/>
          <w:szCs w:val="21"/>
          <w:highlight w:val="none"/>
        </w:rPr>
        <w:t>3.5投标文件的编制</w:t>
      </w:r>
      <w:bookmarkEnd w:id="193"/>
      <w:bookmarkEnd w:id="194"/>
      <w:bookmarkEnd w:id="195"/>
      <w:bookmarkEnd w:id="196"/>
      <w:bookmarkEnd w:id="197"/>
      <w:bookmarkEnd w:id="198"/>
      <w:bookmarkEnd w:id="199"/>
      <w:bookmarkEnd w:id="200"/>
      <w:bookmarkEnd w:id="201"/>
      <w:bookmarkEnd w:id="202"/>
    </w:p>
    <w:bookmarkEnd w:id="203"/>
    <w:bookmarkEnd w:id="204"/>
    <w:bookmarkEnd w:id="205"/>
    <w:bookmarkEnd w:id="206"/>
    <w:bookmarkEnd w:id="207"/>
    <w:bookmarkEnd w:id="208"/>
    <w:bookmarkEnd w:id="209"/>
    <w:p>
      <w:pPr>
        <w:spacing w:line="440" w:lineRule="atLeast"/>
        <w:ind w:firstLine="420" w:firstLineChars="200"/>
        <w:rPr>
          <w:rFonts w:ascii="宋体" w:hAnsi="宋体" w:cs="宋体"/>
          <w:color w:val="auto"/>
          <w:szCs w:val="21"/>
          <w:highlight w:val="none"/>
        </w:rPr>
      </w:pPr>
      <w:bookmarkStart w:id="210" w:name="_Toc324404838"/>
      <w:bookmarkStart w:id="211" w:name="_Toc144974523"/>
      <w:bookmarkStart w:id="212" w:name="_Toc246996942"/>
      <w:bookmarkStart w:id="213" w:name="_Toc152042331"/>
      <w:bookmarkStart w:id="214" w:name="_Toc152045555"/>
      <w:bookmarkStart w:id="215" w:name="_Toc246996199"/>
      <w:bookmarkStart w:id="216" w:name="_Toc247085713"/>
      <w:bookmarkStart w:id="217" w:name="_Toc179632573"/>
      <w:r>
        <w:rPr>
          <w:rFonts w:hint="eastAsia" w:ascii="宋体" w:hAnsi="宋体" w:cs="宋体"/>
          <w:color w:val="auto"/>
          <w:szCs w:val="21"/>
          <w:highlight w:val="none"/>
        </w:rPr>
        <w:t>3.5.1投标文件应按“投标文件格式”进行编写，如有必要，可以增加附页，作为投标文件的组成部分。</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3.5.2 投标文件应当对交易文件有关服务期、投标有效期、质量要求、技术标准和要求、招标范围等实质性内容作出响应。</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3.5.3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3.5.4 投标文件正本、 副本份数见投标人须知前附表。正本和副本的封面上应清楚地标记“正本”或“副本”的字样。当副本和正本不一致时，以正本为准。</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3.5.5 投标文件的正本与副本应分别装订成册，具体装订要求见投标人须知前附表规定。</w:t>
      </w:r>
    </w:p>
    <w:p>
      <w:pPr>
        <w:pStyle w:val="3"/>
        <w:ind w:firstLine="482"/>
        <w:rPr>
          <w:color w:val="auto"/>
          <w:highlight w:val="none"/>
        </w:rPr>
      </w:pPr>
      <w:bookmarkStart w:id="218" w:name="_Toc8706"/>
      <w:bookmarkStart w:id="219" w:name="_Toc8633"/>
      <w:bookmarkStart w:id="220" w:name="_Toc35947193"/>
      <w:bookmarkStart w:id="221" w:name="_Toc18579"/>
      <w:bookmarkStart w:id="222" w:name="_Toc35424910"/>
      <w:bookmarkStart w:id="223" w:name="_Toc21503"/>
      <w:bookmarkStart w:id="224" w:name="_Toc506107291"/>
      <w:bookmarkStart w:id="225" w:name="_Toc35425076"/>
      <w:bookmarkStart w:id="226" w:name="_Toc15058869"/>
      <w:r>
        <w:rPr>
          <w:rFonts w:hint="eastAsia"/>
          <w:color w:val="auto"/>
          <w:highlight w:val="none"/>
        </w:rPr>
        <w:t>4.投标</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spacing w:line="440" w:lineRule="atLeast"/>
        <w:ind w:firstLine="361" w:firstLineChars="200"/>
        <w:outlineLvl w:val="2"/>
        <w:rPr>
          <w:rFonts w:ascii="宋体" w:hAnsi="宋体" w:cs="宋体"/>
          <w:b/>
          <w:bCs/>
          <w:color w:val="auto"/>
          <w:sz w:val="18"/>
          <w:szCs w:val="18"/>
          <w:highlight w:val="none"/>
        </w:rPr>
      </w:pPr>
      <w:bookmarkStart w:id="227" w:name="_Toc1347"/>
      <w:bookmarkStart w:id="228" w:name="_Toc4607"/>
      <w:bookmarkStart w:id="229" w:name="_Toc152045556"/>
      <w:bookmarkStart w:id="230" w:name="_Toc152042332"/>
      <w:bookmarkStart w:id="231" w:name="_Toc144974524"/>
      <w:bookmarkStart w:id="232" w:name="_Toc30189"/>
      <w:bookmarkStart w:id="233" w:name="_Toc324404839"/>
      <w:bookmarkStart w:id="234" w:name="_Toc179632574"/>
      <w:bookmarkStart w:id="235" w:name="_Toc296602444"/>
      <w:bookmarkStart w:id="236" w:name="_Toc246996943"/>
      <w:bookmarkStart w:id="237" w:name="_Toc247085714"/>
      <w:bookmarkStart w:id="238" w:name="_Toc246996200"/>
      <w:bookmarkStart w:id="239" w:name="_Toc144974527"/>
      <w:bookmarkStart w:id="240" w:name="_Toc246996203"/>
      <w:bookmarkStart w:id="241" w:name="_Toc246996946"/>
      <w:bookmarkStart w:id="242" w:name="_Toc21611136"/>
      <w:bookmarkStart w:id="243" w:name="_Toc247085717"/>
      <w:bookmarkStart w:id="244" w:name="_Toc152042335"/>
      <w:bookmarkStart w:id="245" w:name="_Toc324404842"/>
      <w:bookmarkStart w:id="246" w:name="_Toc152045559"/>
      <w:bookmarkStart w:id="247" w:name="_Toc179632577"/>
      <w:bookmarkStart w:id="248" w:name="_Toc506107295"/>
      <w:bookmarkStart w:id="249" w:name="_Toc35425085"/>
      <w:bookmarkStart w:id="250" w:name="_Toc152045562"/>
      <w:bookmarkStart w:id="251" w:name="_Toc246996206"/>
      <w:bookmarkStart w:id="252" w:name="_Toc35424919"/>
      <w:bookmarkStart w:id="253" w:name="_Toc152042338"/>
      <w:bookmarkStart w:id="254" w:name="_Toc246996949"/>
      <w:bookmarkStart w:id="255" w:name="_Toc179632580"/>
      <w:bookmarkStart w:id="256" w:name="_Toc15058884"/>
      <w:bookmarkStart w:id="257" w:name="_Toc324404846"/>
      <w:bookmarkStart w:id="258" w:name="_Toc144974530"/>
      <w:bookmarkStart w:id="259" w:name="_Toc506107299"/>
      <w:bookmarkStart w:id="260" w:name="_Toc247085720"/>
      <w:bookmarkStart w:id="261" w:name="_Toc35947202"/>
      <w:r>
        <w:rPr>
          <w:rFonts w:hint="eastAsia" w:ascii="宋体" w:hAnsi="宋体" w:cs="宋体"/>
          <w:b/>
          <w:bCs/>
          <w:color w:val="auto"/>
          <w:sz w:val="18"/>
          <w:szCs w:val="18"/>
          <w:highlight w:val="none"/>
        </w:rPr>
        <w:t>4.1 投标文件的密封和标记</w:t>
      </w:r>
      <w:bookmarkEnd w:id="227"/>
      <w:bookmarkEnd w:id="228"/>
      <w:bookmarkEnd w:id="229"/>
      <w:bookmarkEnd w:id="230"/>
      <w:bookmarkEnd w:id="231"/>
      <w:bookmarkEnd w:id="232"/>
      <w:bookmarkEnd w:id="233"/>
      <w:bookmarkEnd w:id="234"/>
      <w:bookmarkEnd w:id="235"/>
      <w:bookmarkEnd w:id="236"/>
      <w:bookmarkEnd w:id="237"/>
      <w:bookmarkEnd w:id="238"/>
    </w:p>
    <w:p>
      <w:pPr>
        <w:spacing w:line="440" w:lineRule="atLeast"/>
        <w:ind w:firstLine="420" w:firstLineChars="200"/>
        <w:rPr>
          <w:rFonts w:ascii="宋体" w:hAnsi="宋体" w:cs="宋体"/>
          <w:color w:val="auto"/>
          <w:szCs w:val="21"/>
          <w:highlight w:val="none"/>
        </w:rPr>
      </w:pPr>
      <w:bookmarkStart w:id="262" w:name="_Toc246996944"/>
      <w:bookmarkStart w:id="263" w:name="_Toc247085715"/>
      <w:bookmarkStart w:id="264" w:name="_Toc152045557"/>
      <w:bookmarkStart w:id="265" w:name="_Toc144974525"/>
      <w:bookmarkStart w:id="266" w:name="_Toc152042333"/>
      <w:bookmarkStart w:id="267" w:name="_Toc179632575"/>
      <w:bookmarkStart w:id="268" w:name="_Toc246996201"/>
      <w:r>
        <w:rPr>
          <w:rFonts w:hint="eastAsia" w:ascii="宋体" w:hAnsi="宋体" w:cs="宋体"/>
          <w:color w:val="auto"/>
          <w:szCs w:val="21"/>
          <w:highlight w:val="none"/>
        </w:rPr>
        <w:t>4.1.1 投标文件应进行密封包装，并在封套上加盖投标人单位章。</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4.1.2 投标文件封套上应写明的内容及具体密封要求见投标人须知前附表。</w:t>
      </w:r>
    </w:p>
    <w:p>
      <w:pPr>
        <w:spacing w:line="440" w:lineRule="atLeast"/>
        <w:ind w:firstLine="361" w:firstLineChars="200"/>
        <w:outlineLvl w:val="2"/>
        <w:rPr>
          <w:rFonts w:ascii="宋体" w:hAnsi="宋体" w:cs="宋体"/>
          <w:b/>
          <w:bCs/>
          <w:color w:val="auto"/>
          <w:sz w:val="18"/>
          <w:szCs w:val="18"/>
          <w:highlight w:val="none"/>
        </w:rPr>
      </w:pPr>
      <w:bookmarkStart w:id="269" w:name="_Toc14812"/>
      <w:bookmarkStart w:id="270" w:name="_Toc324404840"/>
      <w:bookmarkStart w:id="271" w:name="_Toc296602445"/>
      <w:bookmarkStart w:id="272" w:name="_Toc4531"/>
      <w:bookmarkStart w:id="273" w:name="_Toc28392"/>
      <w:r>
        <w:rPr>
          <w:rFonts w:hint="eastAsia" w:ascii="宋体" w:hAnsi="宋体" w:cs="宋体"/>
          <w:b/>
          <w:bCs/>
          <w:color w:val="auto"/>
          <w:sz w:val="18"/>
          <w:szCs w:val="18"/>
          <w:highlight w:val="none"/>
        </w:rPr>
        <w:t>4.2 投标文件的递交</w:t>
      </w:r>
      <w:bookmarkEnd w:id="262"/>
      <w:bookmarkEnd w:id="263"/>
      <w:bookmarkEnd w:id="264"/>
      <w:bookmarkEnd w:id="265"/>
      <w:bookmarkEnd w:id="266"/>
      <w:bookmarkEnd w:id="267"/>
      <w:bookmarkEnd w:id="268"/>
      <w:bookmarkEnd w:id="269"/>
      <w:bookmarkEnd w:id="270"/>
      <w:bookmarkEnd w:id="271"/>
      <w:bookmarkEnd w:id="272"/>
      <w:bookmarkEnd w:id="273"/>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4.2.1投标人应在投标人须知前附表规定的投标截止时间前递交投标文件。</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4.2.2 投标人递交投标文件的地点：见投标人须知前附表。</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4.2.3 除投标人须知前附表另有规定外，投标人所递交的投标文件不予退还。</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4.2.4 逾期送达的或者未送达指定地点的投标文件，采购人不予受理。</w:t>
      </w:r>
    </w:p>
    <w:p>
      <w:pPr>
        <w:spacing w:line="440" w:lineRule="atLeast"/>
        <w:ind w:firstLine="361" w:firstLineChars="200"/>
        <w:outlineLvl w:val="2"/>
        <w:rPr>
          <w:rFonts w:ascii="宋体" w:hAnsi="宋体" w:cs="宋体"/>
          <w:b/>
          <w:bCs/>
          <w:color w:val="auto"/>
          <w:sz w:val="18"/>
          <w:szCs w:val="18"/>
          <w:highlight w:val="none"/>
        </w:rPr>
      </w:pPr>
      <w:bookmarkStart w:id="274" w:name="_Toc152045558"/>
      <w:bookmarkStart w:id="275" w:name="_Toc324404841"/>
      <w:bookmarkStart w:id="276" w:name="_Toc179632576"/>
      <w:bookmarkStart w:id="277" w:name="_Toc20500"/>
      <w:bookmarkStart w:id="278" w:name="_Toc144974526"/>
      <w:bookmarkStart w:id="279" w:name="_Toc16808"/>
      <w:bookmarkStart w:id="280" w:name="_Toc25278"/>
      <w:bookmarkStart w:id="281" w:name="_Toc152042334"/>
      <w:bookmarkStart w:id="282" w:name="_Toc246996202"/>
      <w:bookmarkStart w:id="283" w:name="_Toc246996945"/>
      <w:bookmarkStart w:id="284" w:name="_Toc247085716"/>
      <w:bookmarkStart w:id="285" w:name="_Toc296602446"/>
      <w:r>
        <w:rPr>
          <w:rFonts w:hint="eastAsia" w:ascii="宋体" w:hAnsi="宋体" w:cs="宋体"/>
          <w:b/>
          <w:bCs/>
          <w:color w:val="auto"/>
          <w:sz w:val="18"/>
          <w:szCs w:val="18"/>
          <w:highlight w:val="none"/>
        </w:rPr>
        <w:t>4.3 投标文件的修改与撤回</w:t>
      </w:r>
      <w:bookmarkEnd w:id="274"/>
      <w:bookmarkEnd w:id="275"/>
      <w:bookmarkEnd w:id="276"/>
      <w:bookmarkEnd w:id="277"/>
      <w:bookmarkEnd w:id="278"/>
      <w:bookmarkEnd w:id="279"/>
      <w:bookmarkEnd w:id="280"/>
      <w:bookmarkEnd w:id="281"/>
      <w:bookmarkEnd w:id="282"/>
      <w:bookmarkEnd w:id="283"/>
      <w:bookmarkEnd w:id="284"/>
      <w:bookmarkEnd w:id="285"/>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4.3.1在投标人须知前附表规定的投标截止时间前，投标人可以修改或撤回已递交的投标文件，但应以书面形式通知采购人。</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4.3.2 投标人修改或撤回已递交投标文件的书面通知应按照本章第3.5.3项的要求签字或盖章。采购人收到书面通知后，投标人签到登记。</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4.3.4 修改的内容为投标文件的组成部分。修改的投标文件应按照本章第3条、第4条规定进行编制、密封、标记和递交，并标明“修改”字样。</w:t>
      </w:r>
    </w:p>
    <w:p>
      <w:pPr>
        <w:pStyle w:val="3"/>
        <w:ind w:firstLine="482"/>
        <w:rPr>
          <w:color w:val="auto"/>
          <w:highlight w:val="none"/>
        </w:rPr>
      </w:pPr>
      <w:bookmarkStart w:id="286" w:name="_Toc29955"/>
      <w:bookmarkStart w:id="287" w:name="_Toc440"/>
      <w:bookmarkStart w:id="288" w:name="_Toc21875"/>
      <w:bookmarkStart w:id="289" w:name="_Toc32525"/>
      <w:r>
        <w:rPr>
          <w:rFonts w:hint="eastAsia"/>
          <w:color w:val="auto"/>
          <w:highlight w:val="none"/>
        </w:rPr>
        <w:t>5. 开标</w:t>
      </w:r>
      <w:bookmarkEnd w:id="239"/>
      <w:bookmarkEnd w:id="240"/>
      <w:bookmarkEnd w:id="241"/>
      <w:bookmarkEnd w:id="242"/>
      <w:bookmarkEnd w:id="243"/>
      <w:bookmarkEnd w:id="244"/>
      <w:bookmarkEnd w:id="245"/>
      <w:bookmarkEnd w:id="246"/>
      <w:bookmarkEnd w:id="247"/>
      <w:bookmarkEnd w:id="248"/>
      <w:bookmarkEnd w:id="286"/>
      <w:bookmarkEnd w:id="287"/>
      <w:bookmarkEnd w:id="288"/>
      <w:bookmarkEnd w:id="289"/>
    </w:p>
    <w:p>
      <w:pPr>
        <w:spacing w:line="440" w:lineRule="atLeast"/>
        <w:ind w:firstLine="420" w:firstLineChars="200"/>
        <w:rPr>
          <w:rFonts w:ascii="宋体" w:hAnsi="宋体" w:cs="宋体"/>
          <w:color w:val="auto"/>
          <w:szCs w:val="21"/>
          <w:highlight w:val="none"/>
        </w:rPr>
      </w:pPr>
      <w:bookmarkStart w:id="290" w:name="_Toc12593"/>
      <w:bookmarkStart w:id="291" w:name="_Toc13541"/>
      <w:bookmarkStart w:id="292" w:name="_Toc25571"/>
      <w:bookmarkStart w:id="293" w:name="_Toc32566"/>
      <w:r>
        <w:rPr>
          <w:rFonts w:hint="eastAsia" w:ascii="宋体" w:hAnsi="宋体" w:cs="宋体"/>
          <w:color w:val="auto"/>
          <w:szCs w:val="21"/>
          <w:highlight w:val="none"/>
        </w:rPr>
        <w:t>5.1招标人按本须知要求提交投标文件的截止时间和地点公开开标，并邀请相关监管部门参加。</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5.2开标程序</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开标会议由采购代理机构主持。</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（1）公布投标截止时间前，递交投标文件的投标人名称及数量； </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（2）投标人在投标截止时间后，拆分标书，报评委处评审；</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（3）公布投标人投标报价、供货期等内容，并记录在案；</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（4）开标结束。</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多标包项目按照标包顺序按以上程序依次开标。</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5.3. 开评标异常情况处理</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5.3.1重新招标 </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有下列情形之一的，招标人将重新招标：</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(1)投标截止时间止，投标人少于三个的； </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(2)经评审小组评审后否决所有投标的；</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(3)出现影响采购公正的违法、违规行为的；</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(4)投标人的报价均脱离实际且无充分证据的；</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(5)因重大变故，采购任务取消的。</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5.3.2变更采购方式</w:t>
      </w:r>
    </w:p>
    <w:p>
      <w:pPr>
        <w:spacing w:line="440" w:lineRule="atLeast"/>
        <w:ind w:firstLine="420" w:firstLineChars="200"/>
        <w:rPr>
          <w:rFonts w:ascii="宋体" w:hAnsi="宋体" w:cs="宋体"/>
          <w:color w:val="auto"/>
          <w:szCs w:val="21"/>
          <w:highlight w:val="none"/>
        </w:rPr>
      </w:pPr>
      <w:bookmarkStart w:id="294" w:name="_Toc449028872"/>
      <w:r>
        <w:rPr>
          <w:rFonts w:hint="eastAsia" w:ascii="宋体" w:hAnsi="宋体" w:cs="宋体"/>
          <w:color w:val="auto"/>
          <w:szCs w:val="21"/>
          <w:highlight w:val="none"/>
        </w:rPr>
        <w:t>按照滁州市公管局和财政局相关规定执行。</w:t>
      </w:r>
      <w:bookmarkEnd w:id="294"/>
    </w:p>
    <w:p>
      <w:pPr>
        <w:pStyle w:val="3"/>
        <w:ind w:firstLine="482"/>
        <w:rPr>
          <w:color w:val="auto"/>
          <w:highlight w:val="none"/>
        </w:rPr>
      </w:pPr>
      <w:r>
        <w:rPr>
          <w:rFonts w:hint="eastAsia"/>
          <w:color w:val="auto"/>
          <w:highlight w:val="none"/>
        </w:rPr>
        <w:t>6. 评标</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90"/>
      <w:bookmarkEnd w:id="291"/>
      <w:bookmarkEnd w:id="292"/>
      <w:bookmarkEnd w:id="293"/>
    </w:p>
    <w:p>
      <w:pPr>
        <w:spacing w:line="440" w:lineRule="atLeast"/>
        <w:ind w:firstLine="422" w:firstLineChars="200"/>
        <w:outlineLvl w:val="2"/>
        <w:rPr>
          <w:rFonts w:ascii="宋体" w:hAnsi="宋体" w:cs="宋体"/>
          <w:b/>
          <w:bCs/>
          <w:color w:val="auto"/>
          <w:szCs w:val="21"/>
          <w:highlight w:val="none"/>
        </w:rPr>
      </w:pPr>
      <w:bookmarkStart w:id="295" w:name="_Toc246996950"/>
      <w:bookmarkStart w:id="296" w:name="_Toc14047"/>
      <w:bookmarkStart w:id="297" w:name="_Toc144974531"/>
      <w:bookmarkStart w:id="298" w:name="_Toc23087"/>
      <w:bookmarkStart w:id="299" w:name="_Toc27158"/>
      <w:bookmarkStart w:id="300" w:name="_Toc179632581"/>
      <w:bookmarkStart w:id="301" w:name="_Toc35424920"/>
      <w:bookmarkStart w:id="302" w:name="_Toc296602452"/>
      <w:bookmarkStart w:id="303" w:name="_Toc152045563"/>
      <w:bookmarkStart w:id="304" w:name="_Toc15058885"/>
      <w:bookmarkStart w:id="305" w:name="_Toc35425086"/>
      <w:bookmarkStart w:id="306" w:name="_Toc152042339"/>
      <w:bookmarkStart w:id="307" w:name="_Toc324404847"/>
      <w:bookmarkStart w:id="308" w:name="_Toc247085721"/>
      <w:bookmarkStart w:id="309" w:name="_Toc35947203"/>
      <w:bookmarkStart w:id="310" w:name="_Toc506107300"/>
      <w:bookmarkStart w:id="311" w:name="_Toc246996207"/>
      <w:r>
        <w:rPr>
          <w:rFonts w:hint="eastAsia" w:ascii="宋体" w:hAnsi="宋体" w:cs="宋体"/>
          <w:b/>
          <w:bCs/>
          <w:color w:val="auto"/>
          <w:szCs w:val="21"/>
          <w:highlight w:val="none"/>
        </w:rPr>
        <w:t>6.1 评标委员会</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6.1.1 评标由采购人依法组建的评标委员会负责。评标委员会由采购人或其委托的招标代理机构熟悉相关业务的代表，以及有关技术、经济等方面的专家组成。评标委员会成员人数以及技术、经济等方面专家的确定方式见投标人须知前附表。</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（1）投标人或投标人主要负责人的近亲属；</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（3）与投标人有经济利益关系；</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（5）与投标人有其他利害关系。</w:t>
      </w:r>
    </w:p>
    <w:p>
      <w:pPr>
        <w:spacing w:line="440" w:lineRule="atLeast"/>
        <w:ind w:firstLine="422" w:firstLineChars="200"/>
        <w:outlineLvl w:val="2"/>
        <w:rPr>
          <w:rFonts w:ascii="宋体" w:hAnsi="宋体" w:cs="宋体"/>
          <w:b/>
          <w:bCs/>
          <w:color w:val="auto"/>
          <w:szCs w:val="21"/>
          <w:highlight w:val="none"/>
        </w:rPr>
      </w:pPr>
      <w:bookmarkStart w:id="312" w:name="_Toc21925"/>
      <w:bookmarkStart w:id="313" w:name="_Toc324404848"/>
      <w:bookmarkStart w:id="314" w:name="_Toc246996951"/>
      <w:bookmarkStart w:id="315" w:name="_Toc247085722"/>
      <w:bookmarkStart w:id="316" w:name="_Toc246996208"/>
      <w:bookmarkStart w:id="317" w:name="_Toc506107301"/>
      <w:bookmarkStart w:id="318" w:name="_Toc35947204"/>
      <w:bookmarkStart w:id="319" w:name="_Toc296602453"/>
      <w:bookmarkStart w:id="320" w:name="_Toc35425087"/>
      <w:bookmarkStart w:id="321" w:name="_Toc35424921"/>
      <w:bookmarkStart w:id="322" w:name="_Toc152045564"/>
      <w:bookmarkStart w:id="323" w:name="_Toc28431"/>
      <w:bookmarkStart w:id="324" w:name="_Toc30301"/>
      <w:bookmarkStart w:id="325" w:name="_Toc152042340"/>
      <w:bookmarkStart w:id="326" w:name="_Toc15058886"/>
      <w:bookmarkStart w:id="327" w:name="_Toc144974532"/>
      <w:bookmarkStart w:id="328" w:name="_Toc179632582"/>
      <w:r>
        <w:rPr>
          <w:rFonts w:hint="eastAsia" w:ascii="宋体" w:hAnsi="宋体" w:cs="宋体"/>
          <w:b/>
          <w:bCs/>
          <w:color w:val="auto"/>
          <w:szCs w:val="21"/>
          <w:highlight w:val="none"/>
        </w:rPr>
        <w:t>6.2 评标原则</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pPr>
        <w:spacing w:line="440" w:lineRule="atLeast"/>
        <w:ind w:firstLine="422" w:firstLineChars="200"/>
        <w:outlineLvl w:val="2"/>
        <w:rPr>
          <w:rFonts w:ascii="宋体" w:hAnsi="宋体" w:cs="宋体"/>
          <w:b/>
          <w:bCs/>
          <w:color w:val="auto"/>
          <w:szCs w:val="21"/>
          <w:highlight w:val="none"/>
        </w:rPr>
      </w:pPr>
      <w:bookmarkStart w:id="329" w:name="_Toc9158"/>
      <w:bookmarkStart w:id="330" w:name="_Toc144974533"/>
      <w:bookmarkStart w:id="331" w:name="_Toc246996952"/>
      <w:bookmarkStart w:id="332" w:name="_Toc9695"/>
      <w:bookmarkStart w:id="333" w:name="_Toc152045565"/>
      <w:bookmarkStart w:id="334" w:name="_Toc15058887"/>
      <w:bookmarkStart w:id="335" w:name="_Toc152042341"/>
      <w:bookmarkStart w:id="336" w:name="_Toc506107302"/>
      <w:bookmarkStart w:id="337" w:name="_Toc35424922"/>
      <w:bookmarkStart w:id="338" w:name="_Toc35425088"/>
      <w:bookmarkStart w:id="339" w:name="_Toc35947205"/>
      <w:bookmarkStart w:id="340" w:name="_Toc324404849"/>
      <w:bookmarkStart w:id="341" w:name="_Toc247085723"/>
      <w:bookmarkStart w:id="342" w:name="_Toc296602454"/>
      <w:bookmarkStart w:id="343" w:name="_Toc246996209"/>
      <w:bookmarkStart w:id="344" w:name="_Toc20754"/>
      <w:bookmarkStart w:id="345" w:name="_Toc179632583"/>
      <w:r>
        <w:rPr>
          <w:rFonts w:hint="eastAsia" w:ascii="宋体" w:hAnsi="宋体" w:cs="宋体"/>
          <w:b/>
          <w:bCs/>
          <w:color w:val="auto"/>
          <w:szCs w:val="21"/>
          <w:highlight w:val="none"/>
        </w:rPr>
        <w:t>6.3 评标</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spacing w:line="440" w:lineRule="atLeast"/>
        <w:ind w:firstLine="420" w:firstLineChars="200"/>
        <w:rPr>
          <w:rFonts w:ascii="宋体" w:hAnsi="宋体" w:cs="宋体"/>
          <w:color w:val="auto"/>
          <w:szCs w:val="21"/>
          <w:highlight w:val="none"/>
        </w:rPr>
      </w:pPr>
      <w:bookmarkStart w:id="346" w:name="_Toc246996210"/>
      <w:bookmarkStart w:id="347" w:name="_Toc152045566"/>
      <w:bookmarkStart w:id="348" w:name="_Toc246996953"/>
      <w:bookmarkStart w:id="349" w:name="_Toc324404850"/>
      <w:bookmarkStart w:id="350" w:name="_Toc152042342"/>
      <w:bookmarkStart w:id="351" w:name="_Toc247085724"/>
      <w:bookmarkStart w:id="352" w:name="_Toc179632584"/>
      <w:bookmarkStart w:id="353" w:name="_Toc144974534"/>
      <w:r>
        <w:rPr>
          <w:rFonts w:hint="eastAsia" w:ascii="宋体" w:hAnsi="宋体" w:cs="宋体"/>
          <w:color w:val="auto"/>
          <w:szCs w:val="21"/>
          <w:highlight w:val="none"/>
        </w:rPr>
        <w:t>评标委员会按照第三章“评标办法”规定的方法、评审因素、标准和程序对投标文件进行评审。第三章“评标办法”没有规定的方法、评审因素和标准，不作为评标依据。</w:t>
      </w:r>
      <w:bookmarkStart w:id="354" w:name="_Toc15058888"/>
      <w:bookmarkStart w:id="355" w:name="_Toc35425089"/>
      <w:bookmarkStart w:id="356" w:name="_Toc35947206"/>
      <w:bookmarkStart w:id="357" w:name="_Toc21161"/>
      <w:bookmarkStart w:id="358" w:name="_Toc506107303"/>
      <w:bookmarkStart w:id="359" w:name="_Toc35424923"/>
      <w:bookmarkStart w:id="360" w:name="_Toc15727"/>
      <w:bookmarkStart w:id="361" w:name="_Toc15037"/>
      <w:bookmarkStart w:id="362" w:name="_Toc10567"/>
    </w:p>
    <w:p>
      <w:pPr>
        <w:pStyle w:val="3"/>
        <w:ind w:firstLine="482"/>
        <w:rPr>
          <w:color w:val="auto"/>
          <w:highlight w:val="none"/>
        </w:rPr>
      </w:pPr>
      <w:r>
        <w:rPr>
          <w:rFonts w:hint="eastAsia"/>
          <w:color w:val="auto"/>
          <w:highlight w:val="none"/>
        </w:rPr>
        <w:t>7. 合同授予</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pPr>
        <w:spacing w:line="440" w:lineRule="atLeast"/>
        <w:ind w:firstLine="422" w:firstLineChars="200"/>
        <w:outlineLvl w:val="2"/>
        <w:rPr>
          <w:rFonts w:ascii="宋体" w:hAnsi="宋体" w:cs="宋体"/>
          <w:b/>
          <w:bCs/>
          <w:color w:val="auto"/>
          <w:szCs w:val="21"/>
          <w:highlight w:val="none"/>
        </w:rPr>
      </w:pPr>
      <w:bookmarkStart w:id="363" w:name="_Toc35947207"/>
      <w:bookmarkStart w:id="364" w:name="_Toc15058889"/>
      <w:bookmarkStart w:id="365" w:name="_Toc1037"/>
      <w:bookmarkStart w:id="366" w:name="_Toc246996954"/>
      <w:bookmarkStart w:id="367" w:name="_Toc144974535"/>
      <w:bookmarkStart w:id="368" w:name="_Toc247085725"/>
      <w:bookmarkStart w:id="369" w:name="_Toc246996211"/>
      <w:bookmarkStart w:id="370" w:name="_Toc35425090"/>
      <w:bookmarkStart w:id="371" w:name="_Toc252"/>
      <w:bookmarkStart w:id="372" w:name="_Toc179632585"/>
      <w:bookmarkStart w:id="373" w:name="_Toc84"/>
      <w:bookmarkStart w:id="374" w:name="_Toc324404851"/>
      <w:bookmarkStart w:id="375" w:name="_Toc152042343"/>
      <w:bookmarkStart w:id="376" w:name="_Toc506107304"/>
      <w:bookmarkStart w:id="377" w:name="_Toc152045567"/>
      <w:bookmarkStart w:id="378" w:name="_Toc35424924"/>
      <w:bookmarkStart w:id="379" w:name="_Toc296602456"/>
      <w:r>
        <w:rPr>
          <w:rFonts w:hint="eastAsia" w:ascii="宋体" w:hAnsi="宋体" w:cs="宋体"/>
          <w:b/>
          <w:bCs/>
          <w:color w:val="auto"/>
          <w:szCs w:val="21"/>
          <w:highlight w:val="none"/>
        </w:rPr>
        <w:t>7.1 定标方式</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spacing w:line="440" w:lineRule="atLeast"/>
        <w:ind w:firstLine="420" w:firstLineChars="200"/>
        <w:rPr>
          <w:rFonts w:ascii="宋体" w:hAnsi="宋体" w:cs="宋体"/>
          <w:color w:val="auto"/>
          <w:szCs w:val="21"/>
          <w:highlight w:val="none"/>
        </w:rPr>
      </w:pPr>
      <w:bookmarkStart w:id="380" w:name="_Toc324404852"/>
      <w:bookmarkStart w:id="381" w:name="_Toc296602457"/>
      <w:r>
        <w:rPr>
          <w:rFonts w:hint="eastAsia" w:ascii="宋体" w:hAnsi="宋体" w:cs="宋体"/>
          <w:color w:val="auto"/>
          <w:szCs w:val="21"/>
          <w:highlight w:val="none"/>
        </w:rPr>
        <w:t>除投标人须知前附表规定评标委员会直接确定中标人外，采购人依据评标委员会推荐的中标候选人确定中标人，评标委员会推荐中标候选人的人数见投标人须知前附表。</w:t>
      </w:r>
    </w:p>
    <w:bookmarkEnd w:id="380"/>
    <w:bookmarkEnd w:id="381"/>
    <w:p>
      <w:pPr>
        <w:spacing w:line="440" w:lineRule="atLeast"/>
        <w:ind w:firstLine="422" w:firstLineChars="200"/>
        <w:outlineLvl w:val="2"/>
        <w:rPr>
          <w:rFonts w:ascii="宋体" w:hAnsi="宋体" w:cs="宋体"/>
          <w:b/>
          <w:bCs/>
          <w:color w:val="auto"/>
          <w:szCs w:val="21"/>
          <w:highlight w:val="none"/>
        </w:rPr>
      </w:pPr>
      <w:bookmarkStart w:id="382" w:name="_Toc15058891"/>
      <w:bookmarkStart w:id="383" w:name="_Toc144974536"/>
      <w:bookmarkStart w:id="384" w:name="_Toc35424927"/>
      <w:bookmarkStart w:id="385" w:name="_Toc296602458"/>
      <w:bookmarkStart w:id="386" w:name="_Toc18325"/>
      <w:bookmarkStart w:id="387" w:name="_Toc35425093"/>
      <w:bookmarkStart w:id="388" w:name="_Toc246996212"/>
      <w:bookmarkStart w:id="389" w:name="_Toc19428"/>
      <w:bookmarkStart w:id="390" w:name="_Toc247085726"/>
      <w:bookmarkStart w:id="391" w:name="_Toc152045568"/>
      <w:bookmarkStart w:id="392" w:name="_Toc324404853"/>
      <w:bookmarkStart w:id="393" w:name="_Toc506107306"/>
      <w:bookmarkStart w:id="394" w:name="_Toc23930"/>
      <w:bookmarkStart w:id="395" w:name="_Toc179632586"/>
      <w:bookmarkStart w:id="396" w:name="_Toc152042344"/>
      <w:bookmarkStart w:id="397" w:name="_Toc246996955"/>
      <w:bookmarkStart w:id="398" w:name="_Toc35947210"/>
      <w:r>
        <w:rPr>
          <w:rFonts w:hint="eastAsia" w:ascii="宋体" w:hAnsi="宋体" w:cs="宋体"/>
          <w:b/>
          <w:bCs/>
          <w:color w:val="auto"/>
          <w:szCs w:val="21"/>
          <w:highlight w:val="none"/>
        </w:rPr>
        <w:t>7.2 中标通知</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在本章第3.3款规定的投标有效期内，采购人以书面形式向中标人发出中标通知书，同时将中标结果通知未中标的投标人。</w:t>
      </w:r>
    </w:p>
    <w:p>
      <w:pPr>
        <w:spacing w:line="440" w:lineRule="atLeast"/>
        <w:ind w:firstLine="422" w:firstLineChars="200"/>
        <w:outlineLvl w:val="2"/>
        <w:rPr>
          <w:rFonts w:ascii="宋体" w:hAnsi="宋体" w:cs="宋体"/>
          <w:b/>
          <w:bCs/>
          <w:color w:val="auto"/>
          <w:szCs w:val="21"/>
          <w:highlight w:val="none"/>
        </w:rPr>
      </w:pPr>
      <w:bookmarkStart w:id="399" w:name="_Toc14106"/>
      <w:bookmarkStart w:id="400" w:name="_Toc35947213"/>
      <w:bookmarkStart w:id="401" w:name="_Toc15058893"/>
      <w:bookmarkStart w:id="402" w:name="_Toc246996957"/>
      <w:bookmarkStart w:id="403" w:name="_Toc246996214"/>
      <w:bookmarkStart w:id="404" w:name="_Toc247085728"/>
      <w:bookmarkStart w:id="405" w:name="_Toc35424930"/>
      <w:bookmarkStart w:id="406" w:name="_Toc634"/>
      <w:bookmarkStart w:id="407" w:name="_Toc35425096"/>
      <w:bookmarkStart w:id="408" w:name="_Toc179632588"/>
      <w:bookmarkStart w:id="409" w:name="_Toc15423"/>
      <w:bookmarkStart w:id="410" w:name="_Toc506107308"/>
      <w:bookmarkStart w:id="411" w:name="_Toc296602460"/>
      <w:bookmarkStart w:id="412" w:name="_Toc152045570"/>
      <w:bookmarkStart w:id="413" w:name="_Toc152042346"/>
      <w:bookmarkStart w:id="414" w:name="_Toc324404855"/>
      <w:bookmarkStart w:id="415" w:name="_Toc144974538"/>
      <w:r>
        <w:rPr>
          <w:rFonts w:hint="eastAsia" w:ascii="宋体" w:hAnsi="宋体" w:cs="宋体"/>
          <w:b/>
          <w:bCs/>
          <w:color w:val="auto"/>
          <w:szCs w:val="21"/>
          <w:highlight w:val="none"/>
        </w:rPr>
        <w:t>7.3 签订合同</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wordWrap w:val="0"/>
        <w:spacing w:line="440" w:lineRule="atLeast"/>
        <w:ind w:firstLine="420" w:firstLineChars="200"/>
        <w:rPr>
          <w:rFonts w:ascii="宋体" w:hAnsi="宋体" w:cs="宋体"/>
          <w:bCs/>
          <w:color w:val="auto"/>
          <w:szCs w:val="21"/>
          <w:highlight w:val="none"/>
        </w:rPr>
      </w:pPr>
      <w:bookmarkStart w:id="416" w:name="_Toc15058894"/>
      <w:bookmarkStart w:id="417" w:name="_Toc324404856"/>
      <w:bookmarkStart w:id="418" w:name="_Toc506107309"/>
      <w:r>
        <w:rPr>
          <w:rFonts w:hint="eastAsia" w:ascii="宋体" w:hAnsi="宋体" w:cs="宋体"/>
          <w:bCs/>
          <w:color w:val="auto"/>
          <w:szCs w:val="21"/>
          <w:highlight w:val="none"/>
        </w:rPr>
        <w:t>7.3.1</w:t>
      </w:r>
      <w:r>
        <w:rPr>
          <w:rFonts w:hint="eastAsia"/>
          <w:color w:val="auto"/>
          <w:highlight w:val="none"/>
        </w:rPr>
        <w:t>中标人应在中标通知书发出之日起</w:t>
      </w:r>
      <w:r>
        <w:rPr>
          <w:rFonts w:hint="eastAsia" w:ascii="宋体" w:hAnsi="宋体" w:cs="宋体"/>
          <w:color w:val="auto"/>
          <w:highlight w:val="none"/>
        </w:rPr>
        <w:t>7个</w:t>
      </w:r>
      <w:r>
        <w:rPr>
          <w:rFonts w:hint="eastAsia"/>
          <w:color w:val="auto"/>
          <w:highlight w:val="none"/>
        </w:rPr>
        <w:t>工作日内，按照交易文件规定和采购人订立书面合同。采购人和中标人不得再行订立背离合同实质性内容的其他协议</w:t>
      </w:r>
      <w:r>
        <w:rPr>
          <w:rFonts w:hint="eastAsia" w:ascii="宋体" w:hAnsi="宋体" w:cs="宋体"/>
          <w:bCs/>
          <w:color w:val="auto"/>
          <w:szCs w:val="21"/>
          <w:highlight w:val="none"/>
        </w:rPr>
        <w:t>。中标人无正当理由拒签合同的，采购人取消其中标资格；给采购人造成的损失，采购人有权追偿。</w:t>
      </w:r>
    </w:p>
    <w:p>
      <w:pPr>
        <w:wordWrap w:val="0"/>
        <w:spacing w:line="440" w:lineRule="atLeas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7.3.2 发出中标通知书后，采购人无正当理由拒签合同的，且给中标人造成损失的，还应当赔偿损失。</w:t>
      </w:r>
    </w:p>
    <w:p>
      <w:pPr>
        <w:pStyle w:val="3"/>
        <w:ind w:firstLine="482"/>
        <w:rPr>
          <w:color w:val="auto"/>
          <w:highlight w:val="none"/>
        </w:rPr>
      </w:pPr>
      <w:bookmarkStart w:id="419" w:name="_Toc35424931"/>
      <w:bookmarkStart w:id="420" w:name="_Toc4635"/>
      <w:bookmarkStart w:id="421" w:name="_Toc31120"/>
      <w:bookmarkStart w:id="422" w:name="_Toc9177"/>
      <w:bookmarkStart w:id="423" w:name="_Toc23600"/>
      <w:bookmarkStart w:id="424" w:name="_Toc35425097"/>
      <w:bookmarkStart w:id="425" w:name="_Toc35947214"/>
      <w:r>
        <w:rPr>
          <w:rFonts w:hint="eastAsia"/>
          <w:color w:val="auto"/>
          <w:highlight w:val="none"/>
        </w:rPr>
        <w:t>8. 纪律和监督</w:t>
      </w:r>
      <w:bookmarkEnd w:id="416"/>
      <w:bookmarkEnd w:id="417"/>
      <w:bookmarkEnd w:id="418"/>
      <w:bookmarkEnd w:id="419"/>
      <w:bookmarkEnd w:id="420"/>
      <w:bookmarkEnd w:id="421"/>
      <w:bookmarkEnd w:id="422"/>
      <w:bookmarkEnd w:id="423"/>
      <w:bookmarkEnd w:id="424"/>
      <w:bookmarkEnd w:id="425"/>
    </w:p>
    <w:p>
      <w:pPr>
        <w:spacing w:line="440" w:lineRule="atLeast"/>
        <w:ind w:firstLine="422" w:firstLineChars="200"/>
        <w:outlineLvl w:val="2"/>
        <w:rPr>
          <w:rFonts w:ascii="宋体" w:hAnsi="宋体" w:cs="宋体"/>
          <w:b/>
          <w:bCs/>
          <w:color w:val="auto"/>
          <w:szCs w:val="21"/>
          <w:highlight w:val="none"/>
        </w:rPr>
      </w:pPr>
      <w:bookmarkStart w:id="426" w:name="_Toc296590983"/>
      <w:bookmarkStart w:id="427" w:name="_Toc506107310"/>
      <w:bookmarkStart w:id="428" w:name="_Toc152042351"/>
      <w:bookmarkStart w:id="429" w:name="_Toc1964"/>
      <w:bookmarkStart w:id="430" w:name="_Toc179632593"/>
      <w:bookmarkStart w:id="431" w:name="_Toc246996962"/>
      <w:bookmarkStart w:id="432" w:name="_Toc246996219"/>
      <w:bookmarkStart w:id="433" w:name="_Toc35424932"/>
      <w:bookmarkStart w:id="434" w:name="_Toc13610"/>
      <w:bookmarkStart w:id="435" w:name="_Toc11235"/>
      <w:bookmarkStart w:id="436" w:name="_Toc35947215"/>
      <w:bookmarkStart w:id="437" w:name="_Toc15058895"/>
      <w:bookmarkStart w:id="438" w:name="_Toc324404857"/>
      <w:bookmarkStart w:id="439" w:name="_Toc35425098"/>
      <w:bookmarkStart w:id="440" w:name="_Toc144974543"/>
      <w:bookmarkStart w:id="441" w:name="_Toc247085733"/>
      <w:bookmarkStart w:id="442" w:name="_Toc152045575"/>
      <w:bookmarkStart w:id="443" w:name="_Toc296602462"/>
      <w:r>
        <w:rPr>
          <w:rFonts w:hint="eastAsia" w:ascii="宋体" w:hAnsi="宋体" w:cs="宋体"/>
          <w:b/>
          <w:bCs/>
          <w:color w:val="auto"/>
          <w:szCs w:val="21"/>
          <w:highlight w:val="none"/>
        </w:rPr>
        <w:t>8.1 对采购人的纪律要求</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采购人不得泄漏招标投标活动中应当保密的情况和资料，不得与投标人串通损害国家利益、社会公共利益或者他人合法权益。</w:t>
      </w:r>
    </w:p>
    <w:p>
      <w:pPr>
        <w:spacing w:line="440" w:lineRule="atLeast"/>
        <w:ind w:firstLine="422" w:firstLineChars="200"/>
        <w:outlineLvl w:val="2"/>
        <w:rPr>
          <w:rFonts w:ascii="宋体" w:hAnsi="宋体" w:cs="宋体"/>
          <w:b/>
          <w:bCs/>
          <w:color w:val="auto"/>
          <w:szCs w:val="21"/>
          <w:highlight w:val="none"/>
        </w:rPr>
      </w:pPr>
      <w:bookmarkStart w:id="444" w:name="_Toc296602463"/>
      <w:bookmarkStart w:id="445" w:name="_Toc246996963"/>
      <w:bookmarkStart w:id="446" w:name="_Toc152045576"/>
      <w:bookmarkStart w:id="447" w:name="_Toc19504"/>
      <w:bookmarkStart w:id="448" w:name="_Toc144974544"/>
      <w:bookmarkStart w:id="449" w:name="_Toc247085734"/>
      <w:bookmarkStart w:id="450" w:name="_Toc152042352"/>
      <w:bookmarkStart w:id="451" w:name="_Toc246996220"/>
      <w:bookmarkStart w:id="452" w:name="_Toc17475"/>
      <w:bookmarkStart w:id="453" w:name="_Toc506107311"/>
      <w:bookmarkStart w:id="454" w:name="_Toc324404858"/>
      <w:bookmarkStart w:id="455" w:name="_Toc17314"/>
      <w:bookmarkStart w:id="456" w:name="_Toc35425099"/>
      <w:bookmarkStart w:id="457" w:name="_Toc35947216"/>
      <w:bookmarkStart w:id="458" w:name="_Toc179632594"/>
      <w:bookmarkStart w:id="459" w:name="_Toc15058896"/>
      <w:bookmarkStart w:id="460" w:name="_Toc35424933"/>
      <w:r>
        <w:rPr>
          <w:rFonts w:hint="eastAsia" w:ascii="宋体" w:hAnsi="宋体" w:cs="宋体"/>
          <w:b/>
          <w:bCs/>
          <w:color w:val="auto"/>
          <w:szCs w:val="21"/>
          <w:highlight w:val="none"/>
        </w:rPr>
        <w:t>8.2 对投标人的纪律要求</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pPr>
        <w:spacing w:line="440" w:lineRule="atLeast"/>
        <w:ind w:firstLine="422" w:firstLineChars="200"/>
        <w:outlineLvl w:val="2"/>
        <w:rPr>
          <w:rFonts w:ascii="宋体" w:hAnsi="宋体" w:cs="宋体"/>
          <w:b/>
          <w:bCs/>
          <w:color w:val="auto"/>
          <w:szCs w:val="21"/>
          <w:highlight w:val="none"/>
        </w:rPr>
      </w:pPr>
      <w:bookmarkStart w:id="461" w:name="_Toc35425100"/>
      <w:bookmarkStart w:id="462" w:name="_Toc23747"/>
      <w:bookmarkStart w:id="463" w:name="_Toc324404859"/>
      <w:bookmarkStart w:id="464" w:name="_Toc152042353"/>
      <w:bookmarkStart w:id="465" w:name="_Toc247085735"/>
      <w:bookmarkStart w:id="466" w:name="_Toc15259"/>
      <w:bookmarkStart w:id="467" w:name="_Toc246996221"/>
      <w:bookmarkStart w:id="468" w:name="_Toc35947217"/>
      <w:bookmarkStart w:id="469" w:name="_Toc246996964"/>
      <w:bookmarkStart w:id="470" w:name="_Toc296602464"/>
      <w:bookmarkStart w:id="471" w:name="_Toc506107312"/>
      <w:bookmarkStart w:id="472" w:name="_Toc15058897"/>
      <w:bookmarkStart w:id="473" w:name="_Toc35424934"/>
      <w:bookmarkStart w:id="474" w:name="_Toc179632595"/>
      <w:bookmarkStart w:id="475" w:name="_Toc144974545"/>
      <w:bookmarkStart w:id="476" w:name="_Toc152045577"/>
      <w:bookmarkStart w:id="477" w:name="_Toc5965"/>
      <w:r>
        <w:rPr>
          <w:rFonts w:hint="eastAsia" w:ascii="宋体" w:hAnsi="宋体" w:cs="宋体"/>
          <w:b/>
          <w:bCs/>
          <w:color w:val="auto"/>
          <w:szCs w:val="21"/>
          <w:highlight w:val="none"/>
        </w:rPr>
        <w:t>8.3 对评标委员会成员的纪律要求</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40" w:lineRule="atLeast"/>
        <w:ind w:firstLine="422" w:firstLineChars="200"/>
        <w:outlineLvl w:val="2"/>
        <w:rPr>
          <w:rFonts w:ascii="宋体" w:hAnsi="宋体" w:cs="宋体"/>
          <w:b/>
          <w:bCs/>
          <w:color w:val="auto"/>
          <w:szCs w:val="21"/>
          <w:highlight w:val="none"/>
        </w:rPr>
      </w:pPr>
      <w:bookmarkStart w:id="478" w:name="_Toc506107313"/>
      <w:bookmarkStart w:id="479" w:name="_Toc15058898"/>
      <w:bookmarkStart w:id="480" w:name="_Toc24693"/>
      <w:bookmarkStart w:id="481" w:name="_Toc32603"/>
      <w:bookmarkStart w:id="482" w:name="_Toc296602465"/>
      <w:bookmarkStart w:id="483" w:name="_Toc179632596"/>
      <w:bookmarkStart w:id="484" w:name="_Toc152045578"/>
      <w:bookmarkStart w:id="485" w:name="_Toc35947218"/>
      <w:bookmarkStart w:id="486" w:name="_Toc31849"/>
      <w:bookmarkStart w:id="487" w:name="_Toc35425101"/>
      <w:bookmarkStart w:id="488" w:name="_Toc246996222"/>
      <w:bookmarkStart w:id="489" w:name="_Toc35424935"/>
      <w:bookmarkStart w:id="490" w:name="_Toc324404860"/>
      <w:bookmarkStart w:id="491" w:name="_Toc246996965"/>
      <w:bookmarkStart w:id="492" w:name="_Toc152042354"/>
      <w:bookmarkStart w:id="493" w:name="_Toc247085736"/>
      <w:bookmarkStart w:id="494" w:name="_Toc144974546"/>
      <w:r>
        <w:rPr>
          <w:rFonts w:hint="eastAsia" w:ascii="宋体" w:hAnsi="宋体" w:cs="宋体"/>
          <w:b/>
          <w:bCs/>
          <w:color w:val="auto"/>
          <w:szCs w:val="21"/>
          <w:highlight w:val="none"/>
        </w:rPr>
        <w:t>8.4 对与评标活动有关的工作人员的纪律要求</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spacing w:line="440" w:lineRule="atLeast"/>
        <w:ind w:firstLine="420" w:firstLineChars="200"/>
        <w:rPr>
          <w:rFonts w:ascii="宋体" w:hAnsi="宋体" w:cs="宋体"/>
          <w:color w:val="auto"/>
          <w:szCs w:val="21"/>
          <w:highlight w:val="none"/>
        </w:rPr>
      </w:pPr>
      <w:bookmarkStart w:id="495" w:name="_Toc152042355"/>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5"/>
    </w:p>
    <w:p>
      <w:pPr>
        <w:spacing w:line="440" w:lineRule="atLeast"/>
        <w:ind w:firstLine="422" w:firstLineChars="200"/>
        <w:outlineLvl w:val="2"/>
        <w:rPr>
          <w:rFonts w:ascii="宋体" w:hAnsi="宋体" w:cs="宋体"/>
          <w:b/>
          <w:bCs/>
          <w:color w:val="auto"/>
          <w:szCs w:val="21"/>
          <w:highlight w:val="none"/>
        </w:rPr>
      </w:pPr>
      <w:bookmarkStart w:id="496" w:name="_Toc15058899"/>
      <w:bookmarkStart w:id="497" w:name="_Toc179632597"/>
      <w:bookmarkStart w:id="498" w:name="_Toc35424936"/>
      <w:bookmarkStart w:id="499" w:name="_Toc152045579"/>
      <w:bookmarkStart w:id="500" w:name="_Toc152042356"/>
      <w:bookmarkStart w:id="501" w:name="_Toc35947219"/>
      <w:bookmarkStart w:id="502" w:name="_Toc12207"/>
      <w:bookmarkStart w:id="503" w:name="_Toc2154"/>
      <w:bookmarkStart w:id="504" w:name="_Toc324404861"/>
      <w:bookmarkStart w:id="505" w:name="_Toc35425102"/>
      <w:bookmarkStart w:id="506" w:name="_Toc246996223"/>
      <w:bookmarkStart w:id="507" w:name="_Toc247085737"/>
      <w:bookmarkStart w:id="508" w:name="_Toc506107314"/>
      <w:bookmarkStart w:id="509" w:name="_Toc246996966"/>
      <w:bookmarkStart w:id="510" w:name="_Toc296602466"/>
      <w:bookmarkStart w:id="511" w:name="_Toc22416"/>
      <w:r>
        <w:rPr>
          <w:rFonts w:hint="eastAsia" w:ascii="宋体" w:hAnsi="宋体" w:cs="宋体"/>
          <w:b/>
          <w:bCs/>
          <w:color w:val="auto"/>
          <w:szCs w:val="21"/>
          <w:highlight w:val="none"/>
        </w:rPr>
        <w:t>8.5 投诉</w:t>
      </w:r>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8.5.1投标人和其他利害关系人认为本次招标活动违反法律、法规和规章规定的，有权向有关行政监督部门投诉。投诉应当有明确的请求和必要的证明材料。</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8.5.2投标人和其他利害关系人对评标结果等事项投诉的，应当在开标期间或公示期间，先向采购人提出异议。</w:t>
      </w:r>
      <w:r>
        <w:rPr>
          <w:rFonts w:hint="eastAsia" w:ascii="宋体" w:hAnsi="宋体" w:cs="宋体"/>
          <w:b/>
          <w:bCs/>
          <w:color w:val="auto"/>
          <w:szCs w:val="21"/>
          <w:highlight w:val="none"/>
        </w:rPr>
        <w:t>注：一份质疑（异议）函只能针对一个项目提出质疑（异议），且针对同一招标采购程序环节的质疑（异议）应当一次性提出。</w:t>
      </w:r>
    </w:p>
    <w:p>
      <w:pPr>
        <w:spacing w:line="440" w:lineRule="atLeast"/>
        <w:ind w:firstLine="422" w:firstLineChars="200"/>
        <w:outlineLvl w:val="2"/>
        <w:rPr>
          <w:rFonts w:ascii="宋体" w:hAnsi="宋体" w:cs="宋体"/>
          <w:b/>
          <w:bCs/>
          <w:color w:val="auto"/>
          <w:szCs w:val="21"/>
          <w:highlight w:val="none"/>
        </w:rPr>
      </w:pPr>
      <w:bookmarkStart w:id="512" w:name="_Toc35424937"/>
      <w:bookmarkStart w:id="513" w:name="_Toc246996224"/>
      <w:bookmarkStart w:id="514" w:name="_Toc24040"/>
      <w:bookmarkStart w:id="515" w:name="_Toc506107315"/>
      <w:bookmarkStart w:id="516" w:name="_Toc144974547"/>
      <w:bookmarkStart w:id="517" w:name="_Toc35947220"/>
      <w:bookmarkStart w:id="518" w:name="_Toc324404862"/>
      <w:bookmarkStart w:id="519" w:name="_Toc179632598"/>
      <w:bookmarkStart w:id="520" w:name="_Toc152042357"/>
      <w:bookmarkStart w:id="521" w:name="_Toc18012"/>
      <w:bookmarkStart w:id="522" w:name="_Toc23899"/>
      <w:bookmarkStart w:id="523" w:name="_Toc15058900"/>
      <w:bookmarkStart w:id="524" w:name="_Toc35425103"/>
      <w:bookmarkStart w:id="525" w:name="_Toc152045580"/>
      <w:bookmarkStart w:id="526" w:name="_Toc247085738"/>
      <w:bookmarkStart w:id="527" w:name="_Toc246996967"/>
      <w:bookmarkStart w:id="528" w:name="_Toc296"/>
      <w:r>
        <w:rPr>
          <w:rFonts w:hint="eastAsia" w:ascii="宋体" w:hAnsi="宋体" w:cs="宋体"/>
          <w:b/>
          <w:bCs/>
          <w:color w:val="auto"/>
          <w:szCs w:val="21"/>
          <w:highlight w:val="none"/>
        </w:rPr>
        <w:t>9.需要补充的其他内容</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spacing w:line="440" w:lineRule="atLeast"/>
        <w:ind w:firstLine="420" w:firstLineChars="200"/>
        <w:rPr>
          <w:rFonts w:ascii="宋体" w:hAnsi="宋体" w:cs="宋体"/>
          <w:color w:val="auto"/>
          <w:szCs w:val="21"/>
          <w:highlight w:val="none"/>
        </w:rPr>
      </w:pPr>
      <w:bookmarkStart w:id="529" w:name="_Toc15058901"/>
      <w:r>
        <w:rPr>
          <w:rFonts w:hint="eastAsia" w:ascii="宋体" w:hAnsi="宋体" w:cs="宋体"/>
          <w:color w:val="auto"/>
          <w:szCs w:val="21"/>
          <w:highlight w:val="none"/>
        </w:rPr>
        <w:t>需要补充的其他内容：见投标人须知前附表。</w:t>
      </w:r>
      <w:bookmarkEnd w:id="529"/>
    </w:p>
    <w:p>
      <w:pPr>
        <w:pStyle w:val="2"/>
        <w:ind w:firstLine="562"/>
        <w:jc w:val="both"/>
        <w:rPr>
          <w:color w:val="auto"/>
          <w:sz w:val="28"/>
          <w:szCs w:val="28"/>
          <w:highlight w:val="none"/>
        </w:rPr>
      </w:pPr>
      <w:bookmarkStart w:id="530" w:name="_Toc9676"/>
      <w:bookmarkStart w:id="531" w:name="_Toc1436"/>
      <w:bookmarkStart w:id="532" w:name="_Toc6133"/>
      <w:bookmarkStart w:id="533" w:name="_Toc27356"/>
    </w:p>
    <w:p>
      <w:pPr>
        <w:ind w:firstLine="560"/>
        <w:rPr>
          <w:color w:val="auto"/>
          <w:sz w:val="28"/>
          <w:szCs w:val="28"/>
          <w:highlight w:val="none"/>
        </w:rPr>
      </w:pPr>
    </w:p>
    <w:p>
      <w:pPr>
        <w:pStyle w:val="49"/>
        <w:ind w:firstLine="560"/>
        <w:rPr>
          <w:color w:val="auto"/>
          <w:sz w:val="28"/>
          <w:szCs w:val="28"/>
          <w:highlight w:val="none"/>
        </w:rPr>
      </w:pPr>
    </w:p>
    <w:p>
      <w:pPr>
        <w:pStyle w:val="20"/>
        <w:rPr>
          <w:color w:val="auto"/>
          <w:szCs w:val="28"/>
          <w:highlight w:val="none"/>
        </w:rPr>
      </w:pPr>
    </w:p>
    <w:p>
      <w:pPr>
        <w:pStyle w:val="17"/>
        <w:ind w:firstLine="562"/>
        <w:rPr>
          <w:color w:val="auto"/>
          <w:sz w:val="28"/>
          <w:szCs w:val="28"/>
          <w:highlight w:val="none"/>
        </w:rPr>
      </w:pPr>
    </w:p>
    <w:p>
      <w:pPr>
        <w:ind w:firstLine="560"/>
        <w:rPr>
          <w:color w:val="auto"/>
          <w:sz w:val="28"/>
          <w:szCs w:val="28"/>
          <w:highlight w:val="none"/>
        </w:rPr>
      </w:pPr>
    </w:p>
    <w:p>
      <w:pPr>
        <w:pStyle w:val="49"/>
        <w:ind w:firstLine="560"/>
        <w:rPr>
          <w:color w:val="auto"/>
          <w:sz w:val="28"/>
          <w:szCs w:val="28"/>
          <w:highlight w:val="none"/>
        </w:rPr>
      </w:pPr>
    </w:p>
    <w:p>
      <w:pPr>
        <w:pStyle w:val="20"/>
        <w:rPr>
          <w:color w:val="auto"/>
          <w:szCs w:val="28"/>
          <w:highlight w:val="none"/>
        </w:rPr>
      </w:pPr>
    </w:p>
    <w:p>
      <w:pPr>
        <w:pStyle w:val="17"/>
        <w:ind w:firstLine="562"/>
        <w:rPr>
          <w:color w:val="auto"/>
          <w:sz w:val="28"/>
          <w:szCs w:val="28"/>
          <w:highlight w:val="none"/>
        </w:rPr>
      </w:pPr>
    </w:p>
    <w:p>
      <w:pPr>
        <w:ind w:firstLine="560"/>
        <w:rPr>
          <w:color w:val="auto"/>
          <w:sz w:val="28"/>
          <w:szCs w:val="28"/>
          <w:highlight w:val="none"/>
        </w:rPr>
      </w:pPr>
    </w:p>
    <w:p>
      <w:pPr>
        <w:pStyle w:val="49"/>
        <w:ind w:firstLine="560"/>
        <w:rPr>
          <w:color w:val="auto"/>
          <w:sz w:val="28"/>
          <w:szCs w:val="28"/>
          <w:highlight w:val="none"/>
        </w:rPr>
      </w:pPr>
    </w:p>
    <w:p>
      <w:pPr>
        <w:pStyle w:val="20"/>
        <w:rPr>
          <w:color w:val="auto"/>
          <w:szCs w:val="28"/>
          <w:highlight w:val="none"/>
        </w:rPr>
      </w:pPr>
    </w:p>
    <w:p>
      <w:pPr>
        <w:pStyle w:val="17"/>
        <w:rPr>
          <w:color w:val="auto"/>
          <w:szCs w:val="28"/>
          <w:highlight w:val="none"/>
        </w:rPr>
      </w:pPr>
    </w:p>
    <w:p>
      <w:pPr>
        <w:rPr>
          <w:color w:val="auto"/>
          <w:szCs w:val="28"/>
          <w:highlight w:val="none"/>
        </w:rPr>
      </w:pPr>
    </w:p>
    <w:p>
      <w:pPr>
        <w:rPr>
          <w:color w:val="auto"/>
          <w:szCs w:val="28"/>
          <w:highlight w:val="none"/>
        </w:rPr>
      </w:pPr>
    </w:p>
    <w:p>
      <w:pPr>
        <w:pStyle w:val="17"/>
        <w:ind w:firstLine="883"/>
        <w:rPr>
          <w:color w:val="auto"/>
          <w:highlight w:val="none"/>
        </w:rPr>
      </w:pPr>
    </w:p>
    <w:p>
      <w:pPr>
        <w:pStyle w:val="49"/>
        <w:rPr>
          <w:color w:val="auto"/>
          <w:highlight w:val="none"/>
        </w:rPr>
      </w:pPr>
    </w:p>
    <w:p>
      <w:pPr>
        <w:pStyle w:val="2"/>
        <w:ind w:firstLine="562"/>
        <w:rPr>
          <w:color w:val="auto"/>
          <w:sz w:val="28"/>
          <w:szCs w:val="28"/>
          <w:highlight w:val="none"/>
        </w:rPr>
      </w:pPr>
      <w:r>
        <w:rPr>
          <w:rFonts w:hint="eastAsia"/>
          <w:color w:val="auto"/>
          <w:sz w:val="28"/>
          <w:szCs w:val="28"/>
          <w:highlight w:val="none"/>
        </w:rPr>
        <w:t>第三章  评标办法</w:t>
      </w:r>
      <w:bookmarkEnd w:id="530"/>
      <w:bookmarkEnd w:id="531"/>
      <w:bookmarkEnd w:id="532"/>
      <w:bookmarkEnd w:id="533"/>
    </w:p>
    <w:bookmarkEnd w:id="47"/>
    <w:p>
      <w:pPr>
        <w:spacing w:line="440" w:lineRule="exact"/>
        <w:ind w:firstLine="562"/>
        <w:jc w:val="center"/>
        <w:outlineLvl w:val="1"/>
        <w:rPr>
          <w:rFonts w:ascii="宋体"/>
          <w:b/>
          <w:color w:val="auto"/>
          <w:sz w:val="28"/>
          <w:szCs w:val="28"/>
          <w:highlight w:val="none"/>
        </w:rPr>
      </w:pPr>
      <w:bookmarkStart w:id="534" w:name="_Toc362983801"/>
      <w:bookmarkStart w:id="535" w:name="_Toc58430317"/>
      <w:bookmarkStart w:id="536" w:name="_Toc449028877"/>
      <w:r>
        <w:rPr>
          <w:rFonts w:hint="eastAsia" w:ascii="宋体"/>
          <w:b/>
          <w:color w:val="auto"/>
          <w:sz w:val="28"/>
          <w:szCs w:val="28"/>
          <w:highlight w:val="none"/>
        </w:rPr>
        <w:t>一、总则</w:t>
      </w:r>
      <w:bookmarkEnd w:id="534"/>
      <w:bookmarkEnd w:id="535"/>
      <w:bookmarkEnd w:id="536"/>
    </w:p>
    <w:p>
      <w:pPr>
        <w:spacing w:line="440" w:lineRule="exact"/>
        <w:ind w:firstLine="316" w:firstLineChars="150"/>
        <w:jc w:val="left"/>
        <w:rPr>
          <w:rFonts w:ascii="宋体" w:hAnsi="宋体" w:cs="宋体"/>
          <w:b/>
          <w:color w:val="auto"/>
          <w:szCs w:val="21"/>
          <w:highlight w:val="none"/>
        </w:rPr>
      </w:pPr>
      <w:r>
        <w:rPr>
          <w:rFonts w:hint="eastAsia" w:ascii="宋体" w:hAnsi="宋体" w:cs="宋体"/>
          <w:b/>
          <w:color w:val="auto"/>
          <w:szCs w:val="21"/>
          <w:highlight w:val="none"/>
        </w:rPr>
        <w:t xml:space="preserve"> 1. 本次评标采用综合评分法</w:t>
      </w:r>
    </w:p>
    <w:p>
      <w:pPr>
        <w:spacing w:line="400" w:lineRule="exact"/>
        <w:ind w:firstLine="420" w:firstLineChars="200"/>
        <w:jc w:val="left"/>
        <w:rPr>
          <w:rFonts w:ascii="宋体" w:hAnsi="宋体" w:cs="宋体"/>
          <w:color w:val="auto"/>
          <w:sz w:val="24"/>
          <w:highlight w:val="none"/>
        </w:rPr>
      </w:pPr>
      <w:r>
        <w:rPr>
          <w:rFonts w:hint="eastAsia" w:ascii="宋体" w:hAnsi="宋体" w:cs="宋体"/>
          <w:color w:val="auto"/>
          <w:szCs w:val="21"/>
          <w:highlight w:val="none"/>
        </w:rPr>
        <w:t>1.1综合评分法是指投标文件满足招标文件全部实质性要求且按照评审因素的量化指标评审总得分从高到低的投标人为中标候选人的评标方法。</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1.2综合评分法一般适用于较为复杂、评价指标难以量化且价格为非主要因素的非标准定制商品和非通用服务项目的项目评审。</w:t>
      </w:r>
    </w:p>
    <w:p>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2．评标程序</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2.1投标文件的初审</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2.1.1资格性检查。依据法律法规和招标文件的规定，对投标文件中的资格证明进行审查，以确定投标人是否具备投标资格。 </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2.1.2符合性检查。依据招标文件的规定，从投标文件的有效性、完整性和对招标文件的响应程度进行审查，以确定投标人是否对招标文件的实质性要求作出响应。</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2.2投标文件的澄清</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在评标过程中，评标委员会认为需要，在见证人员在场的情况下，可要求投标单位对投标文件中的有关问题进行澄清或提供补充说明及有关资料，投标单位应做出书面答复。书面答复中不得变更价格、供货期、自报质量等实质性内容。</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2.2.3  采购人不接受投标单位主动提出的澄清。</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2.3比较与评价</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2．3.1按招标文件中规定的评标方法和标准，对资格性检查和符合性检查合格的投标文件进行资信、商务和技术评估，综合比较与评价。 </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2.4推荐中标候选人名单</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2.4.1中标候选人数量应当根据采购需要确定，但必须按顺序排列中标候选人。</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2.5在投标文件的审查、澄清、评价和比较以及授予合同过程中，投标单位对招标单位和评标委员会成员施加影响的任何行为，都将导致取消其中标资格。</w:t>
      </w:r>
    </w:p>
    <w:p>
      <w:pPr>
        <w:spacing w:line="440" w:lineRule="exact"/>
        <w:ind w:firstLine="562" w:firstLineChars="200"/>
        <w:jc w:val="left"/>
        <w:rPr>
          <w:rFonts w:ascii="宋体"/>
          <w:b/>
          <w:color w:val="auto"/>
          <w:sz w:val="28"/>
          <w:szCs w:val="28"/>
          <w:highlight w:val="none"/>
        </w:rPr>
      </w:pPr>
    </w:p>
    <w:p>
      <w:pPr>
        <w:ind w:firstLine="562"/>
        <w:jc w:val="center"/>
        <w:outlineLvl w:val="1"/>
        <w:rPr>
          <w:rFonts w:ascii="宋体"/>
          <w:b/>
          <w:color w:val="auto"/>
          <w:sz w:val="28"/>
          <w:szCs w:val="28"/>
          <w:highlight w:val="none"/>
        </w:rPr>
      </w:pPr>
      <w:bookmarkStart w:id="537" w:name="_Toc17428"/>
      <w:bookmarkStart w:id="538" w:name="_Toc29031"/>
      <w:bookmarkStart w:id="539" w:name="_Toc31035"/>
    </w:p>
    <w:p>
      <w:pPr>
        <w:ind w:firstLine="562"/>
        <w:jc w:val="center"/>
        <w:outlineLvl w:val="1"/>
        <w:rPr>
          <w:rFonts w:ascii="宋体"/>
          <w:b/>
          <w:color w:val="auto"/>
          <w:sz w:val="28"/>
          <w:szCs w:val="28"/>
          <w:highlight w:val="none"/>
        </w:rPr>
      </w:pPr>
      <w:r>
        <w:rPr>
          <w:rFonts w:hint="eastAsia" w:ascii="宋体"/>
          <w:b/>
          <w:color w:val="auto"/>
          <w:sz w:val="28"/>
          <w:szCs w:val="28"/>
          <w:highlight w:val="none"/>
        </w:rPr>
        <w:t>二  投标文件初审</w:t>
      </w:r>
      <w:bookmarkEnd w:id="537"/>
      <w:bookmarkEnd w:id="538"/>
      <w:bookmarkEnd w:id="539"/>
    </w:p>
    <w:p>
      <w:pPr>
        <w:spacing w:line="400" w:lineRule="exact"/>
        <w:ind w:firstLine="310" w:firstLineChars="147"/>
        <w:rPr>
          <w:rFonts w:ascii="宋体"/>
          <w:b/>
          <w:color w:val="auto"/>
          <w:szCs w:val="21"/>
          <w:highlight w:val="none"/>
        </w:rPr>
      </w:pPr>
      <w:r>
        <w:rPr>
          <w:rFonts w:hint="eastAsia" w:ascii="宋体"/>
          <w:b/>
          <w:color w:val="auto"/>
          <w:szCs w:val="21"/>
          <w:highlight w:val="none"/>
        </w:rPr>
        <w:t>3.资格性审查:</w:t>
      </w:r>
    </w:p>
    <w:p>
      <w:pPr>
        <w:spacing w:line="400" w:lineRule="exact"/>
        <w:ind w:firstLine="308" w:firstLineChars="147"/>
        <w:rPr>
          <w:color w:val="auto"/>
          <w:szCs w:val="21"/>
          <w:highlight w:val="none"/>
        </w:rPr>
      </w:pPr>
      <w:r>
        <w:rPr>
          <w:rFonts w:hint="eastAsia" w:ascii="宋体"/>
          <w:color w:val="auto"/>
          <w:szCs w:val="21"/>
          <w:highlight w:val="none"/>
        </w:rPr>
        <w:t>3.1</w:t>
      </w:r>
      <w:r>
        <w:rPr>
          <w:rFonts w:hint="eastAsia"/>
          <w:color w:val="auto"/>
          <w:szCs w:val="21"/>
          <w:highlight w:val="none"/>
        </w:rPr>
        <w:t>评审细则</w:t>
      </w:r>
    </w:p>
    <w:tbl>
      <w:tblPr>
        <w:tblStyle w:val="50"/>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27"/>
        <w:gridCol w:w="3008"/>
        <w:gridCol w:w="3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85"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535" w:type="dxa"/>
            <w:gridSpan w:val="2"/>
            <w:vAlign w:val="center"/>
          </w:tcPr>
          <w:p>
            <w:pPr>
              <w:spacing w:line="320" w:lineRule="exact"/>
              <w:ind w:firstLine="480"/>
              <w:jc w:val="center"/>
              <w:rPr>
                <w:rFonts w:ascii="宋体" w:hAnsi="宋体" w:cs="宋体"/>
                <w:color w:val="auto"/>
                <w:szCs w:val="21"/>
                <w:highlight w:val="none"/>
              </w:rPr>
            </w:pPr>
            <w:r>
              <w:rPr>
                <w:rFonts w:hint="eastAsia" w:ascii="宋体" w:hAnsi="宋体" w:cs="宋体"/>
                <w:color w:val="auto"/>
                <w:szCs w:val="21"/>
                <w:highlight w:val="none"/>
              </w:rPr>
              <w:t>评审因素</w:t>
            </w:r>
          </w:p>
        </w:tc>
        <w:tc>
          <w:tcPr>
            <w:tcW w:w="3929" w:type="dxa"/>
            <w:vAlign w:val="center"/>
          </w:tcPr>
          <w:p>
            <w:pPr>
              <w:spacing w:line="320" w:lineRule="exact"/>
              <w:ind w:firstLine="480"/>
              <w:jc w:val="left"/>
              <w:rPr>
                <w:rFonts w:ascii="宋体" w:hAnsi="宋体" w:cs="宋体"/>
                <w:color w:val="auto"/>
                <w:szCs w:val="21"/>
                <w:highlight w:val="none"/>
              </w:rPr>
            </w:pPr>
            <w:r>
              <w:rPr>
                <w:rFonts w:hint="eastAsia" w:ascii="宋体" w:hAnsi="宋体" w:cs="宋体"/>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85" w:type="dxa"/>
            <w:vMerge w:val="restar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27" w:type="dxa"/>
            <w:vMerge w:val="restart"/>
            <w:vAlign w:val="center"/>
          </w:tcPr>
          <w:p>
            <w:pPr>
              <w:spacing w:line="320" w:lineRule="exact"/>
              <w:jc w:val="both"/>
              <w:rPr>
                <w:rFonts w:ascii="宋体" w:hAnsi="宋体" w:cs="宋体"/>
                <w:color w:val="auto"/>
                <w:szCs w:val="21"/>
                <w:highlight w:val="none"/>
              </w:rPr>
            </w:pPr>
            <w:r>
              <w:rPr>
                <w:rFonts w:hint="eastAsia" w:ascii="宋体" w:hAnsi="宋体" w:cs="宋体"/>
                <w:color w:val="auto"/>
                <w:szCs w:val="21"/>
                <w:highlight w:val="none"/>
              </w:rPr>
              <w:t>重要要求</w:t>
            </w:r>
          </w:p>
        </w:tc>
        <w:tc>
          <w:tcPr>
            <w:tcW w:w="3008"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3929" w:type="dxa"/>
            <w:vAlign w:val="center"/>
          </w:tcPr>
          <w:p>
            <w:pPr>
              <w:spacing w:line="320" w:lineRule="exact"/>
              <w:jc w:val="left"/>
              <w:rPr>
                <w:rFonts w:ascii="宋体" w:hAnsi="宋体" w:cs="宋体"/>
                <w:b/>
                <w:color w:val="auto"/>
                <w:szCs w:val="21"/>
                <w:highlight w:val="none"/>
              </w:rPr>
            </w:pPr>
            <w:r>
              <w:rPr>
                <w:rFonts w:hint="eastAsia" w:ascii="宋体" w:hAnsi="宋体" w:cs="宋体"/>
                <w:b/>
                <w:color w:val="auto"/>
                <w:szCs w:val="21"/>
                <w:highlight w:val="none"/>
              </w:rPr>
              <w:t>法定代表人或其委托代理人携带身份证原件至开标现场（手持或密封均视为携带）。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85" w:type="dxa"/>
            <w:vMerge w:val="continue"/>
            <w:vAlign w:val="center"/>
          </w:tcPr>
          <w:p>
            <w:pPr>
              <w:spacing w:line="320" w:lineRule="exact"/>
              <w:ind w:firstLine="480"/>
              <w:jc w:val="center"/>
              <w:rPr>
                <w:rFonts w:ascii="宋体" w:hAnsi="宋体" w:cs="宋体"/>
                <w:color w:val="auto"/>
                <w:szCs w:val="21"/>
                <w:highlight w:val="none"/>
              </w:rPr>
            </w:pPr>
          </w:p>
        </w:tc>
        <w:tc>
          <w:tcPr>
            <w:tcW w:w="1527" w:type="dxa"/>
            <w:vMerge w:val="continue"/>
            <w:vAlign w:val="center"/>
          </w:tcPr>
          <w:p>
            <w:pPr>
              <w:spacing w:line="320" w:lineRule="exact"/>
              <w:ind w:firstLine="480"/>
              <w:jc w:val="center"/>
              <w:rPr>
                <w:rFonts w:ascii="宋体" w:hAnsi="宋体" w:cs="宋体"/>
                <w:color w:val="auto"/>
                <w:szCs w:val="21"/>
                <w:highlight w:val="none"/>
              </w:rPr>
            </w:pPr>
          </w:p>
        </w:tc>
        <w:tc>
          <w:tcPr>
            <w:tcW w:w="3008"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（2）保证金缴纳情况</w:t>
            </w:r>
          </w:p>
        </w:tc>
        <w:tc>
          <w:tcPr>
            <w:tcW w:w="3929" w:type="dxa"/>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885" w:type="dxa"/>
            <w:vMerge w:val="restar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527" w:type="dxa"/>
            <w:vMerge w:val="restart"/>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投标人应符合的基本资格条件</w:t>
            </w:r>
          </w:p>
        </w:tc>
        <w:tc>
          <w:tcPr>
            <w:tcW w:w="3008"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（3）具有独立承担民事责任的能力</w:t>
            </w:r>
          </w:p>
        </w:tc>
        <w:tc>
          <w:tcPr>
            <w:tcW w:w="3929" w:type="dxa"/>
            <w:vAlign w:val="center"/>
          </w:tcPr>
          <w:p>
            <w:pPr>
              <w:spacing w:line="320" w:lineRule="exact"/>
              <w:jc w:val="left"/>
              <w:rPr>
                <w:rFonts w:ascii="宋体" w:hAnsi="宋体" w:cs="宋体"/>
                <w:color w:val="auto"/>
                <w:szCs w:val="21"/>
                <w:highlight w:val="none"/>
              </w:rPr>
            </w:pPr>
            <w:r>
              <w:rPr>
                <w:rFonts w:hint="eastAsia" w:ascii="宋体" w:hAnsi="宋体" w:cs="宋体"/>
                <w:b/>
                <w:color w:val="auto"/>
                <w:szCs w:val="21"/>
                <w:highlight w:val="none"/>
              </w:rPr>
              <w:t>评审核验下列证书、证明材料：</w:t>
            </w:r>
          </w:p>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投标人有效的营业执照、税务登记证、组织机构码证（或“三证合一证书”）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85" w:type="dxa"/>
            <w:vMerge w:val="continue"/>
            <w:vAlign w:val="center"/>
          </w:tcPr>
          <w:p>
            <w:pPr>
              <w:spacing w:line="320" w:lineRule="exact"/>
              <w:ind w:firstLine="480"/>
              <w:jc w:val="center"/>
              <w:rPr>
                <w:rFonts w:ascii="宋体" w:hAnsi="宋体" w:cs="宋体"/>
                <w:color w:val="auto"/>
                <w:szCs w:val="21"/>
                <w:highlight w:val="none"/>
              </w:rPr>
            </w:pPr>
          </w:p>
        </w:tc>
        <w:tc>
          <w:tcPr>
            <w:tcW w:w="1527" w:type="dxa"/>
            <w:vMerge w:val="continue"/>
            <w:vAlign w:val="center"/>
          </w:tcPr>
          <w:p>
            <w:pPr>
              <w:spacing w:line="320" w:lineRule="exact"/>
              <w:ind w:firstLine="480"/>
              <w:rPr>
                <w:rFonts w:ascii="宋体" w:hAnsi="宋体" w:cs="宋体"/>
                <w:color w:val="auto"/>
                <w:szCs w:val="21"/>
                <w:highlight w:val="none"/>
              </w:rPr>
            </w:pPr>
          </w:p>
        </w:tc>
        <w:tc>
          <w:tcPr>
            <w:tcW w:w="3008" w:type="dxa"/>
          </w:tcPr>
          <w:p>
            <w:pPr>
              <w:spacing w:line="320" w:lineRule="exact"/>
              <w:rPr>
                <w:rFonts w:ascii="宋体" w:hAnsi="宋体" w:cs="宋体"/>
                <w:color w:val="auto"/>
                <w:szCs w:val="21"/>
                <w:highlight w:val="none"/>
              </w:rPr>
            </w:pPr>
            <w:r>
              <w:rPr>
                <w:rFonts w:hint="eastAsia" w:ascii="宋体" w:hAnsi="宋体" w:cs="宋体"/>
                <w:color w:val="auto"/>
                <w:szCs w:val="21"/>
                <w:highlight w:val="none"/>
              </w:rPr>
              <w:t>（4）诚信投标承诺书</w:t>
            </w:r>
          </w:p>
        </w:tc>
        <w:tc>
          <w:tcPr>
            <w:tcW w:w="3929" w:type="dxa"/>
          </w:tcPr>
          <w:p>
            <w:pPr>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85" w:type="dxa"/>
            <w:vMerge w:val="continue"/>
            <w:vAlign w:val="center"/>
          </w:tcPr>
          <w:p>
            <w:pPr>
              <w:spacing w:line="320" w:lineRule="exact"/>
              <w:ind w:firstLine="480"/>
              <w:jc w:val="center"/>
              <w:rPr>
                <w:rFonts w:ascii="宋体" w:hAnsi="宋体" w:cs="宋体"/>
                <w:color w:val="auto"/>
                <w:szCs w:val="21"/>
                <w:highlight w:val="none"/>
              </w:rPr>
            </w:pPr>
          </w:p>
        </w:tc>
        <w:tc>
          <w:tcPr>
            <w:tcW w:w="1527" w:type="dxa"/>
            <w:vMerge w:val="continue"/>
            <w:vAlign w:val="center"/>
          </w:tcPr>
          <w:p>
            <w:pPr>
              <w:spacing w:line="320" w:lineRule="exact"/>
              <w:ind w:firstLine="480"/>
              <w:rPr>
                <w:rFonts w:ascii="宋体" w:hAnsi="宋体" w:cs="宋体"/>
                <w:color w:val="auto"/>
                <w:szCs w:val="21"/>
                <w:highlight w:val="none"/>
              </w:rPr>
            </w:pPr>
          </w:p>
        </w:tc>
        <w:tc>
          <w:tcPr>
            <w:tcW w:w="3008" w:type="dxa"/>
          </w:tcPr>
          <w:p>
            <w:pPr>
              <w:spacing w:line="320" w:lineRule="exact"/>
              <w:rPr>
                <w:rFonts w:ascii="宋体" w:hAnsi="宋体" w:cs="宋体"/>
                <w:color w:val="auto"/>
                <w:szCs w:val="21"/>
                <w:highlight w:val="none"/>
              </w:rPr>
            </w:pPr>
            <w:r>
              <w:rPr>
                <w:rFonts w:hint="eastAsia" w:ascii="宋体" w:hAnsi="宋体" w:cs="宋体"/>
                <w:color w:val="auto"/>
                <w:szCs w:val="21"/>
                <w:highlight w:val="none"/>
              </w:rPr>
              <w:t>（5）供应商应具有中国合格评定国家认可委员会颁发的检验机构认可证书（CNAS）或检验检测机构资质认定证书（CMA）</w:t>
            </w:r>
          </w:p>
        </w:tc>
        <w:tc>
          <w:tcPr>
            <w:tcW w:w="3929" w:type="dxa"/>
          </w:tcPr>
          <w:p>
            <w:pPr>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评审核验下列证书、证明材料：</w:t>
            </w:r>
          </w:p>
          <w:p>
            <w:pPr>
              <w:spacing w:line="360" w:lineRule="exact"/>
              <w:jc w:val="left"/>
              <w:rPr>
                <w:rFonts w:ascii="宋体" w:hAnsi="宋体" w:cs="宋体"/>
                <w:color w:val="auto"/>
                <w:szCs w:val="21"/>
                <w:highlight w:val="none"/>
              </w:rPr>
            </w:pPr>
            <w:r>
              <w:rPr>
                <w:rFonts w:hint="eastAsia" w:ascii="宋体" w:hAnsi="宋体" w:cs="宋体"/>
                <w:bCs/>
                <w:color w:val="auto"/>
                <w:szCs w:val="21"/>
                <w:highlight w:val="none"/>
              </w:rPr>
              <w:t>有效资质证书复印件加盖公章</w:t>
            </w:r>
          </w:p>
        </w:tc>
      </w:tr>
    </w:tbl>
    <w:p>
      <w:pPr>
        <w:spacing w:before="312" w:beforeLines="100" w:line="440" w:lineRule="exact"/>
        <w:ind w:firstLine="310" w:firstLineChars="147"/>
        <w:rPr>
          <w:rFonts w:ascii="宋体"/>
          <w:b/>
          <w:color w:val="auto"/>
          <w:szCs w:val="21"/>
          <w:highlight w:val="none"/>
        </w:rPr>
      </w:pPr>
      <w:r>
        <w:rPr>
          <w:rFonts w:hint="eastAsia" w:ascii="宋体"/>
          <w:b/>
          <w:color w:val="auto"/>
          <w:szCs w:val="21"/>
          <w:highlight w:val="none"/>
        </w:rPr>
        <w:t>4.符合性审查</w:t>
      </w:r>
    </w:p>
    <w:p>
      <w:pPr>
        <w:spacing w:line="440" w:lineRule="exact"/>
        <w:ind w:firstLine="315" w:firstLineChars="150"/>
        <w:rPr>
          <w:rFonts w:ascii="宋体"/>
          <w:color w:val="auto"/>
          <w:szCs w:val="21"/>
          <w:highlight w:val="none"/>
        </w:rPr>
      </w:pPr>
      <w:r>
        <w:rPr>
          <w:rFonts w:hint="eastAsia" w:ascii="宋体"/>
          <w:color w:val="auto"/>
          <w:szCs w:val="21"/>
          <w:highlight w:val="none"/>
        </w:rPr>
        <w:t>4．1评审细则</w:t>
      </w:r>
    </w:p>
    <w:tbl>
      <w:tblPr>
        <w:tblStyle w:val="50"/>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pPr>
              <w:spacing w:line="320" w:lineRule="atLeast"/>
              <w:jc w:val="center"/>
              <w:rPr>
                <w:rFonts w:ascii="黑体" w:eastAsia="黑体" w:cs="黑体"/>
                <w:b/>
                <w:bCs/>
                <w:color w:val="auto"/>
                <w:szCs w:val="21"/>
                <w:highlight w:val="none"/>
              </w:rPr>
            </w:pPr>
            <w:r>
              <w:rPr>
                <w:rFonts w:hint="eastAsia" w:ascii="黑体" w:eastAsia="黑体" w:cs="黑体"/>
                <w:b/>
                <w:bCs/>
                <w:color w:val="auto"/>
                <w:szCs w:val="21"/>
                <w:highlight w:val="none"/>
              </w:rPr>
              <w:t>序号</w:t>
            </w:r>
          </w:p>
        </w:tc>
        <w:tc>
          <w:tcPr>
            <w:tcW w:w="4135" w:type="dxa"/>
            <w:gridSpan w:val="2"/>
            <w:vAlign w:val="center"/>
          </w:tcPr>
          <w:p>
            <w:pPr>
              <w:spacing w:line="320" w:lineRule="atLeast"/>
              <w:ind w:firstLine="482"/>
              <w:jc w:val="center"/>
              <w:rPr>
                <w:rFonts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4602" w:type="dxa"/>
            <w:vAlign w:val="center"/>
          </w:tcPr>
          <w:p>
            <w:pPr>
              <w:spacing w:line="320" w:lineRule="atLeast"/>
              <w:ind w:firstLine="482"/>
              <w:jc w:val="center"/>
              <w:rPr>
                <w:rFonts w:ascii="黑体" w:eastAsia="黑体" w:cs="黑体"/>
                <w:b/>
                <w:bCs/>
                <w:color w:val="auto"/>
                <w:szCs w:val="21"/>
                <w:highlight w:val="none"/>
              </w:rPr>
            </w:pPr>
            <w:r>
              <w:rPr>
                <w:rFonts w:hint="eastAsia" w:ascii="黑体" w:eastAsia="黑体" w:cs="黑体"/>
                <w:b/>
                <w:bCs/>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restart"/>
            <w:vAlign w:val="center"/>
          </w:tcPr>
          <w:p>
            <w:pPr>
              <w:spacing w:line="320" w:lineRule="atLeast"/>
              <w:jc w:val="center"/>
              <w:rPr>
                <w:rFonts w:ascii="宋体"/>
                <w:color w:val="auto"/>
                <w:szCs w:val="21"/>
                <w:highlight w:val="none"/>
              </w:rPr>
            </w:pPr>
            <w:r>
              <w:rPr>
                <w:rFonts w:hint="eastAsia" w:ascii="宋体"/>
                <w:color w:val="auto"/>
                <w:szCs w:val="21"/>
                <w:highlight w:val="none"/>
              </w:rPr>
              <w:t>1</w:t>
            </w:r>
          </w:p>
        </w:tc>
        <w:tc>
          <w:tcPr>
            <w:tcW w:w="1204" w:type="dxa"/>
            <w:vMerge w:val="restart"/>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标书的有效 性</w:t>
            </w:r>
          </w:p>
        </w:tc>
        <w:tc>
          <w:tcPr>
            <w:tcW w:w="2931" w:type="dxa"/>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（1）投标文件签署</w:t>
            </w:r>
          </w:p>
        </w:tc>
        <w:tc>
          <w:tcPr>
            <w:tcW w:w="4602" w:type="dxa"/>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签字、盖章符合要求。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pPr>
              <w:spacing w:line="320" w:lineRule="atLeast"/>
              <w:ind w:firstLine="480"/>
              <w:jc w:val="center"/>
              <w:rPr>
                <w:color w:val="auto"/>
                <w:highlight w:val="none"/>
              </w:rPr>
            </w:pPr>
          </w:p>
        </w:tc>
        <w:tc>
          <w:tcPr>
            <w:tcW w:w="1204" w:type="dxa"/>
            <w:vMerge w:val="continue"/>
            <w:vAlign w:val="center"/>
          </w:tcPr>
          <w:p>
            <w:pPr>
              <w:spacing w:line="320" w:lineRule="atLeast"/>
              <w:ind w:firstLine="480"/>
              <w:rPr>
                <w:color w:val="auto"/>
                <w:highlight w:val="none"/>
              </w:rPr>
            </w:pPr>
          </w:p>
        </w:tc>
        <w:tc>
          <w:tcPr>
            <w:tcW w:w="2931" w:type="dxa"/>
            <w:vAlign w:val="center"/>
          </w:tcPr>
          <w:p>
            <w:pPr>
              <w:spacing w:line="320" w:lineRule="atLeast"/>
              <w:rPr>
                <w:rFonts w:ascii="宋体" w:cs="仿宋_GB2312"/>
                <w:color w:val="auto"/>
                <w:szCs w:val="21"/>
                <w:highlight w:val="none"/>
                <w:lang w:val="zh-CN"/>
              </w:rPr>
            </w:pPr>
            <w:r>
              <w:rPr>
                <w:rFonts w:hint="eastAsia" w:ascii="宋体"/>
                <w:color w:val="auto"/>
                <w:szCs w:val="21"/>
                <w:highlight w:val="none"/>
              </w:rPr>
              <w:t>（2）报价唯一</w:t>
            </w:r>
          </w:p>
        </w:tc>
        <w:tc>
          <w:tcPr>
            <w:tcW w:w="4602" w:type="dxa"/>
            <w:vAlign w:val="center"/>
          </w:tcPr>
          <w:p>
            <w:pPr>
              <w:spacing w:line="320" w:lineRule="atLeast"/>
              <w:rPr>
                <w:rFonts w:ascii="宋体" w:cs="宋体"/>
                <w:color w:val="auto"/>
                <w:szCs w:val="21"/>
                <w:highlight w:val="none"/>
              </w:rPr>
            </w:pPr>
            <w:r>
              <w:rPr>
                <w:rFonts w:hint="eastAsia" w:ascii="宋体" w:cs="仿宋_GB2312"/>
                <w:color w:val="auto"/>
                <w:szCs w:val="21"/>
                <w:highlight w:val="none"/>
                <w:lang w:val="zh-CN"/>
              </w:rPr>
              <w:t>只能在限价范围内报价，</w:t>
            </w:r>
            <w:r>
              <w:rPr>
                <w:rFonts w:hint="eastAsia" w:ascii="宋体"/>
                <w:color w:val="auto"/>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31" w:type="dxa"/>
            <w:vMerge w:val="continue"/>
            <w:vAlign w:val="center"/>
          </w:tcPr>
          <w:p>
            <w:pPr>
              <w:spacing w:line="320" w:lineRule="atLeast"/>
              <w:ind w:firstLine="480"/>
              <w:jc w:val="center"/>
              <w:rPr>
                <w:color w:val="auto"/>
                <w:highlight w:val="none"/>
              </w:rPr>
            </w:pPr>
          </w:p>
        </w:tc>
        <w:tc>
          <w:tcPr>
            <w:tcW w:w="1204" w:type="dxa"/>
            <w:vMerge w:val="continue"/>
            <w:vAlign w:val="center"/>
          </w:tcPr>
          <w:p>
            <w:pPr>
              <w:spacing w:line="320" w:lineRule="atLeast"/>
              <w:ind w:firstLine="480"/>
              <w:rPr>
                <w:color w:val="auto"/>
                <w:highlight w:val="none"/>
              </w:rPr>
            </w:pPr>
          </w:p>
        </w:tc>
        <w:tc>
          <w:tcPr>
            <w:tcW w:w="2931" w:type="dxa"/>
            <w:vAlign w:val="center"/>
          </w:tcPr>
          <w:p>
            <w:pPr>
              <w:spacing w:line="320" w:lineRule="atLeast"/>
              <w:rPr>
                <w:rFonts w:ascii="宋体"/>
                <w:color w:val="auto"/>
                <w:szCs w:val="21"/>
                <w:highlight w:val="none"/>
              </w:rPr>
            </w:pPr>
            <w:r>
              <w:rPr>
                <w:rFonts w:hint="eastAsia" w:ascii="宋体"/>
                <w:color w:val="auto"/>
                <w:szCs w:val="21"/>
                <w:highlight w:val="none"/>
              </w:rPr>
              <w:t xml:space="preserve"> (3) 投标文件的有效期</w:t>
            </w:r>
          </w:p>
        </w:tc>
        <w:tc>
          <w:tcPr>
            <w:tcW w:w="4602" w:type="dxa"/>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pPr>
              <w:spacing w:line="320" w:lineRule="atLeast"/>
              <w:jc w:val="center"/>
              <w:rPr>
                <w:rFonts w:ascii="宋体"/>
                <w:color w:val="auto"/>
                <w:szCs w:val="21"/>
                <w:highlight w:val="none"/>
              </w:rPr>
            </w:pPr>
            <w:r>
              <w:rPr>
                <w:rFonts w:hint="eastAsia" w:ascii="宋体"/>
                <w:color w:val="auto"/>
                <w:szCs w:val="21"/>
                <w:highlight w:val="none"/>
              </w:rPr>
              <w:t>2</w:t>
            </w:r>
          </w:p>
        </w:tc>
        <w:tc>
          <w:tcPr>
            <w:tcW w:w="1204" w:type="dxa"/>
            <w:vMerge w:val="restart"/>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标书的完整 性</w:t>
            </w:r>
          </w:p>
        </w:tc>
        <w:tc>
          <w:tcPr>
            <w:tcW w:w="2931" w:type="dxa"/>
            <w:vAlign w:val="center"/>
          </w:tcPr>
          <w:p>
            <w:pPr>
              <w:spacing w:line="320" w:lineRule="atLeast"/>
              <w:rPr>
                <w:rFonts w:ascii="宋体" w:cs="宋体"/>
                <w:color w:val="auto"/>
                <w:szCs w:val="21"/>
                <w:highlight w:val="none"/>
              </w:rPr>
            </w:pPr>
            <w:r>
              <w:rPr>
                <w:rFonts w:hint="eastAsia" w:ascii="宋体" w:cs="仿宋_GB2312"/>
                <w:color w:val="auto"/>
                <w:szCs w:val="21"/>
                <w:highlight w:val="none"/>
                <w:lang w:val="zh-CN"/>
              </w:rPr>
              <w:t>（</w:t>
            </w:r>
            <w:r>
              <w:rPr>
                <w:rFonts w:hint="eastAsia" w:ascii="宋体" w:cs="仿宋_GB2312"/>
                <w:color w:val="auto"/>
                <w:szCs w:val="21"/>
                <w:highlight w:val="none"/>
              </w:rPr>
              <w:t>4</w:t>
            </w:r>
            <w:r>
              <w:rPr>
                <w:rFonts w:hint="eastAsia" w:ascii="宋体" w:cs="仿宋_GB2312"/>
                <w:color w:val="auto"/>
                <w:szCs w:val="21"/>
                <w:highlight w:val="none"/>
                <w:lang w:val="zh-CN"/>
              </w:rPr>
              <w:t>）投标文件份数</w:t>
            </w:r>
          </w:p>
        </w:tc>
        <w:tc>
          <w:tcPr>
            <w:tcW w:w="4602" w:type="dxa"/>
            <w:vAlign w:val="center"/>
          </w:tcPr>
          <w:p>
            <w:pPr>
              <w:spacing w:line="320" w:lineRule="atLeast"/>
              <w:rPr>
                <w:rFonts w:ascii="宋体" w:cs="宋体"/>
                <w:color w:val="auto"/>
                <w:szCs w:val="21"/>
                <w:highlight w:val="none"/>
              </w:rPr>
            </w:pPr>
            <w:r>
              <w:rPr>
                <w:rFonts w:hint="eastAsia" w:ascii="宋体" w:hAnsi="宋体" w:cs="宋体"/>
                <w:color w:val="auto"/>
                <w:szCs w:val="21"/>
                <w:highlight w:val="none"/>
              </w:rPr>
              <w:t>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31" w:type="dxa"/>
            <w:vMerge w:val="continue"/>
            <w:vAlign w:val="center"/>
          </w:tcPr>
          <w:p>
            <w:pPr>
              <w:spacing w:line="320" w:lineRule="atLeast"/>
              <w:ind w:firstLine="480"/>
              <w:jc w:val="center"/>
              <w:rPr>
                <w:color w:val="auto"/>
                <w:highlight w:val="none"/>
              </w:rPr>
            </w:pPr>
          </w:p>
        </w:tc>
        <w:tc>
          <w:tcPr>
            <w:tcW w:w="1204" w:type="dxa"/>
            <w:vMerge w:val="continue"/>
            <w:vAlign w:val="center"/>
          </w:tcPr>
          <w:p>
            <w:pPr>
              <w:spacing w:line="320" w:lineRule="atLeast"/>
              <w:ind w:firstLine="480"/>
              <w:rPr>
                <w:color w:val="auto"/>
                <w:highlight w:val="none"/>
              </w:rPr>
            </w:pPr>
          </w:p>
        </w:tc>
        <w:tc>
          <w:tcPr>
            <w:tcW w:w="2931" w:type="dxa"/>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w:t>
            </w:r>
            <w:r>
              <w:rPr>
                <w:rFonts w:hint="eastAsia" w:ascii="宋体" w:cs="仿宋_GB2312"/>
                <w:color w:val="auto"/>
                <w:szCs w:val="21"/>
                <w:highlight w:val="none"/>
              </w:rPr>
              <w:t>5</w:t>
            </w:r>
            <w:r>
              <w:rPr>
                <w:rFonts w:hint="eastAsia" w:ascii="宋体" w:cs="仿宋_GB2312"/>
                <w:color w:val="auto"/>
                <w:szCs w:val="21"/>
                <w:highlight w:val="none"/>
                <w:lang w:val="zh-CN"/>
              </w:rPr>
              <w:t>）投标文件形式内容</w:t>
            </w:r>
          </w:p>
        </w:tc>
        <w:tc>
          <w:tcPr>
            <w:tcW w:w="4602" w:type="dxa"/>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restart"/>
            <w:vAlign w:val="center"/>
          </w:tcPr>
          <w:p>
            <w:pPr>
              <w:spacing w:line="320" w:lineRule="atLeast"/>
              <w:jc w:val="center"/>
              <w:rPr>
                <w:rFonts w:ascii="宋体"/>
                <w:color w:val="auto"/>
                <w:szCs w:val="21"/>
                <w:highlight w:val="none"/>
              </w:rPr>
            </w:pPr>
            <w:r>
              <w:rPr>
                <w:rFonts w:hint="eastAsia" w:ascii="宋体"/>
                <w:color w:val="auto"/>
                <w:szCs w:val="21"/>
                <w:highlight w:val="none"/>
              </w:rPr>
              <w:t>3</w:t>
            </w:r>
          </w:p>
        </w:tc>
        <w:tc>
          <w:tcPr>
            <w:tcW w:w="1204" w:type="dxa"/>
            <w:vMerge w:val="restart"/>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标书的响应程度</w:t>
            </w:r>
          </w:p>
        </w:tc>
        <w:tc>
          <w:tcPr>
            <w:tcW w:w="2931" w:type="dxa"/>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w:t>
            </w:r>
            <w:r>
              <w:rPr>
                <w:rFonts w:hint="eastAsia" w:ascii="宋体" w:cs="仿宋_GB2312"/>
                <w:color w:val="auto"/>
                <w:szCs w:val="21"/>
                <w:highlight w:val="none"/>
              </w:rPr>
              <w:t>6</w:t>
            </w:r>
            <w:r>
              <w:rPr>
                <w:rFonts w:hint="eastAsia" w:ascii="宋体" w:cs="仿宋_GB2312"/>
                <w:color w:val="auto"/>
                <w:szCs w:val="21"/>
                <w:highlight w:val="none"/>
                <w:lang w:val="zh-CN"/>
              </w:rPr>
              <w:t>）技术参数响应程度</w:t>
            </w:r>
          </w:p>
        </w:tc>
        <w:tc>
          <w:tcPr>
            <w:tcW w:w="4602" w:type="dxa"/>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响应或优于交易文件要求。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pPr>
              <w:spacing w:line="320" w:lineRule="atLeast"/>
              <w:ind w:firstLine="480"/>
              <w:jc w:val="center"/>
              <w:rPr>
                <w:color w:val="auto"/>
                <w:highlight w:val="none"/>
              </w:rPr>
            </w:pPr>
          </w:p>
        </w:tc>
        <w:tc>
          <w:tcPr>
            <w:tcW w:w="1204" w:type="dxa"/>
            <w:vMerge w:val="continue"/>
            <w:vAlign w:val="center"/>
          </w:tcPr>
          <w:p>
            <w:pPr>
              <w:spacing w:line="320" w:lineRule="atLeast"/>
              <w:ind w:firstLine="480"/>
              <w:rPr>
                <w:color w:val="auto"/>
                <w:highlight w:val="none"/>
              </w:rPr>
            </w:pPr>
          </w:p>
        </w:tc>
        <w:tc>
          <w:tcPr>
            <w:tcW w:w="2931" w:type="dxa"/>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w:t>
            </w:r>
            <w:r>
              <w:rPr>
                <w:rFonts w:hint="eastAsia" w:ascii="宋体" w:cs="仿宋_GB2312"/>
                <w:color w:val="auto"/>
                <w:szCs w:val="21"/>
                <w:highlight w:val="none"/>
              </w:rPr>
              <w:t>7</w:t>
            </w:r>
            <w:r>
              <w:rPr>
                <w:rFonts w:hint="eastAsia" w:ascii="宋体" w:cs="仿宋_GB2312"/>
                <w:color w:val="auto"/>
                <w:szCs w:val="21"/>
                <w:highlight w:val="none"/>
                <w:lang w:val="zh-CN"/>
              </w:rPr>
              <w:t>）商务条款响应程度（包括供货期、售后服务、技术培训等）</w:t>
            </w:r>
          </w:p>
        </w:tc>
        <w:tc>
          <w:tcPr>
            <w:tcW w:w="4602" w:type="dxa"/>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响应或优于</w:t>
            </w:r>
            <w:r>
              <w:rPr>
                <w:rFonts w:hint="eastAsia" w:ascii="宋体" w:hAnsi="宋体" w:cs="宋体"/>
                <w:color w:val="auto"/>
                <w:szCs w:val="21"/>
                <w:highlight w:val="none"/>
                <w:lang w:val="zh-CN"/>
              </w:rPr>
              <w:t>交易文件要求。</w:t>
            </w:r>
          </w:p>
        </w:tc>
      </w:tr>
    </w:tbl>
    <w:p>
      <w:pPr>
        <w:spacing w:line="400" w:lineRule="exact"/>
        <w:ind w:firstLine="506" w:firstLineChars="241"/>
        <w:rPr>
          <w:rFonts w:ascii="宋体"/>
          <w:color w:val="auto"/>
          <w:szCs w:val="21"/>
          <w:highlight w:val="none"/>
        </w:rPr>
      </w:pPr>
      <w:r>
        <w:rPr>
          <w:rFonts w:hint="eastAsia" w:ascii="宋体"/>
          <w:color w:val="auto"/>
          <w:szCs w:val="21"/>
          <w:highlight w:val="none"/>
        </w:rPr>
        <w:t>4.2评委会判定投标文件的响应性只根据投标文件本身的内容，而不寻求外部的证据，但投标有不真实不正确的内容时除外。</w:t>
      </w:r>
    </w:p>
    <w:p>
      <w:pPr>
        <w:spacing w:line="400" w:lineRule="exact"/>
        <w:ind w:firstLine="506" w:firstLineChars="241"/>
        <w:rPr>
          <w:rFonts w:ascii="宋体"/>
          <w:color w:val="auto"/>
          <w:szCs w:val="21"/>
          <w:highlight w:val="none"/>
        </w:rPr>
      </w:pPr>
      <w:r>
        <w:rPr>
          <w:rFonts w:hint="eastAsia" w:ascii="宋体"/>
          <w:color w:val="auto"/>
          <w:szCs w:val="21"/>
          <w:highlight w:val="none"/>
        </w:rPr>
        <w:t>4.3如果投标文件实质上没有响应交易文件的要求，评委会将予以拒绝，投标人不得通过修正或撤销不符合要求的偏离或保留，而使其投标成为实质上响应的投标。</w:t>
      </w:r>
    </w:p>
    <w:p>
      <w:pPr>
        <w:spacing w:line="400" w:lineRule="exact"/>
        <w:ind w:firstLine="420" w:firstLineChars="200"/>
        <w:rPr>
          <w:rFonts w:ascii="宋体"/>
          <w:color w:val="auto"/>
          <w:szCs w:val="21"/>
          <w:highlight w:val="none"/>
        </w:rPr>
      </w:pPr>
      <w:r>
        <w:rPr>
          <w:rFonts w:hint="eastAsia" w:ascii="宋体"/>
          <w:color w:val="auto"/>
          <w:szCs w:val="21"/>
          <w:highlight w:val="none"/>
        </w:rPr>
        <w:t xml:space="preserve"> 4.4投标人可以对评标委员会的评审结论提出异议，评标委员会根据交易文件及有关规定对投标人的异议进行复议</w:t>
      </w:r>
    </w:p>
    <w:p>
      <w:pPr>
        <w:spacing w:line="400" w:lineRule="exact"/>
        <w:ind w:firstLine="525" w:firstLineChars="250"/>
        <w:rPr>
          <w:rFonts w:ascii="宋体" w:hAnsi="宋体"/>
          <w:b/>
          <w:color w:val="auto"/>
          <w:szCs w:val="21"/>
          <w:highlight w:val="none"/>
        </w:rPr>
      </w:pPr>
      <w:r>
        <w:rPr>
          <w:rFonts w:hint="eastAsia" w:ascii="宋体"/>
          <w:color w:val="auto"/>
          <w:szCs w:val="21"/>
          <w:highlight w:val="none"/>
        </w:rPr>
        <w:t>4.5只有通过初审的投标人才能进入下一步评标程序。</w:t>
      </w:r>
    </w:p>
    <w:p>
      <w:pPr>
        <w:spacing w:before="312" w:beforeLines="100" w:line="400" w:lineRule="exact"/>
        <w:ind w:firstLine="482"/>
        <w:jc w:val="center"/>
        <w:outlineLvl w:val="1"/>
        <w:rPr>
          <w:rFonts w:ascii="宋体"/>
          <w:b/>
          <w:color w:val="auto"/>
          <w:sz w:val="24"/>
          <w:highlight w:val="none"/>
        </w:rPr>
      </w:pPr>
      <w:bookmarkStart w:id="540" w:name="_Toc469495734"/>
      <w:bookmarkStart w:id="541" w:name="_Toc307"/>
      <w:bookmarkStart w:id="542" w:name="_Toc12765"/>
      <w:bookmarkStart w:id="543" w:name="_Toc362983803"/>
      <w:bookmarkStart w:id="544" w:name="_Toc6216"/>
      <w:r>
        <w:rPr>
          <w:rFonts w:hint="eastAsia" w:ascii="宋体"/>
          <w:b/>
          <w:color w:val="auto"/>
          <w:sz w:val="24"/>
          <w:highlight w:val="none"/>
        </w:rPr>
        <w:t>三  投标文件的澄清和补正</w:t>
      </w:r>
      <w:bookmarkEnd w:id="540"/>
      <w:bookmarkEnd w:id="541"/>
      <w:bookmarkEnd w:id="542"/>
      <w:bookmarkEnd w:id="543"/>
      <w:bookmarkEnd w:id="544"/>
    </w:p>
    <w:p>
      <w:pPr>
        <w:spacing w:line="380" w:lineRule="exact"/>
        <w:ind w:firstLine="527" w:firstLineChars="250"/>
        <w:rPr>
          <w:rFonts w:ascii="宋体"/>
          <w:color w:val="auto"/>
          <w:szCs w:val="21"/>
          <w:highlight w:val="none"/>
        </w:rPr>
      </w:pPr>
      <w:r>
        <w:rPr>
          <w:rFonts w:hint="eastAsia" w:ascii="宋体" w:hAnsi="宋体" w:cs="宋体"/>
          <w:b/>
          <w:bCs/>
          <w:color w:val="auto"/>
          <w:szCs w:val="21"/>
          <w:highlight w:val="none"/>
        </w:rPr>
        <w:t>5.1</w:t>
      </w:r>
      <w:r>
        <w:rPr>
          <w:rFonts w:hint="eastAsia" w:ascii="宋体"/>
          <w:color w:val="auto"/>
          <w:szCs w:val="21"/>
          <w:highlight w:val="none"/>
        </w:rPr>
        <w:t>评委会修正错误的原则：</w:t>
      </w:r>
    </w:p>
    <w:p>
      <w:pPr>
        <w:spacing w:line="380" w:lineRule="exact"/>
        <w:ind w:firstLine="525" w:firstLineChars="250"/>
        <w:rPr>
          <w:rFonts w:ascii="宋体"/>
          <w:color w:val="auto"/>
          <w:szCs w:val="21"/>
          <w:highlight w:val="none"/>
        </w:rPr>
      </w:pPr>
      <w:r>
        <w:rPr>
          <w:rFonts w:hint="eastAsia" w:ascii="宋体"/>
          <w:color w:val="auto"/>
          <w:szCs w:val="21"/>
          <w:highlight w:val="none"/>
        </w:rPr>
        <w:t>5.1.1如果数字表示的金额和用文字表示的金额不一致时，以文字表示的金额为准；当货物服务报价表、投标函的总报价与开标一览表不一致时，以开标一览表为准。</w:t>
      </w:r>
    </w:p>
    <w:p>
      <w:pPr>
        <w:spacing w:line="380" w:lineRule="exact"/>
        <w:ind w:firstLine="525" w:firstLineChars="250"/>
        <w:rPr>
          <w:rFonts w:ascii="宋体"/>
          <w:color w:val="auto"/>
          <w:szCs w:val="21"/>
          <w:highlight w:val="none"/>
        </w:rPr>
      </w:pPr>
      <w:r>
        <w:rPr>
          <w:rFonts w:hint="eastAsia" w:ascii="宋体"/>
          <w:color w:val="auto"/>
          <w:szCs w:val="21"/>
          <w:highlight w:val="none"/>
        </w:rPr>
        <w:t>5.1.2如果单价与数量的乘积和总价不一致，以单价为准，修正总价及开标一览表；当单价小数点有明显的错位时，评委会将以总价为准，并修正其单价。</w:t>
      </w:r>
    </w:p>
    <w:p>
      <w:pPr>
        <w:spacing w:line="380" w:lineRule="exact"/>
        <w:ind w:firstLine="403" w:firstLineChars="192"/>
        <w:rPr>
          <w:rFonts w:ascii="宋体"/>
          <w:b/>
          <w:color w:val="auto"/>
          <w:sz w:val="24"/>
          <w:highlight w:val="none"/>
        </w:rPr>
      </w:pPr>
      <w:r>
        <w:rPr>
          <w:rFonts w:hint="eastAsia" w:ascii="宋体"/>
          <w:color w:val="auto"/>
          <w:szCs w:val="21"/>
          <w:highlight w:val="none"/>
        </w:rPr>
        <w:t xml:space="preserve"> 5.2评委会将按上述修正错误的方法调整投标文件中的投标报价，调整后的价格应对投标人具有约束力。无论投标人是接受或是拒绝调整后的价格，都应当由</w:t>
      </w:r>
      <w:r>
        <w:rPr>
          <w:rFonts w:hint="eastAsia" w:ascii="宋体" w:hAnsi="宋体" w:cs="宋体"/>
          <w:b/>
          <w:bCs/>
          <w:color w:val="auto"/>
          <w:szCs w:val="21"/>
          <w:highlight w:val="none"/>
        </w:rPr>
        <w:t>投标人进行有效确认</w:t>
      </w:r>
      <w:r>
        <w:rPr>
          <w:rFonts w:hint="eastAsia" w:ascii="宋体"/>
          <w:color w:val="auto"/>
          <w:szCs w:val="21"/>
          <w:highlight w:val="none"/>
        </w:rPr>
        <w:t>。投标人拒绝对投标文件出现的错漏按上述原则进行修正、澄清、说明，评标委员会应当否决其投标。</w:t>
      </w:r>
      <w:bookmarkStart w:id="545" w:name="_Toc469495735"/>
    </w:p>
    <w:p>
      <w:pPr>
        <w:spacing w:line="380" w:lineRule="exact"/>
        <w:ind w:firstLine="482"/>
        <w:jc w:val="center"/>
        <w:outlineLvl w:val="1"/>
        <w:rPr>
          <w:rFonts w:ascii="宋体"/>
          <w:b/>
          <w:color w:val="auto"/>
          <w:sz w:val="24"/>
          <w:highlight w:val="none"/>
        </w:rPr>
      </w:pPr>
      <w:bookmarkStart w:id="546" w:name="_Toc25675"/>
      <w:bookmarkStart w:id="547" w:name="_Toc18854"/>
      <w:bookmarkStart w:id="548" w:name="_Toc18354"/>
      <w:r>
        <w:rPr>
          <w:rFonts w:hint="eastAsia" w:ascii="宋体"/>
          <w:b/>
          <w:color w:val="auto"/>
          <w:sz w:val="24"/>
          <w:highlight w:val="none"/>
        </w:rPr>
        <w:t>四 比较与评价</w:t>
      </w:r>
      <w:bookmarkEnd w:id="545"/>
      <w:bookmarkEnd w:id="546"/>
      <w:bookmarkEnd w:id="547"/>
      <w:bookmarkEnd w:id="548"/>
    </w:p>
    <w:p>
      <w:pPr>
        <w:spacing w:line="400" w:lineRule="exact"/>
        <w:ind w:firstLine="417" w:firstLineChars="198"/>
        <w:rPr>
          <w:rFonts w:ascii="宋体"/>
          <w:b/>
          <w:color w:val="auto"/>
          <w:szCs w:val="21"/>
          <w:highlight w:val="none"/>
        </w:rPr>
      </w:pPr>
      <w:r>
        <w:rPr>
          <w:rFonts w:hint="eastAsia" w:ascii="宋体" w:hAnsi="宋体"/>
          <w:b/>
          <w:color w:val="auto"/>
          <w:szCs w:val="21"/>
          <w:highlight w:val="none"/>
        </w:rPr>
        <w:t xml:space="preserve"> 6. </w:t>
      </w:r>
      <w:r>
        <w:rPr>
          <w:rFonts w:hint="eastAsia" w:ascii="宋体"/>
          <w:b/>
          <w:color w:val="auto"/>
          <w:szCs w:val="21"/>
          <w:highlight w:val="none"/>
        </w:rPr>
        <w:t>详细评审即按招标文件中规定的评标方法和标准，评标委员会将对通过初审的投标文件，进行资信、技术和商务部分评估、综合比较与评价。</w:t>
      </w:r>
    </w:p>
    <w:p>
      <w:pPr>
        <w:spacing w:line="400" w:lineRule="exact"/>
        <w:ind w:firstLine="482"/>
        <w:rPr>
          <w:rFonts w:ascii="宋体" w:hAnsi="宋体"/>
          <w:b/>
          <w:color w:val="auto"/>
          <w:sz w:val="24"/>
          <w:highlight w:val="none"/>
        </w:rPr>
      </w:pPr>
      <w:r>
        <w:rPr>
          <w:rFonts w:hint="eastAsia" w:ascii="宋体" w:hAnsi="宋体"/>
          <w:b/>
          <w:color w:val="auto"/>
          <w:sz w:val="24"/>
          <w:highlight w:val="none"/>
        </w:rPr>
        <w:t>6.1资信标评审细则（4</w:t>
      </w:r>
      <w:r>
        <w:rPr>
          <w:rFonts w:hint="eastAsia" w:ascii="宋体" w:hAnsi="宋体"/>
          <w:b/>
          <w:color w:val="auto"/>
          <w:sz w:val="24"/>
          <w:highlight w:val="none"/>
          <w:lang w:val="en-US" w:eastAsia="zh-CN"/>
        </w:rPr>
        <w:t>0</w:t>
      </w:r>
      <w:r>
        <w:rPr>
          <w:rFonts w:hint="eastAsia" w:ascii="宋体" w:hAnsi="宋体"/>
          <w:b/>
          <w:color w:val="auto"/>
          <w:sz w:val="24"/>
          <w:highlight w:val="none"/>
        </w:rPr>
        <w:t>分）</w:t>
      </w:r>
    </w:p>
    <w:tbl>
      <w:tblPr>
        <w:tblStyle w:val="50"/>
        <w:tblW w:w="10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900"/>
        <w:gridCol w:w="7440"/>
        <w:gridCol w:w="802"/>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评分</w:t>
            </w:r>
          </w:p>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因素</w:t>
            </w:r>
          </w:p>
        </w:tc>
        <w:tc>
          <w:tcPr>
            <w:tcW w:w="7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20"/>
              <w:jc w:val="center"/>
              <w:rPr>
                <w:rFonts w:ascii="宋体" w:hAnsi="宋体" w:cs="宋体"/>
                <w:color w:val="auto"/>
                <w:szCs w:val="21"/>
                <w:highlight w:val="none"/>
              </w:rPr>
            </w:pPr>
            <w:r>
              <w:rPr>
                <w:rFonts w:hint="eastAsia" w:ascii="宋体" w:hAnsi="宋体" w:cs="宋体"/>
                <w:color w:val="auto"/>
                <w:szCs w:val="21"/>
                <w:highlight w:val="none"/>
              </w:rPr>
              <w:t>评审标准</w:t>
            </w: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分值</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企业</w:t>
            </w:r>
          </w:p>
          <w:p>
            <w:pPr>
              <w:spacing w:line="360" w:lineRule="exact"/>
              <w:jc w:val="center"/>
              <w:rPr>
                <w:rFonts w:ascii="宋体" w:hAnsi="宋体"/>
                <w:color w:val="auto"/>
                <w:szCs w:val="21"/>
                <w:highlight w:val="none"/>
              </w:rPr>
            </w:pPr>
            <w:r>
              <w:rPr>
                <w:rFonts w:hint="eastAsia" w:ascii="宋体" w:hAnsi="宋体"/>
                <w:color w:val="auto"/>
                <w:szCs w:val="21"/>
                <w:highlight w:val="none"/>
              </w:rPr>
              <w:t>业绩</w:t>
            </w:r>
          </w:p>
        </w:tc>
        <w:tc>
          <w:tcPr>
            <w:tcW w:w="744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spacing w:line="360" w:lineRule="exact"/>
              <w:ind w:firstLine="0" w:firstLineChars="0"/>
              <w:rPr>
                <w:rFonts w:hint="eastAsia" w:ascii="宋体" w:hAnsi="宋体"/>
                <w:color w:val="auto"/>
                <w:szCs w:val="21"/>
                <w:highlight w:val="none"/>
              </w:rPr>
            </w:pPr>
            <w:r>
              <w:rPr>
                <w:rFonts w:hint="eastAsia" w:ascii="宋体" w:hAnsi="宋体"/>
                <w:color w:val="auto"/>
                <w:szCs w:val="21"/>
                <w:highlight w:val="none"/>
              </w:rPr>
              <w:t>自2020年1月1日（以合同签订时间为准）以来，具有信息化类的检测项目业绩的一个得5分，本项满分15分。</w:t>
            </w:r>
          </w:p>
          <w:p>
            <w:pPr>
              <w:pStyle w:val="13"/>
              <w:spacing w:line="360" w:lineRule="exact"/>
              <w:ind w:firstLine="0" w:firstLineChars="0"/>
              <w:rPr>
                <w:rFonts w:hint="eastAsia" w:ascii="宋体" w:hAnsi="宋体"/>
                <w:color w:val="auto"/>
                <w:szCs w:val="21"/>
                <w:highlight w:val="none"/>
              </w:rPr>
            </w:pPr>
            <w:r>
              <w:rPr>
                <w:rFonts w:hint="eastAsia" w:ascii="宋体" w:hAnsi="宋体"/>
                <w:color w:val="auto"/>
                <w:szCs w:val="21"/>
                <w:highlight w:val="none"/>
              </w:rPr>
              <w:t>注：本项最高得15分。同一业绩包含上述多项内容的，不重复计分。</w:t>
            </w:r>
          </w:p>
          <w:p>
            <w:pPr>
              <w:pStyle w:val="13"/>
              <w:spacing w:line="360" w:lineRule="exact"/>
              <w:ind w:firstLine="0" w:firstLineChars="0"/>
              <w:rPr>
                <w:rFonts w:hint="eastAsia" w:ascii="宋体" w:hAnsi="宋体"/>
                <w:color w:val="auto"/>
                <w:szCs w:val="21"/>
                <w:highlight w:val="none"/>
              </w:rPr>
            </w:pPr>
            <w:r>
              <w:rPr>
                <w:rFonts w:hint="eastAsia" w:ascii="宋体" w:hAnsi="宋体"/>
                <w:color w:val="auto"/>
                <w:szCs w:val="21"/>
                <w:highlight w:val="none"/>
              </w:rPr>
              <w:t>投标文件中提供业绩合同扫描件。如以上材料无法体现服务内容、签订时间等关键评审内容，须同时提供业主单位（或合同甲方）出具的证明材料扫描件</w:t>
            </w: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15分</w:t>
            </w:r>
          </w:p>
        </w:tc>
        <w:tc>
          <w:tcPr>
            <w:tcW w:w="713" w:type="dxa"/>
            <w:vMerge w:val="restart"/>
            <w:tcBorders>
              <w:left w:val="single" w:color="auto" w:sz="4" w:space="0"/>
              <w:right w:val="single" w:color="auto" w:sz="4" w:space="0"/>
            </w:tcBorders>
            <w:shd w:val="clear" w:color="auto" w:fill="auto"/>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检验投标文件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项目组成员</w:t>
            </w:r>
          </w:p>
        </w:tc>
        <w:tc>
          <w:tcPr>
            <w:tcW w:w="744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spacing w:line="360" w:lineRule="exact"/>
              <w:ind w:firstLine="0" w:firstLineChars="0"/>
              <w:rPr>
                <w:rFonts w:hint="eastAsia" w:ascii="宋体" w:hAnsi="宋体"/>
                <w:color w:val="auto"/>
                <w:szCs w:val="21"/>
                <w:highlight w:val="none"/>
                <w:lang w:eastAsia="zh-CN"/>
              </w:rPr>
            </w:pPr>
            <w:r>
              <w:rPr>
                <w:rFonts w:hint="eastAsia" w:ascii="宋体" w:hAnsi="宋体"/>
                <w:color w:val="auto"/>
                <w:szCs w:val="21"/>
                <w:highlight w:val="none"/>
              </w:rPr>
              <w:t>项目负责人具有人社部和工信部颁发的计算机技术与软件专业技术资格证书</w:t>
            </w:r>
            <w:r>
              <w:rPr>
                <w:rFonts w:hint="eastAsia" w:ascii="宋体" w:hAnsi="宋体"/>
                <w:color w:val="auto"/>
                <w:szCs w:val="21"/>
                <w:highlight w:val="none"/>
                <w:lang w:eastAsia="zh-CN"/>
              </w:rPr>
              <w:t>，</w:t>
            </w:r>
            <w:r>
              <w:rPr>
                <w:rFonts w:hint="eastAsia" w:ascii="宋体" w:hAnsi="宋体"/>
                <w:color w:val="auto"/>
                <w:szCs w:val="21"/>
                <w:highlight w:val="none"/>
              </w:rPr>
              <w:t>专业为</w:t>
            </w:r>
            <w:r>
              <w:rPr>
                <w:rFonts w:hint="eastAsia" w:ascii="宋体" w:hAnsi="宋体"/>
                <w:color w:val="auto"/>
                <w:szCs w:val="21"/>
                <w:highlight w:val="none"/>
                <w:lang w:eastAsia="zh-CN"/>
              </w:rPr>
              <w:t>：</w:t>
            </w:r>
            <w:r>
              <w:rPr>
                <w:rFonts w:hint="eastAsia" w:ascii="宋体" w:hAnsi="宋体"/>
                <w:color w:val="auto"/>
                <w:szCs w:val="21"/>
                <w:highlight w:val="none"/>
              </w:rPr>
              <w:t>信息系统项目管理师、系统分析师、系统架构设计师、网络规划设计师、系统规划与管理师，有其中任意一项得 10分，本项满分10分。项目组成员具有人社部和工信部颁发的计算机技术与软件专业技术资格证书</w:t>
            </w:r>
            <w:r>
              <w:rPr>
                <w:rFonts w:hint="eastAsia" w:ascii="宋体" w:hAnsi="宋体"/>
                <w:color w:val="auto"/>
                <w:szCs w:val="21"/>
                <w:highlight w:val="none"/>
                <w:lang w:eastAsia="zh-CN"/>
              </w:rPr>
              <w:t>，</w:t>
            </w:r>
          </w:p>
          <w:p>
            <w:pPr>
              <w:pStyle w:val="13"/>
              <w:spacing w:line="360" w:lineRule="exact"/>
              <w:ind w:firstLine="0" w:firstLineChars="0"/>
              <w:rPr>
                <w:rFonts w:hint="eastAsia" w:ascii="宋体" w:hAnsi="宋体"/>
                <w:color w:val="auto"/>
                <w:szCs w:val="21"/>
                <w:highlight w:val="none"/>
              </w:rPr>
            </w:pPr>
            <w:r>
              <w:rPr>
                <w:rFonts w:hint="eastAsia" w:ascii="宋体" w:hAnsi="宋体"/>
                <w:color w:val="auto"/>
                <w:szCs w:val="21"/>
                <w:highlight w:val="none"/>
              </w:rPr>
              <w:t>专业为</w:t>
            </w:r>
            <w:r>
              <w:rPr>
                <w:rFonts w:hint="eastAsia" w:ascii="宋体" w:hAnsi="宋体"/>
                <w:color w:val="auto"/>
                <w:szCs w:val="21"/>
                <w:highlight w:val="none"/>
                <w:lang w:eastAsia="zh-CN"/>
              </w:rPr>
              <w:t>：</w:t>
            </w:r>
            <w:r>
              <w:rPr>
                <w:rFonts w:hint="eastAsia" w:ascii="宋体" w:hAnsi="宋体"/>
                <w:color w:val="auto"/>
                <w:szCs w:val="21"/>
                <w:highlight w:val="none"/>
              </w:rPr>
              <w:t>软件测评师、软件设计师、软件过程能力评估师、网络工程师、系统集成项目管理工程师、信息系统监理师、信息安全工程师、数据库系统工程师、信息系统管理工程师、计算机硬件工程师、信息技术支持工程师。每有一项得3 分，最多得 15 分。(同一人员具有多个证书的可累计计分，不同人员的同</w:t>
            </w:r>
            <w:r>
              <w:rPr>
                <w:rFonts w:hint="eastAsia" w:ascii="宋体" w:hAnsi="宋体"/>
                <w:color w:val="auto"/>
                <w:szCs w:val="21"/>
                <w:highlight w:val="none"/>
                <w:lang w:val="en-US" w:eastAsia="zh-CN"/>
              </w:rPr>
              <w:t>一</w:t>
            </w:r>
            <w:r>
              <w:rPr>
                <w:rFonts w:hint="eastAsia" w:ascii="宋体" w:hAnsi="宋体"/>
                <w:color w:val="auto"/>
                <w:szCs w:val="21"/>
                <w:highlight w:val="none"/>
              </w:rPr>
              <w:t>证书提供多次的可累计计分)。</w:t>
            </w:r>
          </w:p>
          <w:p>
            <w:pPr>
              <w:pStyle w:val="13"/>
              <w:spacing w:line="360" w:lineRule="exact"/>
              <w:ind w:firstLine="0" w:firstLineChars="0"/>
              <w:rPr>
                <w:rFonts w:hint="eastAsia" w:ascii="宋体" w:hAnsi="宋体"/>
                <w:color w:val="auto"/>
                <w:szCs w:val="21"/>
                <w:highlight w:val="none"/>
                <w:lang w:val="zh-CN" w:eastAsia="zh-CN"/>
              </w:rPr>
            </w:pPr>
            <w:r>
              <w:rPr>
                <w:rFonts w:hint="eastAsia" w:ascii="宋体" w:hAnsi="宋体"/>
                <w:color w:val="auto"/>
                <w:szCs w:val="21"/>
                <w:highlight w:val="none"/>
              </w:rPr>
              <w:t>注:供应商为上述人员缴纳的投标文件截止前3个月内(任意1个月即可)的社保证明材料复印件加盖公章。</w:t>
            </w: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25分</w:t>
            </w:r>
          </w:p>
        </w:tc>
        <w:tc>
          <w:tcPr>
            <w:tcW w:w="713" w:type="dxa"/>
            <w:vMerge w:val="continue"/>
            <w:tcBorders>
              <w:left w:val="single" w:color="auto" w:sz="4" w:space="0"/>
              <w:right w:val="single" w:color="auto" w:sz="4" w:space="0"/>
            </w:tcBorders>
            <w:shd w:val="clear" w:color="auto" w:fill="auto"/>
            <w:vAlign w:val="center"/>
          </w:tcPr>
          <w:p>
            <w:pPr>
              <w:spacing w:line="360" w:lineRule="exact"/>
              <w:ind w:firstLine="480"/>
              <w:rPr>
                <w:rFonts w:ascii="宋体" w:hAnsi="宋体" w:cs="宋体"/>
                <w:color w:val="auto"/>
                <w:szCs w:val="21"/>
                <w:highlight w:val="none"/>
              </w:rPr>
            </w:pPr>
          </w:p>
        </w:tc>
      </w:tr>
    </w:tbl>
    <w:p>
      <w:pPr>
        <w:spacing w:line="380" w:lineRule="exact"/>
        <w:ind w:firstLine="405" w:firstLineChars="192"/>
        <w:rPr>
          <w:rFonts w:ascii="宋体"/>
          <w:b/>
          <w:bCs/>
          <w:color w:val="auto"/>
          <w:szCs w:val="21"/>
          <w:highlight w:val="none"/>
        </w:rPr>
      </w:pPr>
      <w:r>
        <w:rPr>
          <w:rFonts w:hint="eastAsia" w:ascii="宋体"/>
          <w:b/>
          <w:bCs/>
          <w:color w:val="auto"/>
          <w:szCs w:val="21"/>
          <w:highlight w:val="none"/>
        </w:rPr>
        <w:t>注：1.上要求的证明材料需加盖投标单位公章；</w:t>
      </w:r>
    </w:p>
    <w:p>
      <w:pPr>
        <w:spacing w:line="380" w:lineRule="exact"/>
        <w:ind w:firstLine="405" w:firstLineChars="192"/>
        <w:rPr>
          <w:rFonts w:ascii="宋体"/>
          <w:b/>
          <w:bCs/>
          <w:color w:val="auto"/>
          <w:szCs w:val="21"/>
          <w:highlight w:val="none"/>
        </w:rPr>
      </w:pPr>
      <w:r>
        <w:rPr>
          <w:rFonts w:hint="eastAsia" w:ascii="宋体"/>
          <w:b/>
          <w:bCs/>
          <w:color w:val="auto"/>
          <w:szCs w:val="21"/>
          <w:highlight w:val="none"/>
        </w:rPr>
        <w:t>2.投标人提供的项目业绩只计算评标分值对应的项目数量，按照排列顺序从首个业绩开始评审至对应数量，超出部分不进行评审。对应数量内业绩不符合招标文件要求不得分的，不再补充评审超出部分业绩。如：提供3个业绩即得满分的，按照投标文件排序评审第一、第二、第三项业绩，其余超出部分不再评审。</w:t>
      </w:r>
    </w:p>
    <w:p>
      <w:pPr>
        <w:spacing w:line="320" w:lineRule="exact"/>
        <w:ind w:firstLine="480" w:firstLineChars="200"/>
        <w:rPr>
          <w:rFonts w:ascii="宋体" w:hAnsi="宋体" w:cs="宋体"/>
          <w:color w:val="auto"/>
          <w:sz w:val="24"/>
          <w:highlight w:val="none"/>
        </w:rPr>
      </w:pPr>
    </w:p>
    <w:p>
      <w:pPr>
        <w:spacing w:line="3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6.2技术部分（</w:t>
      </w:r>
      <w:r>
        <w:rPr>
          <w:rFonts w:hint="eastAsia" w:ascii="宋体" w:hAnsi="宋体" w:cs="宋体"/>
          <w:b/>
          <w:bCs/>
          <w:color w:val="auto"/>
          <w:sz w:val="24"/>
          <w:highlight w:val="none"/>
          <w:lang w:val="en-US" w:eastAsia="zh-CN"/>
        </w:rPr>
        <w:t>45</w:t>
      </w:r>
      <w:r>
        <w:rPr>
          <w:rFonts w:hint="eastAsia" w:ascii="宋体" w:hAnsi="宋体" w:cs="宋体"/>
          <w:b/>
          <w:bCs/>
          <w:color w:val="auto"/>
          <w:sz w:val="24"/>
          <w:highlight w:val="none"/>
        </w:rPr>
        <w:t>分）</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978"/>
        <w:gridCol w:w="6899"/>
        <w:gridCol w:w="68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b/>
                <w:color w:val="auto"/>
                <w:sz w:val="24"/>
                <w:highlight w:val="none"/>
              </w:rPr>
            </w:pPr>
            <w:r>
              <w:rPr>
                <w:rFonts w:hint="eastAsia" w:ascii="宋体" w:hAnsi="宋体" w:cs="宋体"/>
                <w:b/>
                <w:color w:val="auto"/>
                <w:sz w:val="24"/>
                <w:highlight w:val="none"/>
              </w:rPr>
              <w:t>评分因素</w:t>
            </w:r>
          </w:p>
        </w:tc>
        <w:tc>
          <w:tcPr>
            <w:tcW w:w="6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评审标准</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b/>
                <w:color w:val="auto"/>
                <w:sz w:val="24"/>
                <w:highlight w:val="none"/>
              </w:rPr>
            </w:pPr>
            <w:r>
              <w:rPr>
                <w:rFonts w:hint="eastAsia" w:ascii="宋体" w:hAnsi="宋体" w:cs="宋体"/>
                <w:b/>
                <w:color w:val="auto"/>
                <w:sz w:val="24"/>
                <w:highlight w:val="none"/>
              </w:rPr>
              <w:t>分值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宋体" w:cs="宋体"/>
                <w:b/>
                <w:color w:val="auto"/>
                <w:sz w:val="24"/>
                <w:highlight w:val="none"/>
              </w:rPr>
            </w:pPr>
            <w:r>
              <w:rPr>
                <w:rFonts w:hint="eastAsia" w:ascii="宋体" w:hAnsi="宋体" w:cs="宋体"/>
                <w:b/>
                <w:color w:val="auto"/>
                <w:sz w:val="24"/>
                <w:highlight w:val="none"/>
              </w:rPr>
              <w:t>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宋体"/>
                <w:color w:val="auto"/>
                <w:szCs w:val="21"/>
                <w:highlight w:val="none"/>
              </w:rPr>
            </w:pPr>
            <w:r>
              <w:rPr>
                <w:rFonts w:hint="eastAsia" w:ascii="宋体" w:hAnsi="宋体" w:cs="宋体"/>
                <w:color w:val="auto"/>
                <w:kern w:val="0"/>
                <w:sz w:val="24"/>
                <w:highlight w:val="none"/>
                <w:lang w:bidi="ar"/>
              </w:rPr>
              <w:t>测试方案</w:t>
            </w:r>
          </w:p>
        </w:tc>
        <w:tc>
          <w:tcPr>
            <w:tcW w:w="6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投标人编制的测试方案的内容全面性、规范性、完整程度、针对性等进行综合评价：</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测试方案内容对项目的需求理解分析的全面性和对需求理解程度深，内容完整、规范，有针对性的得10分；理解程度较深，内容表述一般，针对性较好的得8分；理解程度一般，内容有待补充的得6分，理解程度不足的得4分；理解程度不足，内容与项目无关或未提供的不得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对测试依据、测试方法、测试流程、测试目标等的把握的正确性和科学性的，内容完整、规范，有针对性的得10分；内容表述一般，针对性较好的得8分；内容把握一般的得6分；内容表述简单有待补充的得4分；内容与项目无关或未提供的不得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对测评内容、测评技术、测试环境要求、质量控制等把控合理，对项目测试技术有项目描述，质量控制重点突出的得10分；较为突出的得8分；内容突出程度一般的得6分；内容表述简单有待补充的得4分；内容与项目无关或未提供的不得分。</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color w:val="auto"/>
                <w:highlight w:val="none"/>
              </w:rPr>
            </w:pPr>
            <w:r>
              <w:rPr>
                <w:rFonts w:hint="eastAsia"/>
                <w:color w:val="auto"/>
                <w:highlight w:val="none"/>
              </w:rPr>
              <w:t>30分</w:t>
            </w:r>
          </w:p>
        </w:tc>
        <w:tc>
          <w:tcPr>
            <w:tcW w:w="0" w:type="auto"/>
            <w:vMerge w:val="restart"/>
            <w:tcBorders>
              <w:top w:val="single" w:color="auto" w:sz="4" w:space="0"/>
              <w:left w:val="single" w:color="auto" w:sz="4" w:space="0"/>
              <w:right w:val="single" w:color="auto" w:sz="4" w:space="0"/>
            </w:tcBorders>
            <w:shd w:val="clear" w:color="auto" w:fill="auto"/>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检验投标文件</w:t>
            </w:r>
          </w:p>
          <w:p>
            <w:pPr>
              <w:spacing w:line="360" w:lineRule="exact"/>
              <w:ind w:firstLine="48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检测工具</w:t>
            </w:r>
          </w:p>
          <w:p>
            <w:pPr>
              <w:spacing w:line="360" w:lineRule="exact"/>
              <w:ind w:firstLine="480" w:firstLineChars="0"/>
              <w:jc w:val="center"/>
              <w:rPr>
                <w:rFonts w:ascii="宋体" w:hAnsi="宋体"/>
                <w:color w:val="auto"/>
                <w:szCs w:val="21"/>
                <w:highlight w:val="none"/>
              </w:rPr>
            </w:pPr>
          </w:p>
        </w:tc>
        <w:tc>
          <w:tcPr>
            <w:tcW w:w="6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投标人具备以下符合本项目测试要求的正版测试工具：</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（1）信息系统评测电子数据管理系统；</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（2）视频监控系统功能测试工具软件；</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（3）信息系统性能测试资源监控软件；</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（4）可视化测试结果分析系统；</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（5）系统漏洞检查工具。</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（6）功能自动化测试工具</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（7）代码安全审计工具</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（8）性能测试工具（并发500及以上）</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（9）数据库安全检查工具</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每具备1类工具得 3分，最高得15 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注：需提供项目实施中所运用的检测工具的合法证明文件（包括但不限于发票、合同及软件著作权等）</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color w:val="auto"/>
                <w:highlight w:val="none"/>
              </w:rPr>
            </w:pPr>
            <w:r>
              <w:rPr>
                <w:rFonts w:hint="eastAsia"/>
                <w:color w:val="auto"/>
                <w:highlight w:val="none"/>
              </w:rPr>
              <w:t>15分</w:t>
            </w:r>
          </w:p>
        </w:tc>
        <w:tc>
          <w:tcPr>
            <w:tcW w:w="0" w:type="auto"/>
            <w:vMerge w:val="continue"/>
            <w:tcBorders>
              <w:left w:val="single" w:color="auto" w:sz="4" w:space="0"/>
              <w:bottom w:val="single" w:color="auto" w:sz="4" w:space="0"/>
              <w:right w:val="single" w:color="auto" w:sz="4" w:space="0"/>
            </w:tcBorders>
            <w:shd w:val="clear" w:color="auto" w:fill="auto"/>
            <w:vAlign w:val="center"/>
          </w:tcPr>
          <w:p>
            <w:pPr>
              <w:spacing w:line="360" w:lineRule="exact"/>
              <w:ind w:firstLine="480"/>
              <w:rPr>
                <w:color w:val="auto"/>
                <w:highlight w:val="none"/>
              </w:rPr>
            </w:pPr>
          </w:p>
        </w:tc>
      </w:tr>
    </w:tbl>
    <w:p>
      <w:pPr>
        <w:spacing w:line="3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6.3商务部分（</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5分）</w:t>
      </w:r>
    </w:p>
    <w:tbl>
      <w:tblPr>
        <w:tblStyle w:val="50"/>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758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评审项目</w:t>
            </w:r>
          </w:p>
        </w:tc>
        <w:tc>
          <w:tcPr>
            <w:tcW w:w="758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2"/>
              <w:jc w:val="center"/>
              <w:rPr>
                <w:rFonts w:ascii="宋体" w:hAnsi="宋体" w:cs="宋体"/>
                <w:b/>
                <w:color w:val="auto"/>
                <w:sz w:val="24"/>
                <w:highlight w:val="none"/>
              </w:rPr>
            </w:pPr>
            <w:r>
              <w:rPr>
                <w:rFonts w:hint="eastAsia" w:ascii="宋体" w:hAnsi="宋体" w:cs="宋体"/>
                <w:b/>
                <w:color w:val="auto"/>
                <w:sz w:val="24"/>
                <w:highlight w:val="none"/>
              </w:rPr>
              <w:t>评审内容</w:t>
            </w:r>
          </w:p>
        </w:tc>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68" w:type="dxa"/>
            <w:tcBorders>
              <w:top w:val="single" w:color="auto" w:sz="4" w:space="0"/>
              <w:left w:val="single" w:color="auto" w:sz="4" w:space="0"/>
              <w:right w:val="single" w:color="auto" w:sz="4" w:space="0"/>
            </w:tcBorders>
            <w:vAlign w:val="center"/>
          </w:tcPr>
          <w:p>
            <w:pPr>
              <w:spacing w:line="400" w:lineRule="exact"/>
              <w:jc w:val="center"/>
              <w:textAlignment w:val="center"/>
              <w:rPr>
                <w:rFonts w:ascii="宋体" w:hAnsi="宋体"/>
                <w:b/>
                <w:bCs/>
                <w:color w:val="auto"/>
                <w:szCs w:val="21"/>
                <w:highlight w:val="none"/>
              </w:rPr>
            </w:pPr>
            <w:r>
              <w:rPr>
                <w:rFonts w:hint="eastAsia" w:ascii="宋体" w:hAnsi="宋体"/>
                <w:b/>
                <w:bCs/>
                <w:color w:val="auto"/>
                <w:szCs w:val="21"/>
                <w:highlight w:val="none"/>
              </w:rPr>
              <w:t>报  价</w:t>
            </w:r>
          </w:p>
        </w:tc>
        <w:tc>
          <w:tcPr>
            <w:tcW w:w="75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1.采购人设置投标报价最高限价（10万元），各投标人有效总报价不得高于最高限价，否则，其投标文件按无效标处理。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2.评标基准价=所有效投标人的最低报价，其得分为满分；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3.报价得分=评标基准价/投标报价*</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5分（小数点后保留两位小数，第三位四舍五入）；</w:t>
            </w:r>
          </w:p>
          <w:p>
            <w:pPr>
              <w:spacing w:line="360" w:lineRule="exact"/>
              <w:rPr>
                <w:rFonts w:ascii="宋体" w:hAnsi="宋体" w:cs="宋体"/>
                <w:color w:val="auto"/>
                <w:szCs w:val="21"/>
                <w:highlight w:val="none"/>
              </w:rPr>
            </w:pPr>
            <w:r>
              <w:rPr>
                <w:rFonts w:hint="eastAsia" w:ascii="宋体" w:hAnsi="宋体"/>
                <w:b/>
                <w:bCs/>
                <w:color w:val="auto"/>
                <w:szCs w:val="21"/>
                <w:highlight w:val="none"/>
              </w:rPr>
              <w:t>注：评标委员会认为投标人的报价明显低于其他通过符合性审查投标人的报价（投标报价低于有效投标人的评标价平均值40%时视为异常低价），有可能影响产品质量或者不能诚信履约的，应当要求其在系统中合理的时间内提供说明，并提交相关证明材料；投标人不能证明其报价合理性的，评标委员会应当将其作为无效投标处理。</w:t>
            </w:r>
          </w:p>
        </w:tc>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5分</w:t>
            </w:r>
          </w:p>
        </w:tc>
      </w:tr>
    </w:tbl>
    <w:p>
      <w:pPr>
        <w:overflowPunct w:val="0"/>
        <w:adjustRightInd w:val="0"/>
        <w:snapToGrid w:val="0"/>
        <w:spacing w:line="440" w:lineRule="exact"/>
        <w:ind w:firstLine="498" w:firstLineChars="236"/>
        <w:rPr>
          <w:b/>
          <w:color w:val="auto"/>
          <w:szCs w:val="21"/>
          <w:highlight w:val="none"/>
        </w:rPr>
      </w:pPr>
      <w:r>
        <w:rPr>
          <w:rFonts w:hint="eastAsia"/>
          <w:b/>
          <w:color w:val="auto"/>
          <w:szCs w:val="21"/>
          <w:highlight w:val="none"/>
        </w:rPr>
        <w:t>特别说明：1.以上分值均保留二位小数，小数点后第三位四舍五入</w:t>
      </w:r>
    </w:p>
    <w:p>
      <w:pPr>
        <w:overflowPunct w:val="0"/>
        <w:adjustRightInd w:val="0"/>
        <w:snapToGrid w:val="0"/>
        <w:spacing w:line="440" w:lineRule="exact"/>
        <w:ind w:firstLine="498" w:firstLineChars="236"/>
        <w:rPr>
          <w:b/>
          <w:color w:val="auto"/>
          <w:szCs w:val="21"/>
          <w:highlight w:val="none"/>
        </w:rPr>
      </w:pPr>
    </w:p>
    <w:p>
      <w:pPr>
        <w:numPr>
          <w:ilvl w:val="0"/>
          <w:numId w:val="2"/>
        </w:numPr>
        <w:spacing w:line="400" w:lineRule="exact"/>
        <w:ind w:firstLine="482"/>
        <w:jc w:val="center"/>
        <w:outlineLvl w:val="1"/>
        <w:rPr>
          <w:rFonts w:ascii="宋体"/>
          <w:b/>
          <w:color w:val="auto"/>
          <w:sz w:val="24"/>
          <w:highlight w:val="none"/>
        </w:rPr>
      </w:pPr>
      <w:bookmarkStart w:id="549" w:name="_Hlk91343611"/>
      <w:r>
        <w:rPr>
          <w:rFonts w:hint="eastAsia" w:ascii="宋体"/>
          <w:b/>
          <w:color w:val="auto"/>
          <w:sz w:val="24"/>
          <w:highlight w:val="none"/>
        </w:rPr>
        <w:t>推荐中标候选人</w:t>
      </w:r>
    </w:p>
    <w:p>
      <w:pPr>
        <w:snapToGrid w:val="0"/>
        <w:spacing w:line="440" w:lineRule="exact"/>
        <w:ind w:firstLine="482"/>
        <w:rPr>
          <w:rFonts w:ascii="宋体"/>
          <w:b/>
          <w:color w:val="auto"/>
          <w:szCs w:val="21"/>
          <w:highlight w:val="none"/>
        </w:rPr>
      </w:pPr>
      <w:r>
        <w:rPr>
          <w:rFonts w:hint="eastAsia" w:ascii="宋体"/>
          <w:b/>
          <w:color w:val="auto"/>
          <w:szCs w:val="21"/>
          <w:highlight w:val="none"/>
        </w:rPr>
        <w:t>7.评审结果</w:t>
      </w:r>
    </w:p>
    <w:p>
      <w:pPr>
        <w:snapToGrid w:val="0"/>
        <w:spacing w:line="440" w:lineRule="exact"/>
        <w:ind w:firstLine="630" w:firstLineChars="300"/>
        <w:jc w:val="left"/>
        <w:rPr>
          <w:rFonts w:ascii="宋体"/>
          <w:color w:val="auto"/>
          <w:szCs w:val="21"/>
          <w:highlight w:val="none"/>
        </w:rPr>
      </w:pPr>
      <w:r>
        <w:rPr>
          <w:rFonts w:hint="eastAsia" w:ascii="宋体"/>
          <w:color w:val="auto"/>
          <w:szCs w:val="21"/>
          <w:highlight w:val="none"/>
        </w:rPr>
        <w:t>7.1评标委员会对经过综合评审的投标人，按综合评审得分从高到低的顺序依次推荐1-3名中标候选人。排名第一的为首选中标侯选人，依次类推第二、第三中标侯选人。</w:t>
      </w:r>
    </w:p>
    <w:p>
      <w:pPr>
        <w:snapToGrid w:val="0"/>
        <w:spacing w:line="440" w:lineRule="exact"/>
        <w:ind w:firstLine="480"/>
        <w:jc w:val="left"/>
        <w:rPr>
          <w:rFonts w:ascii="宋体"/>
          <w:color w:val="auto"/>
          <w:szCs w:val="21"/>
          <w:highlight w:val="none"/>
        </w:rPr>
      </w:pPr>
      <w:r>
        <w:rPr>
          <w:rFonts w:hint="eastAsia" w:ascii="宋体"/>
          <w:color w:val="auto"/>
          <w:szCs w:val="21"/>
          <w:highlight w:val="none"/>
        </w:rPr>
        <w:t>7.2评标委员会完成评标后，应当向招标人提交书面评标报告。</w:t>
      </w:r>
    </w:p>
    <w:p>
      <w:pPr>
        <w:snapToGrid w:val="0"/>
        <w:spacing w:line="440" w:lineRule="exact"/>
        <w:ind w:firstLine="480"/>
        <w:jc w:val="left"/>
        <w:rPr>
          <w:rFonts w:ascii="宋体"/>
          <w:color w:val="auto"/>
          <w:szCs w:val="21"/>
          <w:highlight w:val="none"/>
        </w:rPr>
      </w:pPr>
      <w:r>
        <w:rPr>
          <w:rFonts w:hint="eastAsia" w:ascii="宋体"/>
          <w:color w:val="auto"/>
          <w:szCs w:val="21"/>
          <w:highlight w:val="none"/>
        </w:rPr>
        <w:t>7.3例外情况</w:t>
      </w:r>
    </w:p>
    <w:p>
      <w:pPr>
        <w:snapToGrid w:val="0"/>
        <w:spacing w:line="440" w:lineRule="exact"/>
        <w:ind w:firstLine="480"/>
        <w:jc w:val="left"/>
        <w:rPr>
          <w:rFonts w:ascii="宋体"/>
          <w:color w:val="auto"/>
          <w:szCs w:val="21"/>
          <w:highlight w:val="none"/>
        </w:rPr>
      </w:pPr>
      <w:r>
        <w:rPr>
          <w:rFonts w:hint="eastAsia" w:ascii="宋体"/>
          <w:color w:val="auto"/>
          <w:szCs w:val="21"/>
          <w:highlight w:val="none"/>
        </w:rPr>
        <w:t>7.3.1当出现投标人综合评审得分相等时，按下列顺序排序：“投标报价”得分高的优先；仍相同时，由评标委员会现场抽签确定顺序。</w:t>
      </w:r>
    </w:p>
    <w:p>
      <w:pPr>
        <w:snapToGrid w:val="0"/>
        <w:spacing w:line="440" w:lineRule="exact"/>
        <w:ind w:firstLine="480"/>
        <w:jc w:val="left"/>
        <w:rPr>
          <w:rFonts w:ascii="宋体"/>
          <w:color w:val="auto"/>
          <w:szCs w:val="21"/>
          <w:highlight w:val="none"/>
        </w:rPr>
      </w:pPr>
      <w:r>
        <w:rPr>
          <w:rFonts w:hint="eastAsia" w:ascii="宋体"/>
          <w:color w:val="auto"/>
          <w:szCs w:val="21"/>
          <w:highlight w:val="none"/>
        </w:rPr>
        <w:t>7.3.2当评标委员会认为各投标报价均较高时，可以否决全部投标。</w:t>
      </w:r>
    </w:p>
    <w:p>
      <w:pPr>
        <w:snapToGrid w:val="0"/>
        <w:spacing w:line="440" w:lineRule="exact"/>
        <w:ind w:firstLine="480"/>
        <w:jc w:val="left"/>
        <w:rPr>
          <w:rFonts w:ascii="宋体"/>
          <w:color w:val="auto"/>
          <w:szCs w:val="21"/>
          <w:highlight w:val="none"/>
        </w:rPr>
      </w:pPr>
      <w:r>
        <w:rPr>
          <w:rFonts w:hint="eastAsia" w:ascii="宋体"/>
          <w:color w:val="auto"/>
          <w:szCs w:val="21"/>
          <w:highlight w:val="none"/>
        </w:rPr>
        <w:t>7.3.3招标文件条款存在含义不清或者相互矛盾的，评标委员会应当针对相应条款作出有利于相应投标人的结论。</w:t>
      </w:r>
    </w:p>
    <w:p>
      <w:pPr>
        <w:snapToGrid w:val="0"/>
        <w:spacing w:line="440" w:lineRule="exact"/>
        <w:ind w:firstLine="482"/>
        <w:rPr>
          <w:rFonts w:ascii="宋体"/>
          <w:b/>
          <w:color w:val="auto"/>
          <w:szCs w:val="21"/>
          <w:highlight w:val="none"/>
        </w:rPr>
      </w:pPr>
      <w:r>
        <w:rPr>
          <w:rFonts w:hint="eastAsia" w:ascii="宋体"/>
          <w:b/>
          <w:color w:val="auto"/>
          <w:szCs w:val="21"/>
          <w:highlight w:val="none"/>
        </w:rPr>
        <w:t>8.</w:t>
      </w:r>
      <w:r>
        <w:rPr>
          <w:rFonts w:hint="eastAsia" w:ascii="宋体" w:hAnsi="宋体"/>
          <w:b/>
          <w:color w:val="auto"/>
          <w:sz w:val="24"/>
          <w:highlight w:val="none"/>
        </w:rPr>
        <w:t xml:space="preserve"> </w:t>
      </w:r>
      <w:bookmarkStart w:id="550" w:name="_Hlk61815781"/>
      <w:r>
        <w:rPr>
          <w:rFonts w:hint="eastAsia" w:ascii="宋体"/>
          <w:b/>
          <w:color w:val="auto"/>
          <w:szCs w:val="21"/>
          <w:highlight w:val="none"/>
        </w:rPr>
        <w:t>无效投标条款</w:t>
      </w:r>
    </w:p>
    <w:p>
      <w:pPr>
        <w:snapToGrid w:val="0"/>
        <w:spacing w:line="440" w:lineRule="exact"/>
        <w:ind w:firstLine="525" w:firstLineChars="250"/>
        <w:rPr>
          <w:rFonts w:ascii="宋体" w:cs="宋体"/>
          <w:color w:val="auto"/>
          <w:szCs w:val="21"/>
          <w:highlight w:val="none"/>
        </w:rPr>
      </w:pPr>
      <w:r>
        <w:rPr>
          <w:rFonts w:hint="eastAsia" w:ascii="宋体" w:cs="宋体"/>
          <w:color w:val="auto"/>
          <w:szCs w:val="21"/>
          <w:highlight w:val="none"/>
        </w:rPr>
        <w:t>8.1投标文件有下列情形之一的,其投标文件拒收:</w:t>
      </w:r>
    </w:p>
    <w:p>
      <w:pPr>
        <w:snapToGrid w:val="0"/>
        <w:spacing w:line="440" w:lineRule="exact"/>
        <w:ind w:firstLine="480"/>
        <w:rPr>
          <w:rFonts w:ascii="宋体" w:hAnsi="宋体" w:cs="宋体"/>
          <w:b/>
          <w:bCs/>
          <w:color w:val="auto"/>
          <w:szCs w:val="21"/>
          <w:highlight w:val="none"/>
        </w:rPr>
      </w:pPr>
      <w:r>
        <w:rPr>
          <w:rFonts w:hint="eastAsia" w:ascii="宋体" w:cs="宋体"/>
          <w:color w:val="auto"/>
          <w:szCs w:val="21"/>
          <w:highlight w:val="none"/>
        </w:rPr>
        <w:t xml:space="preserve"> </w:t>
      </w:r>
      <w:r>
        <w:rPr>
          <w:rFonts w:hint="eastAsia" w:ascii="宋体" w:hAnsi="宋体" w:cs="宋体"/>
          <w:b/>
          <w:bCs/>
          <w:color w:val="auto"/>
          <w:szCs w:val="21"/>
          <w:highlight w:val="none"/>
        </w:rPr>
        <w:t xml:space="preserve"> 未在开标截止时间前递交投标文件的，不予接收，投标将被拒绝。</w:t>
      </w:r>
    </w:p>
    <w:p>
      <w:pPr>
        <w:snapToGrid w:val="0"/>
        <w:spacing w:line="440" w:lineRule="exact"/>
        <w:ind w:firstLine="480"/>
        <w:rPr>
          <w:rFonts w:ascii="宋体" w:hAnsi="宋体" w:cs="宋体"/>
          <w:color w:val="auto"/>
          <w:szCs w:val="21"/>
          <w:highlight w:val="none"/>
        </w:rPr>
      </w:pPr>
      <w:r>
        <w:rPr>
          <w:rFonts w:hint="eastAsia" w:ascii="宋体" w:hAnsi="宋体" w:cs="宋体"/>
          <w:color w:val="auto"/>
          <w:szCs w:val="21"/>
          <w:highlight w:val="none"/>
        </w:rPr>
        <w:t>8.2投标人有下列情形之一的,资格审查后其投标作无效投标处理：</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(1)投标人为本项目提供招标代理服务的；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(2)投标人与在本项目代理机构存在相互任职或工作的；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(3)被暂停营业的；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(4)被暂停或取消投标资格的；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(5)财产被接管或冻结的；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(6)投标人单位负责人为同一人或者存在控股、管理关系的不同单位的；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 投标人基本资格条件和特定资格条件中有一项及以上不符合要求的；</w:t>
      </w:r>
    </w:p>
    <w:p>
      <w:pPr>
        <w:snapToGrid w:val="0"/>
        <w:spacing w:line="440" w:lineRule="exact"/>
        <w:ind w:firstLine="420" w:firstLineChars="20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 xml:space="preserve"> 投标人单方面出现其他投标人材料的；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 招标文件规定的其它无效投标情形。</w:t>
      </w:r>
    </w:p>
    <w:p>
      <w:pPr>
        <w:snapToGrid w:val="0"/>
        <w:spacing w:line="440" w:lineRule="exact"/>
        <w:ind w:firstLine="480"/>
        <w:rPr>
          <w:rFonts w:ascii="宋体" w:hAnsi="宋体" w:cs="宋体"/>
          <w:color w:val="auto"/>
          <w:szCs w:val="21"/>
          <w:highlight w:val="none"/>
        </w:rPr>
      </w:pPr>
      <w:r>
        <w:rPr>
          <w:rFonts w:hint="eastAsia" w:ascii="宋体" w:hAnsi="宋体" w:cs="宋体"/>
          <w:color w:val="auto"/>
          <w:szCs w:val="21"/>
          <w:highlight w:val="none"/>
        </w:rPr>
        <w:t xml:space="preserve">   8.3 投标人有下列情形之一的,符合性审查后其投标按无效投标处理：</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(2)未按规定的格式填写，实质性内容不全或关键字迹模糊、无法辨认的；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(3)同一投标人提交两个以上不同的投标文件或者投标报价，但招标文件规定提交备选方案的除外；</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(4)投标文件没有对招标文件的实质性要求和条件作出响应;</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(5)投标报价超出规定的投标限价或公布的采购预算的或投标人的投标报价各项单价高于招标文件给定的单价最高限价；</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(6)不按评标委员会要求澄清、说明或补正的，或者评标委员会根据招标文件的规定对招标文件的计算错误进行修正后，投标人不接受修正的投标报价的。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(7)投标文件含有采购人不能接受的附加条件的；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(8)招标文件规定的其它无效投标情形。</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8.4 投标人有下列情形之一的, 详细评审后其投标按无效投标处理：</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(3)投标文件含有违反国家法律、法规的内容，或附有采购人不能接受的条件的；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(4)在同一项目（或同一标段）中有多个投标人有效投标报价接近最高限价，且评标委员会认为报价出现异常的，可以宣布其投标无效；</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报价明显低于其他投标人，且不能证明报价合理性的投标无效</w:t>
      </w:r>
      <w:r>
        <w:rPr>
          <w:rFonts w:hint="eastAsia" w:ascii="宋体" w:hAnsi="宋体" w:cs="宋体"/>
          <w:color w:val="auto"/>
          <w:szCs w:val="21"/>
          <w:highlight w:val="none"/>
        </w:rPr>
        <w:t>；</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拒不确认评标委员会评审修正的投标无效</w:t>
      </w:r>
      <w:r>
        <w:rPr>
          <w:rFonts w:hint="eastAsia" w:ascii="宋体" w:hAnsi="宋体" w:cs="宋体"/>
          <w:color w:val="auto"/>
          <w:szCs w:val="21"/>
          <w:highlight w:val="none"/>
        </w:rPr>
        <w:t>；</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(7)招标文件规定的其它无效投标情形。</w:t>
      </w:r>
    </w:p>
    <w:bookmarkEnd w:id="550"/>
    <w:p>
      <w:pPr>
        <w:ind w:firstLine="643"/>
        <w:jc w:val="center"/>
        <w:rPr>
          <w:rFonts w:ascii="宋体" w:hAnsi="宋体" w:cs="宋体"/>
          <w:b/>
          <w:bCs/>
          <w:color w:val="auto"/>
          <w:sz w:val="32"/>
          <w:szCs w:val="32"/>
          <w:highlight w:val="none"/>
        </w:rPr>
      </w:pPr>
    </w:p>
    <w:p>
      <w:pPr>
        <w:ind w:firstLine="643"/>
        <w:jc w:val="center"/>
        <w:rPr>
          <w:rFonts w:ascii="宋体" w:hAnsi="宋体" w:cs="宋体"/>
          <w:b/>
          <w:bCs/>
          <w:color w:val="auto"/>
          <w:sz w:val="32"/>
          <w:szCs w:val="32"/>
          <w:highlight w:val="none"/>
        </w:rPr>
      </w:pPr>
    </w:p>
    <w:p>
      <w:pPr>
        <w:ind w:firstLine="643"/>
        <w:jc w:val="center"/>
        <w:rPr>
          <w:rFonts w:ascii="宋体" w:hAnsi="宋体" w:cs="宋体"/>
          <w:b/>
          <w:bCs/>
          <w:color w:val="auto"/>
          <w:sz w:val="32"/>
          <w:szCs w:val="32"/>
          <w:highlight w:val="none"/>
        </w:rPr>
      </w:pPr>
    </w:p>
    <w:p>
      <w:pPr>
        <w:ind w:firstLine="643"/>
        <w:jc w:val="center"/>
        <w:rPr>
          <w:rFonts w:ascii="宋体" w:hAnsi="宋体" w:cs="宋体"/>
          <w:b/>
          <w:bCs/>
          <w:color w:val="auto"/>
          <w:sz w:val="32"/>
          <w:szCs w:val="32"/>
          <w:highlight w:val="none"/>
        </w:rPr>
      </w:pPr>
    </w:p>
    <w:p>
      <w:pPr>
        <w:ind w:firstLine="643"/>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第四章 </w:t>
      </w:r>
      <w:r>
        <w:rPr>
          <w:rFonts w:hint="eastAsia" w:ascii="宋体" w:hAnsi="宋体" w:cs="宋体"/>
          <w:b/>
          <w:bCs/>
          <w:color w:val="auto"/>
          <w:kern w:val="0"/>
          <w:sz w:val="32"/>
          <w:szCs w:val="32"/>
          <w:highlight w:val="none"/>
          <w:lang w:bidi="ar"/>
        </w:rPr>
        <w:t>采购需求</w:t>
      </w:r>
    </w:p>
    <w:bookmarkEnd w:id="48"/>
    <w:bookmarkEnd w:id="549"/>
    <w:p>
      <w:pPr>
        <w:widowControl/>
        <w:jc w:val="center"/>
        <w:rPr>
          <w:rFonts w:ascii="宋体" w:hAnsi="宋体" w:cs="宋体"/>
          <w:color w:val="auto"/>
          <w:kern w:val="0"/>
          <w:sz w:val="24"/>
          <w:highlight w:val="none"/>
          <w:lang w:bidi="ar"/>
        </w:rPr>
      </w:pPr>
      <w:bookmarkStart w:id="551" w:name="_Toc24931"/>
      <w:bookmarkStart w:id="552" w:name="_Toc22466"/>
      <w:bookmarkStart w:id="553" w:name="_Toc15832"/>
      <w:bookmarkStart w:id="554" w:name="_Toc22879"/>
      <w:bookmarkStart w:id="555" w:name="_Toc26076"/>
      <w:bookmarkStart w:id="556" w:name="_Toc35864588"/>
      <w:bookmarkStart w:id="557" w:name="_Toc31972"/>
    </w:p>
    <w:p>
      <w:pPr>
        <w:widowControl/>
        <w:snapToGrid w:val="0"/>
        <w:spacing w:line="46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一、技术及成果要求</w:t>
      </w:r>
    </w:p>
    <w:p>
      <w:pPr>
        <w:widowControl/>
        <w:snapToGrid w:val="0"/>
        <w:spacing w:line="460" w:lineRule="exact"/>
        <w:ind w:firstLine="482" w:firstLineChars="200"/>
        <w:rPr>
          <w:rFonts w:ascii="宋体" w:hAnsi="宋体" w:cs="宋体"/>
          <w:color w:val="auto"/>
          <w:sz w:val="24"/>
          <w:highlight w:val="none"/>
        </w:rPr>
      </w:pPr>
      <w:r>
        <w:rPr>
          <w:rFonts w:hint="eastAsia" w:ascii="宋体" w:hAnsi="宋体" w:cs="宋体"/>
          <w:b/>
          <w:color w:val="auto"/>
          <w:kern w:val="0"/>
          <w:sz w:val="24"/>
          <w:highlight w:val="none"/>
        </w:rPr>
        <w:t>1.项目概况</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本项目主要涉及精神病区智能化工程第三方检测服务项目所有建设内容的施工质量、设备安装质量、网络质量及性能、设备传输质量、数据质量、平台功能性能等，委托第三方检测机构开展检测工作。</w:t>
      </w:r>
    </w:p>
    <w:p>
      <w:pPr>
        <w:spacing w:line="4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2.检测服务内容</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按照国家标准要求，对本项目涉及的各子系统及设备参数进行测试，具体检测内容如下：</w:t>
      </w:r>
    </w:p>
    <w:p>
      <w:pPr>
        <w:widowControl/>
        <w:snapToGrid w:val="0"/>
        <w:spacing w:line="460" w:lineRule="exact"/>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检测范围包括：综合布线系统、计算机网络及无线网络覆盖系统、视频监控系统、入侵报警系统、一卡通管理系统、楼宇自控系统、公共广播系统、多媒体会议系统、信息发布系统、机房工程、能耗计量系统系统、排队叫号系统、智能照明系统、电子巡更系统、物联网建设、后勤管理系统等系统，本次检测该系统所涉及设备、成品软件、软件平台等相关功能、网络链路、数据传输准确性、接口对接、前后端设备及系统功能运行情况、系统运行稳定性和可靠性、软件平台安全性等。</w:t>
      </w:r>
    </w:p>
    <w:p>
      <w:pPr>
        <w:widowControl/>
        <w:snapToGrid w:val="0"/>
        <w:spacing w:line="46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3.检测依据</w:t>
      </w:r>
    </w:p>
    <w:p>
      <w:pPr>
        <w:widowControl/>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本次检测需要依据的文件：</w:t>
      </w:r>
    </w:p>
    <w:p>
      <w:pPr>
        <w:widowControl/>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1）GB/T 25000.51-2016《系统与软件工程系统与软件质量要求和评价（SQuaRE）第51部分：就绪可用软件产品（RUSP）的质量要求和测试细则》；</w:t>
      </w:r>
    </w:p>
    <w:p>
      <w:pPr>
        <w:widowControl/>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2）GB/T 25000.10-2016《系统与软件工程系统与软件质量要求和评价（SQuaRE）第10部分：系统与软件质量模型》；</w:t>
      </w:r>
    </w:p>
    <w:p>
      <w:pPr>
        <w:widowControl/>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3）GB/T 16260.1-2006《软件工程产品质量 第1部分:质量模型》；</w:t>
      </w:r>
    </w:p>
    <w:p>
      <w:pPr>
        <w:widowControl/>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4）GB/T 16260.2-2006《软件工程产品质量 第2部分:外部度量》；</w:t>
      </w:r>
    </w:p>
    <w:p>
      <w:pPr>
        <w:widowControl/>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5）GB 50348-2018 《安全防范工程技术标准》；</w:t>
      </w:r>
    </w:p>
    <w:p>
      <w:pPr>
        <w:widowControl/>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6）项目相关设计文档、招投标文件；</w:t>
      </w:r>
    </w:p>
    <w:p>
      <w:pPr>
        <w:widowControl/>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7）采购人出具的相关行业标准及其他具体意见和要求；</w:t>
      </w:r>
    </w:p>
    <w:p>
      <w:pPr>
        <w:widowControl/>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8）经由采购人确认的项目蓝图、项目实施单，项目造价过程中审定的功能点清单；</w:t>
      </w:r>
    </w:p>
    <w:p>
      <w:pPr>
        <w:widowControl/>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9）施工单位提供的其他相关技术文档。</w:t>
      </w:r>
    </w:p>
    <w:p>
      <w:pPr>
        <w:widowControl/>
        <w:snapToGrid w:val="0"/>
        <w:spacing w:line="46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4.检测流程</w:t>
      </w:r>
    </w:p>
    <w:p>
      <w:pPr>
        <w:widowControl/>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供应商应严格按照流程进行检测，包括检测计划制定，检测需求分析，检测方案，检测环境准备，检测执行，反馈检测问题，检测问题整改复检、测试总结和出具检测报告。</w:t>
      </w:r>
    </w:p>
    <w:p>
      <w:pPr>
        <w:widowControl/>
        <w:snapToGrid w:val="0"/>
        <w:spacing w:line="46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5.检测成果</w:t>
      </w: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项目现场测评工作实施完成后，根据相关要求，最终出具加盖检测机构印章的《软件测评报告》。</w:t>
      </w:r>
    </w:p>
    <w:p>
      <w:pPr>
        <w:widowControl/>
        <w:snapToGrid w:val="0"/>
        <w:spacing w:line="46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6.技术资料</w:t>
      </w: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1）供应商提供的资料应使用国家法定单位制即国际单位制，语言为中文。</w:t>
      </w: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2）资料的组织结构清晰、逻辑性强。资料内容要正确、准确、一致、清晰完整，满足使用要求。</w:t>
      </w: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3）供应商资料的提交及时充分，满足项目上线进度要求。</w:t>
      </w:r>
    </w:p>
    <w:p>
      <w:pPr>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4）对于其他没有列入合同技术资料清单，确是工程所必需的文件和资料，一经发现，供应商也应及时免费提供。</w:t>
      </w:r>
    </w:p>
    <w:p>
      <w:pPr>
        <w:spacing w:line="4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二、其他要求</w:t>
      </w:r>
    </w:p>
    <w:p>
      <w:pPr>
        <w:widowControl/>
        <w:snapToGrid w:val="0"/>
        <w:spacing w:line="46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1.检测单位责任</w:t>
      </w:r>
    </w:p>
    <w:p>
      <w:pPr>
        <w:spacing w:line="46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检测单位对所检测的功能点及最终出具的检测报告负有全部责任。</w:t>
      </w:r>
    </w:p>
    <w:p>
      <w:pPr>
        <w:spacing w:line="4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2.服务期限</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合同签订后30日历天内。</w:t>
      </w:r>
    </w:p>
    <w:p>
      <w:pPr>
        <w:spacing w:line="4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3.付款方式</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供应商完成全部测试并出具测试报告后七日内，采购人向供应商支付合同总价的100%。</w:t>
      </w:r>
    </w:p>
    <w:p>
      <w:pPr>
        <w:spacing w:line="4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4.其他要求</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对于测试验收中发现的问题应及时与建设单位沟通，能现场整改的应要求施工方随进度整改；不能现场整改的要向建设单位提交说明材料，并协助建设单位确定整改期限。整改完成后需要进行复测复验的，不再收取任何费用。</w:t>
      </w:r>
    </w:p>
    <w:p>
      <w:pPr>
        <w:spacing w:line="460" w:lineRule="exact"/>
        <w:ind w:firstLine="482" w:firstLineChars="200"/>
        <w:rPr>
          <w:rFonts w:ascii="宋体" w:hAnsi="宋体" w:cs="宋体"/>
          <w:color w:val="auto"/>
          <w:sz w:val="24"/>
          <w:highlight w:val="none"/>
        </w:rPr>
      </w:pPr>
      <w:r>
        <w:rPr>
          <w:rFonts w:hint="eastAsia" w:ascii="宋体" w:hAnsi="宋体" w:cs="宋体"/>
          <w:b/>
          <w:bCs/>
          <w:color w:val="auto"/>
          <w:sz w:val="24"/>
          <w:highlight w:val="none"/>
        </w:rPr>
        <w:t>5.报价要求</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本项目总预算费用为10万，包含所有检测过程各项费用。</w:t>
      </w:r>
    </w:p>
    <w:p>
      <w:pPr>
        <w:spacing w:line="460" w:lineRule="exact"/>
        <w:ind w:firstLine="482" w:firstLineChars="200"/>
        <w:outlineLvl w:val="1"/>
        <w:rPr>
          <w:rFonts w:ascii="宋体" w:hAnsi="宋体" w:cs="宋体"/>
          <w:color w:val="auto"/>
          <w:sz w:val="24"/>
          <w:highlight w:val="none"/>
        </w:rPr>
      </w:pPr>
      <w:r>
        <w:rPr>
          <w:rFonts w:hint="eastAsia" w:ascii="宋体" w:hAnsi="宋体" w:cs="宋体"/>
          <w:b/>
          <w:bCs/>
          <w:color w:val="auto"/>
          <w:sz w:val="24"/>
          <w:highlight w:val="none"/>
        </w:rPr>
        <w:t>6.采购需求一览表</w:t>
      </w:r>
    </w:p>
    <w:p>
      <w:pPr>
        <w:spacing w:before="181" w:line="223" w:lineRule="auto"/>
        <w:jc w:val="center"/>
        <w:outlineLvl w:val="1"/>
        <w:rPr>
          <w:rFonts w:hint="eastAsia" w:ascii="宋体" w:hAnsi="宋体" w:cs="宋体"/>
          <w:color w:val="auto"/>
          <w:sz w:val="24"/>
          <w:highlight w:val="none"/>
        </w:rPr>
      </w:pPr>
    </w:p>
    <w:p>
      <w:pPr>
        <w:spacing w:before="181" w:line="223" w:lineRule="auto"/>
        <w:jc w:val="center"/>
        <w:outlineLvl w:val="1"/>
        <w:rPr>
          <w:rFonts w:hint="eastAsia" w:ascii="宋体" w:hAnsi="宋体" w:cs="宋体"/>
          <w:color w:val="auto"/>
          <w:sz w:val="24"/>
          <w:highlight w:val="none"/>
        </w:rPr>
      </w:pPr>
    </w:p>
    <w:p>
      <w:pPr>
        <w:spacing w:before="181" w:line="223" w:lineRule="auto"/>
        <w:jc w:val="center"/>
        <w:outlineLvl w:val="1"/>
        <w:rPr>
          <w:rFonts w:hint="eastAsia" w:ascii="宋体" w:hAnsi="宋体" w:cs="宋体"/>
          <w:color w:val="auto"/>
          <w:sz w:val="24"/>
          <w:highlight w:val="none"/>
        </w:rPr>
      </w:pPr>
    </w:p>
    <w:p>
      <w:pPr>
        <w:spacing w:before="181" w:line="223" w:lineRule="auto"/>
        <w:jc w:val="center"/>
        <w:outlineLvl w:val="1"/>
        <w:rPr>
          <w:rFonts w:hint="eastAsia" w:ascii="宋体" w:hAnsi="宋体" w:cs="宋体"/>
          <w:color w:val="auto"/>
          <w:sz w:val="24"/>
          <w:highlight w:val="none"/>
        </w:rPr>
      </w:pPr>
    </w:p>
    <w:tbl>
      <w:tblPr>
        <w:tblStyle w:val="50"/>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540"/>
        <w:gridCol w:w="5130"/>
        <w:gridCol w:w="775"/>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08" w:type="dxa"/>
            <w:tcMar>
              <w:top w:w="0" w:type="dxa"/>
              <w:left w:w="40" w:type="dxa"/>
              <w:bottom w:w="0" w:type="dxa"/>
              <w:right w:w="40" w:type="dxa"/>
            </w:tcMar>
            <w:vAlign w:val="center"/>
          </w:tcPr>
          <w:p>
            <w:pPr>
              <w:jc w:val="both"/>
              <w:rPr>
                <w:rFonts w:ascii="宋体" w:hAnsi="宋体"/>
                <w:b/>
                <w:color w:val="auto"/>
                <w:sz w:val="24"/>
                <w:highlight w:val="none"/>
              </w:rPr>
            </w:pPr>
            <w:r>
              <w:rPr>
                <w:rFonts w:hint="eastAsia" w:ascii="宋体" w:hAnsi="宋体"/>
                <w:b/>
                <w:color w:val="auto"/>
                <w:sz w:val="24"/>
                <w:highlight w:val="none"/>
              </w:rPr>
              <w:t>序号</w:t>
            </w:r>
          </w:p>
        </w:tc>
        <w:tc>
          <w:tcPr>
            <w:tcW w:w="1540" w:type="dxa"/>
            <w:tcMar>
              <w:top w:w="0" w:type="dxa"/>
              <w:left w:w="40" w:type="dxa"/>
              <w:bottom w:w="0" w:type="dxa"/>
              <w:right w:w="40" w:type="dxa"/>
            </w:tcMar>
            <w:vAlign w:val="center"/>
          </w:tcPr>
          <w:p>
            <w:pPr>
              <w:ind w:firstLine="482"/>
              <w:jc w:val="center"/>
              <w:rPr>
                <w:rFonts w:ascii="宋体" w:hAnsi="宋体"/>
                <w:b/>
                <w:color w:val="auto"/>
                <w:sz w:val="24"/>
                <w:highlight w:val="none"/>
              </w:rPr>
            </w:pPr>
            <w:r>
              <w:rPr>
                <w:rFonts w:hint="eastAsia" w:ascii="宋体" w:hAnsi="宋体"/>
                <w:b/>
                <w:color w:val="auto"/>
                <w:sz w:val="24"/>
                <w:highlight w:val="none"/>
              </w:rPr>
              <w:t>服务内容</w:t>
            </w:r>
          </w:p>
        </w:tc>
        <w:tc>
          <w:tcPr>
            <w:tcW w:w="5130" w:type="dxa"/>
            <w:tcMar>
              <w:top w:w="0" w:type="dxa"/>
              <w:left w:w="40" w:type="dxa"/>
              <w:bottom w:w="0" w:type="dxa"/>
              <w:right w:w="40" w:type="dxa"/>
            </w:tcMar>
            <w:vAlign w:val="center"/>
          </w:tcPr>
          <w:p>
            <w:pPr>
              <w:ind w:firstLine="482"/>
              <w:jc w:val="center"/>
              <w:rPr>
                <w:rFonts w:ascii="宋体" w:hAnsi="宋体"/>
                <w:b/>
                <w:color w:val="auto"/>
                <w:sz w:val="24"/>
                <w:highlight w:val="none"/>
              </w:rPr>
            </w:pPr>
            <w:r>
              <w:rPr>
                <w:rFonts w:hint="eastAsia" w:ascii="宋体" w:hAnsi="宋体"/>
                <w:b/>
                <w:color w:val="auto"/>
                <w:sz w:val="24"/>
                <w:highlight w:val="none"/>
              </w:rPr>
              <w:t>采购明细</w:t>
            </w:r>
          </w:p>
        </w:tc>
        <w:tc>
          <w:tcPr>
            <w:tcW w:w="775" w:type="dxa"/>
            <w:tcMar>
              <w:top w:w="0" w:type="dxa"/>
              <w:left w:w="40" w:type="dxa"/>
              <w:bottom w:w="0" w:type="dxa"/>
              <w:right w:w="40" w:type="dxa"/>
            </w:tcMar>
            <w:vAlign w:val="center"/>
          </w:tcPr>
          <w:p>
            <w:pPr>
              <w:jc w:val="center"/>
              <w:rPr>
                <w:rFonts w:ascii="宋体" w:hAnsi="宋体"/>
                <w:b/>
                <w:color w:val="auto"/>
                <w:sz w:val="24"/>
                <w:highlight w:val="none"/>
              </w:rPr>
            </w:pPr>
            <w:r>
              <w:rPr>
                <w:rFonts w:hint="eastAsia" w:ascii="宋体" w:hAnsi="宋体"/>
                <w:b/>
                <w:color w:val="auto"/>
                <w:sz w:val="24"/>
                <w:highlight w:val="none"/>
              </w:rPr>
              <w:t>单位</w:t>
            </w:r>
          </w:p>
        </w:tc>
        <w:tc>
          <w:tcPr>
            <w:tcW w:w="715" w:type="dxa"/>
            <w:tcMar>
              <w:top w:w="0" w:type="dxa"/>
              <w:left w:w="40" w:type="dxa"/>
              <w:bottom w:w="0" w:type="dxa"/>
              <w:right w:w="40" w:type="dxa"/>
            </w:tcMar>
            <w:vAlign w:val="center"/>
          </w:tcPr>
          <w:p>
            <w:pPr>
              <w:jc w:val="center"/>
              <w:rPr>
                <w:rFonts w:ascii="宋体" w:hAnsi="宋体"/>
                <w:b/>
                <w:color w:val="auto"/>
                <w:sz w:val="24"/>
                <w:highlight w:val="none"/>
              </w:rPr>
            </w:pPr>
            <w:r>
              <w:rPr>
                <w:rFonts w:hint="eastAsia" w:ascii="宋体" w:hAnsi="宋体"/>
                <w:b/>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608" w:type="dxa"/>
            <w:tcBorders>
              <w:bottom w:val="single" w:color="auto" w:sz="4" w:space="0"/>
            </w:tcBorders>
            <w:tcMar>
              <w:top w:w="0" w:type="dxa"/>
              <w:left w:w="40" w:type="dxa"/>
              <w:bottom w:w="0" w:type="dxa"/>
              <w:right w:w="40" w:type="dxa"/>
            </w:tcMar>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1540" w:type="dxa"/>
            <w:tcMar>
              <w:top w:w="0" w:type="dxa"/>
              <w:left w:w="40" w:type="dxa"/>
              <w:bottom w:w="0" w:type="dxa"/>
              <w:right w:w="40" w:type="dxa"/>
            </w:tcMar>
            <w:vAlign w:val="center"/>
          </w:tcPr>
          <w:p>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精神病区智能化工程第三方检测服务</w:t>
            </w:r>
          </w:p>
        </w:tc>
        <w:tc>
          <w:tcPr>
            <w:tcW w:w="5130" w:type="dxa"/>
            <w:tcMar>
              <w:top w:w="0" w:type="dxa"/>
              <w:left w:w="40" w:type="dxa"/>
              <w:bottom w:w="0" w:type="dxa"/>
              <w:right w:w="40" w:type="dxa"/>
            </w:tcMar>
            <w:vAlign w:val="center"/>
          </w:tcPr>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按照国家标准要求，对本项目涉及的各子系统及设备参数进行测试，具体检测内容如下：综合布线系统、计算机网络及无线网络覆盖系统、视频监控系统、入侵报警系统、一卡通管理系统、楼宇自控系统、公共广播系统、多媒会议系统、信息发布系统、机房工程、停车场管理系统及出入口管理系统、子母钟系统、能耗计量系统系统、排队叫号系统、智能照明系统、电子巡更系统、物联网建设、后勤管理系统等系统，本次检测该系统所涉及设备、成品软件、软件平台等相关功能、网络链路、数据传输准确性、接口对接、前后端设备及系统功能运行情况、系统运行稳定性和可靠性、软件平台安全性等。</w:t>
            </w:r>
          </w:p>
        </w:tc>
        <w:tc>
          <w:tcPr>
            <w:tcW w:w="775" w:type="dxa"/>
            <w:tcMar>
              <w:top w:w="0" w:type="dxa"/>
              <w:left w:w="40" w:type="dxa"/>
              <w:bottom w:w="0" w:type="dxa"/>
              <w:right w:w="40" w:type="dxa"/>
            </w:tcMar>
            <w:vAlign w:val="center"/>
          </w:tcPr>
          <w:p>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715" w:type="dxa"/>
            <w:tcMar>
              <w:top w:w="0" w:type="dxa"/>
              <w:left w:w="40" w:type="dxa"/>
              <w:bottom w:w="0" w:type="dxa"/>
              <w:right w:w="40" w:type="dxa"/>
            </w:tcMar>
            <w:vAlign w:val="center"/>
          </w:tcPr>
          <w:p>
            <w:pPr>
              <w:snapToGrid w:val="0"/>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r>
    </w:tbl>
    <w:p>
      <w:pPr>
        <w:pStyle w:val="16"/>
        <w:spacing w:line="360" w:lineRule="auto"/>
        <w:ind w:firstLine="480" w:firstLineChars="200"/>
        <w:rPr>
          <w:color w:val="auto"/>
          <w:highlight w:val="none"/>
        </w:rPr>
      </w:pPr>
    </w:p>
    <w:p>
      <w:pPr>
        <w:pStyle w:val="16"/>
        <w:spacing w:line="360" w:lineRule="auto"/>
        <w:ind w:firstLine="480" w:firstLineChars="200"/>
        <w:rPr>
          <w:color w:val="auto"/>
          <w:highlight w:val="none"/>
        </w:rPr>
      </w:pPr>
    </w:p>
    <w:p>
      <w:pPr>
        <w:pStyle w:val="16"/>
        <w:spacing w:line="360" w:lineRule="auto"/>
        <w:ind w:firstLine="480" w:firstLineChars="200"/>
        <w:rPr>
          <w:color w:val="auto"/>
          <w:highlight w:val="none"/>
        </w:rPr>
      </w:pPr>
    </w:p>
    <w:p>
      <w:pPr>
        <w:pStyle w:val="16"/>
        <w:spacing w:line="360" w:lineRule="auto"/>
        <w:ind w:firstLine="480" w:firstLineChars="200"/>
        <w:rPr>
          <w:color w:val="auto"/>
          <w:highlight w:val="none"/>
        </w:rPr>
      </w:pPr>
    </w:p>
    <w:p>
      <w:pPr>
        <w:pStyle w:val="16"/>
        <w:spacing w:line="360" w:lineRule="auto"/>
        <w:ind w:firstLine="480" w:firstLineChars="200"/>
        <w:rPr>
          <w:color w:val="auto"/>
          <w:highlight w:val="none"/>
        </w:rPr>
      </w:pPr>
    </w:p>
    <w:p>
      <w:pPr>
        <w:pStyle w:val="16"/>
        <w:spacing w:line="360" w:lineRule="auto"/>
        <w:ind w:firstLine="480" w:firstLineChars="200"/>
        <w:rPr>
          <w:color w:val="auto"/>
          <w:highlight w:val="none"/>
        </w:rPr>
      </w:pPr>
    </w:p>
    <w:p>
      <w:pPr>
        <w:pStyle w:val="16"/>
        <w:spacing w:line="360" w:lineRule="auto"/>
        <w:ind w:firstLine="480" w:firstLineChars="200"/>
        <w:rPr>
          <w:color w:val="auto"/>
          <w:highlight w:val="none"/>
        </w:rPr>
      </w:pPr>
    </w:p>
    <w:p>
      <w:pPr>
        <w:pStyle w:val="16"/>
        <w:spacing w:line="360" w:lineRule="auto"/>
        <w:ind w:firstLine="480" w:firstLineChars="200"/>
        <w:rPr>
          <w:color w:val="auto"/>
          <w:highlight w:val="none"/>
        </w:rPr>
      </w:pPr>
    </w:p>
    <w:p>
      <w:pPr>
        <w:pStyle w:val="16"/>
        <w:spacing w:line="360" w:lineRule="auto"/>
        <w:ind w:firstLine="480" w:firstLineChars="200"/>
        <w:rPr>
          <w:color w:val="auto"/>
          <w:highlight w:val="none"/>
        </w:rPr>
      </w:pPr>
    </w:p>
    <w:p>
      <w:pPr>
        <w:pStyle w:val="16"/>
        <w:spacing w:line="360" w:lineRule="auto"/>
        <w:ind w:firstLine="480" w:firstLineChars="200"/>
        <w:rPr>
          <w:color w:val="auto"/>
          <w:highlight w:val="none"/>
        </w:rPr>
      </w:pPr>
    </w:p>
    <w:p>
      <w:pPr>
        <w:pStyle w:val="16"/>
        <w:spacing w:line="360" w:lineRule="auto"/>
        <w:ind w:firstLine="480" w:firstLineChars="200"/>
        <w:rPr>
          <w:color w:val="auto"/>
          <w:highlight w:val="none"/>
        </w:rPr>
      </w:pPr>
    </w:p>
    <w:p>
      <w:pPr>
        <w:pStyle w:val="16"/>
        <w:spacing w:line="360" w:lineRule="auto"/>
        <w:ind w:firstLine="480" w:firstLineChars="200"/>
        <w:rPr>
          <w:color w:val="auto"/>
          <w:highlight w:val="none"/>
        </w:rPr>
      </w:pPr>
    </w:p>
    <w:p>
      <w:pPr>
        <w:pStyle w:val="16"/>
        <w:spacing w:line="360" w:lineRule="auto"/>
        <w:ind w:firstLine="480" w:firstLineChars="200"/>
        <w:rPr>
          <w:color w:val="auto"/>
          <w:highlight w:val="none"/>
        </w:rPr>
      </w:pPr>
    </w:p>
    <w:p>
      <w:pPr>
        <w:pStyle w:val="16"/>
        <w:spacing w:line="360" w:lineRule="auto"/>
        <w:ind w:firstLine="480" w:firstLineChars="200"/>
        <w:rPr>
          <w:color w:val="auto"/>
          <w:highlight w:val="none"/>
        </w:rPr>
      </w:pPr>
    </w:p>
    <w:p>
      <w:pPr>
        <w:pStyle w:val="16"/>
        <w:spacing w:line="360" w:lineRule="auto"/>
        <w:ind w:firstLine="480" w:firstLineChars="200"/>
        <w:rPr>
          <w:color w:val="auto"/>
          <w:highlight w:val="none"/>
        </w:rPr>
      </w:pPr>
    </w:p>
    <w:bookmarkEnd w:id="551"/>
    <w:bookmarkEnd w:id="552"/>
    <w:bookmarkEnd w:id="553"/>
    <w:bookmarkEnd w:id="554"/>
    <w:bookmarkEnd w:id="555"/>
    <w:bookmarkEnd w:id="556"/>
    <w:bookmarkEnd w:id="557"/>
    <w:p>
      <w:pPr>
        <w:spacing w:before="156" w:beforeLines="50" w:after="156" w:afterLines="50"/>
        <w:ind w:firstLine="643"/>
        <w:jc w:val="center"/>
        <w:outlineLvl w:val="0"/>
        <w:rPr>
          <w:rFonts w:ascii="宋体"/>
          <w:b/>
          <w:color w:val="auto"/>
          <w:sz w:val="32"/>
          <w:szCs w:val="32"/>
          <w:highlight w:val="none"/>
        </w:rPr>
      </w:pPr>
      <w:bookmarkStart w:id="558" w:name="_Toc449028948"/>
      <w:bookmarkStart w:id="559" w:name="_Toc58430332"/>
      <w:bookmarkStart w:id="560" w:name="_Toc179632833"/>
      <w:bookmarkStart w:id="561" w:name="_Toc152042602"/>
      <w:bookmarkStart w:id="562" w:name="_Toc296602622"/>
      <w:bookmarkStart w:id="563" w:name="_Toc144974881"/>
      <w:bookmarkStart w:id="564" w:name="_Toc246997117"/>
      <w:bookmarkStart w:id="565" w:name="_Toc246996374"/>
      <w:bookmarkStart w:id="566" w:name="_Toc247085892"/>
      <w:bookmarkStart w:id="567" w:name="_Toc152045813"/>
      <w:r>
        <w:rPr>
          <w:rFonts w:hint="eastAsia" w:ascii="宋体"/>
          <w:b/>
          <w:color w:val="auto"/>
          <w:sz w:val="32"/>
          <w:szCs w:val="32"/>
          <w:highlight w:val="none"/>
        </w:rPr>
        <w:t>第五章 合同条款及格式参考范本（服务类）</w:t>
      </w:r>
    </w:p>
    <w:p>
      <w:pPr>
        <w:widowControl/>
        <w:spacing w:line="400" w:lineRule="exact"/>
        <w:ind w:left="360" w:firstLine="602"/>
        <w:jc w:val="center"/>
        <w:textAlignment w:val="baseline"/>
        <w:outlineLvl w:val="1"/>
        <w:rPr>
          <w:rFonts w:ascii="宋体"/>
          <w:b/>
          <w:color w:val="auto"/>
          <w:sz w:val="30"/>
          <w:szCs w:val="30"/>
          <w:highlight w:val="none"/>
        </w:rPr>
      </w:pPr>
      <w:bookmarkStart w:id="568" w:name="_Toc58430330"/>
    </w:p>
    <w:p>
      <w:pPr>
        <w:widowControl/>
        <w:spacing w:line="400" w:lineRule="exact"/>
        <w:ind w:left="360" w:firstLine="602"/>
        <w:jc w:val="center"/>
        <w:textAlignment w:val="baseline"/>
        <w:outlineLvl w:val="1"/>
        <w:rPr>
          <w:rFonts w:ascii="宋体"/>
          <w:b/>
          <w:color w:val="auto"/>
          <w:sz w:val="30"/>
          <w:szCs w:val="30"/>
          <w:highlight w:val="none"/>
        </w:rPr>
      </w:pPr>
    </w:p>
    <w:p>
      <w:pPr>
        <w:widowControl/>
        <w:spacing w:line="400" w:lineRule="exact"/>
        <w:ind w:left="360" w:firstLine="602"/>
        <w:jc w:val="center"/>
        <w:textAlignment w:val="baseline"/>
        <w:outlineLvl w:val="1"/>
        <w:rPr>
          <w:rFonts w:ascii="宋体"/>
          <w:b/>
          <w:color w:val="auto"/>
          <w:sz w:val="30"/>
          <w:szCs w:val="30"/>
          <w:highlight w:val="none"/>
        </w:rPr>
      </w:pPr>
    </w:p>
    <w:p>
      <w:pPr>
        <w:widowControl/>
        <w:spacing w:line="400" w:lineRule="exact"/>
        <w:ind w:left="360" w:firstLine="602"/>
        <w:jc w:val="center"/>
        <w:textAlignment w:val="baseline"/>
        <w:outlineLvl w:val="1"/>
        <w:rPr>
          <w:rFonts w:ascii="黑体" w:eastAsia="黑体"/>
          <w:b/>
          <w:color w:val="auto"/>
          <w:sz w:val="30"/>
          <w:szCs w:val="30"/>
          <w:highlight w:val="none"/>
        </w:rPr>
      </w:pPr>
      <w:r>
        <w:rPr>
          <w:rFonts w:hint="eastAsia" w:ascii="宋体"/>
          <w:b/>
          <w:color w:val="auto"/>
          <w:sz w:val="30"/>
          <w:szCs w:val="30"/>
          <w:highlight w:val="none"/>
        </w:rPr>
        <w:t>一</w:t>
      </w:r>
      <w:bookmarkStart w:id="569" w:name="_Toc449028946"/>
      <w:r>
        <w:rPr>
          <w:rFonts w:hint="eastAsia" w:ascii="宋体"/>
          <w:b/>
          <w:color w:val="auto"/>
          <w:sz w:val="30"/>
          <w:szCs w:val="30"/>
          <w:highlight w:val="none"/>
        </w:rPr>
        <w:t>、合同协议书（格式）</w:t>
      </w:r>
      <w:bookmarkEnd w:id="568"/>
      <w:bookmarkEnd w:id="569"/>
    </w:p>
    <w:p>
      <w:pPr>
        <w:spacing w:before="120" w:line="480" w:lineRule="auto"/>
        <w:ind w:left="960"/>
        <w:rPr>
          <w:rFonts w:ascii="宋体" w:hAnsi="宋体"/>
          <w:color w:val="auto"/>
          <w:sz w:val="24"/>
          <w:highlight w:val="none"/>
        </w:rPr>
      </w:pPr>
    </w:p>
    <w:p>
      <w:pPr>
        <w:spacing w:before="120" w:line="480" w:lineRule="auto"/>
        <w:ind w:left="960"/>
        <w:rPr>
          <w:rFonts w:ascii="宋体" w:hAnsi="宋体"/>
          <w:color w:val="auto"/>
          <w:sz w:val="24"/>
          <w:highlight w:val="none"/>
        </w:rPr>
      </w:pPr>
    </w:p>
    <w:p>
      <w:pPr>
        <w:spacing w:before="120" w:line="480" w:lineRule="auto"/>
        <w:ind w:left="960"/>
        <w:rPr>
          <w:rFonts w:ascii="宋体" w:hAnsi="宋体"/>
          <w:color w:val="auto"/>
          <w:sz w:val="24"/>
          <w:highlight w:val="none"/>
        </w:rPr>
      </w:pPr>
    </w:p>
    <w:p>
      <w:pPr>
        <w:spacing w:before="120" w:line="480" w:lineRule="auto"/>
        <w:ind w:left="960"/>
        <w:rPr>
          <w:rFonts w:ascii="宋体" w:hAnsi="宋体"/>
          <w:color w:val="auto"/>
          <w:sz w:val="24"/>
          <w:highlight w:val="none"/>
        </w:rPr>
      </w:pPr>
    </w:p>
    <w:p>
      <w:pPr>
        <w:spacing w:before="120" w:line="480" w:lineRule="auto"/>
        <w:ind w:left="960"/>
        <w:rPr>
          <w:rFonts w:ascii="宋体" w:hAnsi="宋体"/>
          <w:color w:val="auto"/>
          <w:sz w:val="24"/>
          <w:highlight w:val="none"/>
        </w:rPr>
      </w:pPr>
    </w:p>
    <w:p>
      <w:pPr>
        <w:spacing w:before="120" w:line="480" w:lineRule="auto"/>
        <w:ind w:left="960" w:firstLine="480"/>
        <w:rPr>
          <w:rFonts w:ascii="宋体" w:hAnsi="宋体"/>
          <w:color w:val="auto"/>
          <w:szCs w:val="21"/>
          <w:highlight w:val="none"/>
        </w:rPr>
      </w:pPr>
      <w:r>
        <w:rPr>
          <w:rFonts w:hint="eastAsia" w:ascii="宋体" w:hAnsi="宋体"/>
          <w:color w:val="auto"/>
          <w:szCs w:val="21"/>
          <w:highlight w:val="none"/>
        </w:rPr>
        <w:t xml:space="preserve">项目名称：    </w:t>
      </w:r>
    </w:p>
    <w:p>
      <w:pPr>
        <w:spacing w:before="120" w:line="480" w:lineRule="auto"/>
        <w:ind w:left="960" w:firstLine="480"/>
        <w:rPr>
          <w:rFonts w:ascii="宋体" w:hAnsi="宋体"/>
          <w:color w:val="auto"/>
          <w:szCs w:val="21"/>
          <w:highlight w:val="none"/>
        </w:rPr>
      </w:pPr>
      <w:r>
        <w:rPr>
          <w:rFonts w:hint="eastAsia" w:ascii="宋体" w:hAnsi="宋体"/>
          <w:color w:val="auto"/>
          <w:szCs w:val="21"/>
          <w:highlight w:val="none"/>
        </w:rPr>
        <w:t>项目编号：</w:t>
      </w:r>
    </w:p>
    <w:p>
      <w:pPr>
        <w:spacing w:before="120" w:line="480" w:lineRule="auto"/>
        <w:ind w:left="960" w:firstLine="480"/>
        <w:rPr>
          <w:rFonts w:ascii="宋体" w:hAnsi="宋体"/>
          <w:color w:val="auto"/>
          <w:szCs w:val="21"/>
          <w:highlight w:val="none"/>
          <w:u w:val="single"/>
        </w:rPr>
      </w:pPr>
      <w:r>
        <w:rPr>
          <w:rFonts w:hint="eastAsia" w:ascii="宋体" w:hAnsi="宋体"/>
          <w:color w:val="auto"/>
          <w:szCs w:val="21"/>
          <w:highlight w:val="none"/>
        </w:rPr>
        <w:t>甲方（采购人）：</w:t>
      </w:r>
      <w:r>
        <w:rPr>
          <w:rFonts w:hint="eastAsia" w:ascii="宋体" w:hAnsi="宋体"/>
          <w:color w:val="auto"/>
          <w:szCs w:val="21"/>
          <w:highlight w:val="none"/>
          <w:u w:val="single"/>
        </w:rPr>
        <w:t xml:space="preserve">                              </w:t>
      </w:r>
    </w:p>
    <w:p>
      <w:pPr>
        <w:spacing w:before="120" w:line="480" w:lineRule="auto"/>
        <w:ind w:left="960" w:firstLine="480"/>
        <w:rPr>
          <w:rFonts w:ascii="宋体" w:hAnsi="宋体"/>
          <w:color w:val="auto"/>
          <w:szCs w:val="21"/>
          <w:highlight w:val="none"/>
          <w:u w:val="single"/>
        </w:rPr>
      </w:pPr>
      <w:r>
        <w:rPr>
          <w:rFonts w:hint="eastAsia" w:ascii="宋体" w:hAnsi="宋体"/>
          <w:color w:val="auto"/>
          <w:szCs w:val="21"/>
          <w:highlight w:val="none"/>
        </w:rPr>
        <w:t>乙方（中标人）：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before="120" w:line="480" w:lineRule="auto"/>
        <w:ind w:firstLine="840" w:firstLineChars="400"/>
        <w:rPr>
          <w:rFonts w:ascii="宋体" w:hAnsi="宋体"/>
          <w:color w:val="auto"/>
          <w:szCs w:val="21"/>
          <w:highlight w:val="none"/>
          <w:u w:val="single"/>
        </w:rPr>
      </w:pPr>
      <w:r>
        <w:rPr>
          <w:rFonts w:hint="eastAsia" w:ascii="宋体" w:hAnsi="宋体"/>
          <w:color w:val="auto"/>
          <w:szCs w:val="21"/>
          <w:highlight w:val="none"/>
        </w:rPr>
        <w:t>签订地：</w:t>
      </w:r>
      <w:r>
        <w:rPr>
          <w:rFonts w:hint="eastAsia" w:ascii="宋体" w:hAnsi="宋体"/>
          <w:color w:val="auto"/>
          <w:szCs w:val="21"/>
          <w:highlight w:val="none"/>
          <w:u w:val="single"/>
        </w:rPr>
        <w:t xml:space="preserve">                                     </w:t>
      </w:r>
    </w:p>
    <w:p>
      <w:pPr>
        <w:spacing w:before="120" w:line="480" w:lineRule="auto"/>
        <w:ind w:firstLine="840" w:firstLineChars="400"/>
        <w:rPr>
          <w:rFonts w:ascii="宋体" w:hAnsi="宋体"/>
          <w:color w:val="auto"/>
          <w:szCs w:val="21"/>
          <w:highlight w:val="none"/>
        </w:rPr>
      </w:pPr>
      <w:r>
        <w:rPr>
          <w:rFonts w:hint="eastAsia" w:ascii="宋体" w:hAnsi="宋体"/>
          <w:color w:val="auto"/>
          <w:szCs w:val="21"/>
          <w:highlight w:val="none"/>
        </w:rPr>
        <w:t>签订日期：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widowControl/>
        <w:ind w:firstLine="480"/>
        <w:jc w:val="left"/>
        <w:rPr>
          <w:rFonts w:ascii="宋体" w:hAnsi="宋体"/>
          <w:color w:val="auto"/>
          <w:szCs w:val="21"/>
          <w:highlight w:val="none"/>
        </w:rPr>
      </w:pPr>
      <w:r>
        <w:rPr>
          <w:rFonts w:ascii="宋体" w:hAnsi="宋体"/>
          <w:color w:val="auto"/>
          <w:szCs w:val="21"/>
          <w:highlight w:val="none"/>
        </w:rPr>
        <w:br w:type="page"/>
      </w:r>
    </w:p>
    <w:p>
      <w:pPr>
        <w:spacing w:line="360" w:lineRule="auto"/>
        <w:ind w:firstLine="480"/>
        <w:rPr>
          <w:rFonts w:ascii="宋体" w:hAnsi="宋体"/>
          <w:color w:val="auto"/>
          <w:szCs w:val="21"/>
          <w:highlight w:val="none"/>
        </w:rPr>
      </w:pPr>
      <w:r>
        <w:rPr>
          <w:rFonts w:hint="eastAsia" w:ascii="宋体" w:hAnsi="宋体"/>
          <w:i/>
          <w:iCs/>
          <w:color w:val="auto"/>
          <w:szCs w:val="21"/>
          <w:highlight w:val="none"/>
          <w:u w:val="single"/>
        </w:rPr>
        <w:t>（采购人名称）</w:t>
      </w:r>
      <w:r>
        <w:rPr>
          <w:rFonts w:hint="eastAsia" w:ascii="宋体" w:hAnsi="宋体"/>
          <w:color w:val="auto"/>
          <w:szCs w:val="21"/>
          <w:highlight w:val="none"/>
        </w:rPr>
        <w:t>（</w:t>
      </w:r>
      <w:r>
        <w:rPr>
          <w:rFonts w:hint="eastAsia" w:ascii="宋体" w:hAnsi="宋体"/>
          <w:color w:val="auto"/>
          <w:szCs w:val="21"/>
          <w:highlight w:val="none"/>
          <w:lang w:val="zh-CN"/>
        </w:rPr>
        <w:t>以下简称：甲方</w:t>
      </w:r>
      <w:r>
        <w:rPr>
          <w:rFonts w:hint="eastAsia" w:ascii="宋体" w:hAnsi="宋体"/>
          <w:color w:val="auto"/>
          <w:szCs w:val="21"/>
          <w:highlight w:val="none"/>
        </w:rPr>
        <w:t>）通过公开招标，经评标委员会评定，确定</w:t>
      </w:r>
      <w:r>
        <w:rPr>
          <w:rFonts w:hint="eastAsia" w:ascii="宋体" w:hAnsi="宋体"/>
          <w:i/>
          <w:iCs/>
          <w:color w:val="auto"/>
          <w:szCs w:val="21"/>
          <w:highlight w:val="none"/>
          <w:u w:val="single"/>
        </w:rPr>
        <w:t>（中标人名称）</w:t>
      </w:r>
      <w:r>
        <w:rPr>
          <w:rFonts w:hint="eastAsia" w:ascii="宋体" w:hAnsi="宋体"/>
          <w:color w:val="auto"/>
          <w:szCs w:val="21"/>
          <w:highlight w:val="none"/>
        </w:rPr>
        <w:t>（</w:t>
      </w:r>
      <w:r>
        <w:rPr>
          <w:rFonts w:hint="eastAsia" w:ascii="宋体" w:hAnsi="宋体"/>
          <w:color w:val="auto"/>
          <w:szCs w:val="21"/>
          <w:highlight w:val="none"/>
          <w:lang w:val="zh-CN"/>
        </w:rPr>
        <w:t>以下简称：乙方</w:t>
      </w:r>
      <w:r>
        <w:rPr>
          <w:rFonts w:hint="eastAsia" w:ascii="宋体" w:hAnsi="宋体"/>
          <w:color w:val="auto"/>
          <w:szCs w:val="21"/>
          <w:highlight w:val="none"/>
        </w:rPr>
        <w:t>）为本项目中标人，现按照采购文件确定的事项签订本合同。</w:t>
      </w:r>
    </w:p>
    <w:p>
      <w:pPr>
        <w:spacing w:line="360" w:lineRule="auto"/>
        <w:ind w:firstLine="480"/>
        <w:rPr>
          <w:rFonts w:ascii="宋体" w:hAnsi="宋体"/>
          <w:color w:val="auto"/>
          <w:szCs w:val="21"/>
          <w:highlight w:val="none"/>
          <w:lang w:val="zh-CN"/>
        </w:rPr>
      </w:pPr>
      <w:r>
        <w:rPr>
          <w:rFonts w:hint="eastAsia" w:ascii="宋体" w:hAnsi="宋体"/>
          <w:color w:val="auto"/>
          <w:szCs w:val="21"/>
          <w:highlight w:val="none"/>
        </w:rPr>
        <w:t>根据《中华人民共和国民法典》、《中华人民共和国政府采购法》等相关法律法规之规定，按照平等、自愿、公平和诚实信用的原则，经甲方和乙方协商一致，约定以下合同条款，以兹共同遵守、全面履行。</w:t>
      </w:r>
    </w:p>
    <w:p>
      <w:pPr>
        <w:spacing w:line="360" w:lineRule="auto"/>
        <w:ind w:firstLine="482"/>
        <w:outlineLvl w:val="3"/>
        <w:rPr>
          <w:rFonts w:ascii="宋体" w:hAnsi="宋体"/>
          <w:b/>
          <w:bCs/>
          <w:color w:val="auto"/>
          <w:szCs w:val="21"/>
          <w:highlight w:val="none"/>
          <w:lang w:val="zh-CN"/>
        </w:rPr>
      </w:pPr>
      <w:bookmarkStart w:id="570" w:name="_Toc2232"/>
      <w:bookmarkStart w:id="571" w:name="_Toc3029"/>
      <w:bookmarkStart w:id="572" w:name="_Toc24059"/>
      <w:r>
        <w:rPr>
          <w:rFonts w:hint="eastAsia" w:ascii="宋体" w:hAnsi="宋体"/>
          <w:b/>
          <w:bCs/>
          <w:color w:val="auto"/>
          <w:szCs w:val="21"/>
          <w:highlight w:val="none"/>
          <w:lang w:val="zh-CN"/>
        </w:rPr>
        <w:t>1.1</w:t>
      </w:r>
      <w:r>
        <w:rPr>
          <w:rFonts w:ascii="宋体" w:hAnsi="宋体"/>
          <w:b/>
          <w:bCs/>
          <w:color w:val="auto"/>
          <w:szCs w:val="21"/>
          <w:highlight w:val="none"/>
          <w:lang w:val="zh-CN"/>
        </w:rPr>
        <w:t xml:space="preserve"> </w:t>
      </w:r>
      <w:r>
        <w:rPr>
          <w:rFonts w:hint="eastAsia" w:ascii="宋体" w:hAnsi="宋体"/>
          <w:b/>
          <w:bCs/>
          <w:color w:val="auto"/>
          <w:szCs w:val="21"/>
          <w:highlight w:val="none"/>
          <w:lang w:val="zh-CN"/>
        </w:rPr>
        <w:t>合同组成部分</w:t>
      </w:r>
      <w:bookmarkEnd w:id="570"/>
      <w:bookmarkEnd w:id="571"/>
      <w:bookmarkEnd w:id="572"/>
    </w:p>
    <w:p>
      <w:pPr>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1.1.1本合同及其补充合同、变更协议；</w:t>
      </w:r>
    </w:p>
    <w:p>
      <w:pPr>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1.1.2中标通知书；</w:t>
      </w:r>
    </w:p>
    <w:p>
      <w:pPr>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1.1.3投标文件（含澄清或者说明文件）；</w:t>
      </w:r>
    </w:p>
    <w:p>
      <w:pPr>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1.1.4招标文件（含澄清或者修改文件）；</w:t>
      </w:r>
    </w:p>
    <w:p>
      <w:pPr>
        <w:spacing w:line="360" w:lineRule="auto"/>
        <w:ind w:firstLine="480"/>
        <w:rPr>
          <w:rFonts w:ascii="宋体" w:hAnsi="宋体"/>
          <w:color w:val="auto"/>
          <w:szCs w:val="21"/>
          <w:highlight w:val="none"/>
          <w:lang w:val="zh-CN"/>
        </w:rPr>
      </w:pPr>
      <w:r>
        <w:rPr>
          <w:rFonts w:hint="eastAsia" w:ascii="宋体" w:hAnsi="宋体"/>
          <w:color w:val="auto"/>
          <w:szCs w:val="21"/>
          <w:highlight w:val="none"/>
          <w:lang w:val="zh-CN"/>
        </w:rPr>
        <w:t>1.1.5其他相关采购文件。</w:t>
      </w:r>
    </w:p>
    <w:p>
      <w:pPr>
        <w:spacing w:line="360" w:lineRule="auto"/>
        <w:ind w:firstLine="482"/>
        <w:outlineLvl w:val="3"/>
        <w:rPr>
          <w:rFonts w:ascii="宋体" w:hAnsi="宋体"/>
          <w:b/>
          <w:bCs/>
          <w:color w:val="auto"/>
          <w:szCs w:val="21"/>
          <w:highlight w:val="none"/>
          <w:lang w:val="zh-CN"/>
        </w:rPr>
      </w:pPr>
      <w:bookmarkStart w:id="573" w:name="_Toc6773"/>
      <w:bookmarkStart w:id="574" w:name="_Toc6311"/>
      <w:bookmarkStart w:id="575" w:name="_Toc18585"/>
      <w:bookmarkStart w:id="576" w:name="_Toc2918"/>
      <w:bookmarkStart w:id="577" w:name="_Toc22185"/>
      <w:r>
        <w:rPr>
          <w:rFonts w:hint="eastAsia" w:ascii="宋体" w:hAnsi="宋体"/>
          <w:b/>
          <w:bCs/>
          <w:color w:val="auto"/>
          <w:szCs w:val="21"/>
          <w:highlight w:val="none"/>
          <w:lang w:val="zh-CN"/>
        </w:rPr>
        <w:t xml:space="preserve">1.2 </w:t>
      </w:r>
      <w:bookmarkEnd w:id="573"/>
      <w:bookmarkEnd w:id="574"/>
      <w:bookmarkEnd w:id="575"/>
      <w:bookmarkEnd w:id="576"/>
      <w:bookmarkEnd w:id="577"/>
      <w:r>
        <w:rPr>
          <w:rFonts w:hint="eastAsia" w:ascii="宋体" w:hAnsi="宋体"/>
          <w:b/>
          <w:bCs/>
          <w:color w:val="auto"/>
          <w:szCs w:val="21"/>
          <w:highlight w:val="none"/>
          <w:lang w:val="zh-CN"/>
        </w:rPr>
        <w:t>服务</w:t>
      </w:r>
    </w:p>
    <w:p>
      <w:pPr>
        <w:spacing w:line="360" w:lineRule="auto"/>
        <w:ind w:firstLine="480"/>
        <w:rPr>
          <w:rFonts w:ascii="宋体" w:hAnsi="宋体"/>
          <w:color w:val="auto"/>
          <w:szCs w:val="21"/>
          <w:highlight w:val="none"/>
          <w:u w:val="single"/>
        </w:rPr>
      </w:pPr>
      <w:r>
        <w:rPr>
          <w:rFonts w:hint="eastAsia" w:ascii="宋体" w:hAnsi="宋体"/>
          <w:color w:val="auto"/>
          <w:szCs w:val="21"/>
          <w:highlight w:val="none"/>
        </w:rPr>
        <w:t>1.2.1服务</w:t>
      </w:r>
      <w:r>
        <w:rPr>
          <w:rFonts w:ascii="宋体" w:hAnsi="宋体"/>
          <w:color w:val="auto"/>
          <w:szCs w:val="21"/>
          <w:highlight w:val="none"/>
        </w:rPr>
        <w:t>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80"/>
        <w:rPr>
          <w:rFonts w:ascii="宋体" w:hAnsi="宋体"/>
          <w:color w:val="auto"/>
          <w:szCs w:val="21"/>
          <w:highlight w:val="none"/>
          <w:u w:val="single"/>
        </w:rPr>
      </w:pPr>
      <w:r>
        <w:rPr>
          <w:rFonts w:hint="eastAsia" w:ascii="宋体" w:hAnsi="宋体"/>
          <w:color w:val="auto"/>
          <w:szCs w:val="21"/>
          <w:highlight w:val="none"/>
        </w:rPr>
        <w:t>1.2.2服务内容</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80"/>
        <w:rPr>
          <w:rFonts w:ascii="宋体" w:hAnsi="宋体"/>
          <w:color w:val="auto"/>
          <w:szCs w:val="21"/>
          <w:highlight w:val="none"/>
        </w:rPr>
      </w:pPr>
      <w:r>
        <w:rPr>
          <w:rFonts w:hint="eastAsia" w:ascii="宋体" w:hAnsi="宋体"/>
          <w:color w:val="auto"/>
          <w:szCs w:val="21"/>
          <w:highlight w:val="none"/>
        </w:rPr>
        <w:t>1.2.3服务质量：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82"/>
        <w:outlineLvl w:val="3"/>
        <w:rPr>
          <w:rFonts w:ascii="宋体" w:hAnsi="宋体"/>
          <w:b/>
          <w:bCs/>
          <w:color w:val="auto"/>
          <w:szCs w:val="21"/>
          <w:highlight w:val="none"/>
          <w:lang w:val="zh-CN"/>
        </w:rPr>
      </w:pPr>
      <w:bookmarkStart w:id="578" w:name="_Toc21631"/>
      <w:bookmarkStart w:id="579" w:name="_Toc21551"/>
      <w:bookmarkStart w:id="580" w:name="_Toc23292"/>
      <w:r>
        <w:rPr>
          <w:rFonts w:hint="eastAsia" w:ascii="宋体" w:hAnsi="宋体"/>
          <w:b/>
          <w:bCs/>
          <w:color w:val="auto"/>
          <w:szCs w:val="21"/>
          <w:highlight w:val="none"/>
          <w:lang w:val="zh-CN"/>
        </w:rPr>
        <w:t>1.</w:t>
      </w:r>
      <w:r>
        <w:rPr>
          <w:rFonts w:ascii="宋体" w:hAnsi="宋体"/>
          <w:b/>
          <w:bCs/>
          <w:color w:val="auto"/>
          <w:szCs w:val="21"/>
          <w:highlight w:val="none"/>
          <w:lang w:val="zh-CN"/>
        </w:rPr>
        <w:t xml:space="preserve">3 </w:t>
      </w:r>
      <w:r>
        <w:rPr>
          <w:rFonts w:hint="eastAsia" w:ascii="宋体" w:hAnsi="宋体"/>
          <w:b/>
          <w:bCs/>
          <w:color w:val="auto"/>
          <w:szCs w:val="21"/>
          <w:highlight w:val="none"/>
          <w:lang w:val="zh-CN"/>
        </w:rPr>
        <w:t>价款</w:t>
      </w:r>
      <w:bookmarkEnd w:id="578"/>
      <w:bookmarkEnd w:id="579"/>
      <w:bookmarkEnd w:id="580"/>
    </w:p>
    <w:p>
      <w:pPr>
        <w:spacing w:line="360" w:lineRule="auto"/>
        <w:ind w:firstLine="480"/>
        <w:rPr>
          <w:rFonts w:ascii="宋体" w:hAnsi="宋体"/>
          <w:color w:val="auto"/>
          <w:szCs w:val="21"/>
          <w:highlight w:val="none"/>
        </w:rPr>
      </w:pPr>
      <w:r>
        <w:rPr>
          <w:rFonts w:ascii="宋体" w:hAnsi="宋体"/>
          <w:color w:val="auto"/>
          <w:szCs w:val="21"/>
          <w:highlight w:val="none"/>
        </w:rPr>
        <w:t>本合同总价为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ascii="宋体" w:hAnsi="宋体"/>
          <w:color w:val="auto"/>
          <w:szCs w:val="21"/>
          <w:highlight w:val="none"/>
        </w:rPr>
        <w:t>。</w:t>
      </w:r>
    </w:p>
    <w:p>
      <w:pPr>
        <w:spacing w:line="360" w:lineRule="auto"/>
        <w:ind w:firstLine="480"/>
        <w:rPr>
          <w:rFonts w:ascii="宋体" w:hAnsi="宋体"/>
          <w:color w:val="auto"/>
          <w:szCs w:val="21"/>
          <w:highlight w:val="none"/>
          <w:u w:val="single"/>
        </w:rPr>
      </w:pPr>
      <w:r>
        <w:rPr>
          <w:rFonts w:ascii="宋体" w:hAnsi="宋体"/>
          <w:color w:val="auto"/>
          <w:szCs w:val="21"/>
          <w:highlight w:val="none"/>
        </w:rPr>
        <w:t>分项价格：</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3"/>
        <w:gridCol w:w="12"/>
        <w:gridCol w:w="322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vAlign w:val="center"/>
          </w:tcPr>
          <w:p>
            <w:pPr>
              <w:ind w:firstLine="480"/>
              <w:jc w:val="center"/>
              <w:rPr>
                <w:rFonts w:ascii="宋体" w:hAnsi="宋体"/>
                <w:color w:val="auto"/>
                <w:szCs w:val="21"/>
                <w:highlight w:val="none"/>
                <w:lang w:val="zh-CN"/>
              </w:rPr>
            </w:pPr>
            <w:r>
              <w:rPr>
                <w:rFonts w:ascii="宋体" w:hAnsi="宋体"/>
                <w:color w:val="auto"/>
                <w:szCs w:val="21"/>
                <w:highlight w:val="none"/>
                <w:lang w:val="zh-CN"/>
              </w:rPr>
              <w:t>序号</w:t>
            </w:r>
          </w:p>
        </w:tc>
        <w:tc>
          <w:tcPr>
            <w:tcW w:w="4317" w:type="dxa"/>
            <w:vAlign w:val="center"/>
          </w:tcPr>
          <w:p>
            <w:pPr>
              <w:ind w:firstLine="480"/>
              <w:jc w:val="center"/>
              <w:rPr>
                <w:rFonts w:ascii="宋体" w:hAnsi="宋体"/>
                <w:color w:val="auto"/>
                <w:szCs w:val="21"/>
                <w:highlight w:val="none"/>
              </w:rPr>
            </w:pPr>
            <w:r>
              <w:rPr>
                <w:rFonts w:hint="eastAsia" w:ascii="宋体" w:hAnsi="宋体"/>
                <w:color w:val="auto"/>
                <w:szCs w:val="21"/>
                <w:highlight w:val="none"/>
              </w:rPr>
              <w:t>分项名称</w:t>
            </w:r>
          </w:p>
        </w:tc>
        <w:tc>
          <w:tcPr>
            <w:tcW w:w="3237" w:type="dxa"/>
            <w:gridSpan w:val="2"/>
            <w:vAlign w:val="center"/>
          </w:tcPr>
          <w:p>
            <w:pPr>
              <w:ind w:firstLine="480"/>
              <w:jc w:val="center"/>
              <w:rPr>
                <w:rFonts w:ascii="宋体" w:hAnsi="宋体"/>
                <w:color w:val="auto"/>
                <w:szCs w:val="21"/>
                <w:highlight w:val="none"/>
              </w:rPr>
            </w:pPr>
            <w:r>
              <w:rPr>
                <w:rFonts w:ascii="宋体" w:hAnsi="宋体"/>
                <w:color w:val="auto"/>
                <w:szCs w:val="21"/>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pPr>
              <w:ind w:firstLine="480"/>
              <w:jc w:val="center"/>
              <w:rPr>
                <w:rFonts w:ascii="宋体" w:hAnsi="宋体"/>
                <w:color w:val="auto"/>
                <w:szCs w:val="21"/>
                <w:highlight w:val="none"/>
                <w:lang w:val="zh-CN"/>
              </w:rPr>
            </w:pPr>
            <w:r>
              <w:rPr>
                <w:rFonts w:hint="eastAsia" w:ascii="宋体" w:hAnsi="宋体"/>
                <w:color w:val="auto"/>
                <w:szCs w:val="21"/>
                <w:highlight w:val="none"/>
                <w:lang w:val="zh-CN"/>
              </w:rPr>
              <w:t>1</w:t>
            </w:r>
          </w:p>
        </w:tc>
        <w:tc>
          <w:tcPr>
            <w:tcW w:w="4317" w:type="dxa"/>
            <w:vAlign w:val="center"/>
          </w:tcPr>
          <w:p>
            <w:pPr>
              <w:ind w:firstLine="480"/>
              <w:jc w:val="center"/>
              <w:rPr>
                <w:rFonts w:ascii="宋体" w:hAnsi="宋体"/>
                <w:color w:val="auto"/>
                <w:szCs w:val="21"/>
                <w:highlight w:val="none"/>
              </w:rPr>
            </w:pPr>
          </w:p>
        </w:tc>
        <w:tc>
          <w:tcPr>
            <w:tcW w:w="3237" w:type="dxa"/>
            <w:gridSpan w:val="2"/>
            <w:vAlign w:val="center"/>
          </w:tcPr>
          <w:p>
            <w:pPr>
              <w:ind w:firstLine="48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pPr>
              <w:ind w:firstLine="480"/>
              <w:jc w:val="center"/>
              <w:rPr>
                <w:rFonts w:ascii="宋体" w:hAnsi="宋体"/>
                <w:color w:val="auto"/>
                <w:szCs w:val="21"/>
                <w:highlight w:val="none"/>
                <w:lang w:val="zh-CN"/>
              </w:rPr>
            </w:pPr>
            <w:r>
              <w:rPr>
                <w:rFonts w:hint="eastAsia" w:ascii="宋体" w:hAnsi="宋体"/>
                <w:color w:val="auto"/>
                <w:szCs w:val="21"/>
                <w:highlight w:val="none"/>
                <w:lang w:val="zh-CN"/>
              </w:rPr>
              <w:t>2</w:t>
            </w:r>
          </w:p>
        </w:tc>
        <w:tc>
          <w:tcPr>
            <w:tcW w:w="4317" w:type="dxa"/>
            <w:vAlign w:val="center"/>
          </w:tcPr>
          <w:p>
            <w:pPr>
              <w:ind w:firstLine="480"/>
              <w:jc w:val="center"/>
              <w:rPr>
                <w:rFonts w:ascii="宋体" w:hAnsi="宋体"/>
                <w:color w:val="auto"/>
                <w:szCs w:val="21"/>
                <w:highlight w:val="none"/>
              </w:rPr>
            </w:pPr>
          </w:p>
        </w:tc>
        <w:tc>
          <w:tcPr>
            <w:tcW w:w="3237" w:type="dxa"/>
            <w:gridSpan w:val="2"/>
            <w:vAlign w:val="center"/>
          </w:tcPr>
          <w:p>
            <w:pPr>
              <w:ind w:firstLine="48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pPr>
              <w:ind w:firstLine="480"/>
              <w:jc w:val="center"/>
              <w:rPr>
                <w:rFonts w:ascii="宋体" w:hAnsi="宋体"/>
                <w:color w:val="auto"/>
                <w:szCs w:val="21"/>
                <w:highlight w:val="none"/>
                <w:lang w:val="zh-CN"/>
              </w:rPr>
            </w:pPr>
            <w:r>
              <w:rPr>
                <w:rFonts w:ascii="宋体" w:hAnsi="宋体"/>
                <w:color w:val="auto"/>
                <w:szCs w:val="21"/>
                <w:highlight w:val="none"/>
                <w:lang w:val="zh-CN"/>
              </w:rPr>
              <w:t>3</w:t>
            </w:r>
          </w:p>
        </w:tc>
        <w:tc>
          <w:tcPr>
            <w:tcW w:w="4317" w:type="dxa"/>
            <w:vAlign w:val="center"/>
          </w:tcPr>
          <w:p>
            <w:pPr>
              <w:ind w:firstLine="480"/>
              <w:jc w:val="center"/>
              <w:rPr>
                <w:rFonts w:ascii="宋体" w:hAnsi="宋体"/>
                <w:color w:val="auto"/>
                <w:szCs w:val="21"/>
                <w:highlight w:val="none"/>
              </w:rPr>
            </w:pPr>
          </w:p>
        </w:tc>
        <w:tc>
          <w:tcPr>
            <w:tcW w:w="3237" w:type="dxa"/>
            <w:gridSpan w:val="2"/>
            <w:vAlign w:val="center"/>
          </w:tcPr>
          <w:p>
            <w:pPr>
              <w:ind w:firstLine="48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956" w:type="dxa"/>
          </w:tcPr>
          <w:p>
            <w:pPr>
              <w:ind w:firstLine="480"/>
              <w:jc w:val="center"/>
              <w:rPr>
                <w:rFonts w:ascii="宋体" w:hAnsi="宋体"/>
                <w:color w:val="auto"/>
                <w:szCs w:val="21"/>
                <w:highlight w:val="none"/>
                <w:lang w:val="zh-CN"/>
              </w:rPr>
            </w:pPr>
            <w:r>
              <w:rPr>
                <w:rFonts w:hint="eastAsia" w:ascii="宋体" w:hAnsi="宋体"/>
                <w:color w:val="auto"/>
                <w:szCs w:val="21"/>
                <w:highlight w:val="none"/>
                <w:lang w:val="zh-CN"/>
              </w:rPr>
              <w:t>……</w:t>
            </w:r>
          </w:p>
        </w:tc>
        <w:tc>
          <w:tcPr>
            <w:tcW w:w="4317" w:type="dxa"/>
            <w:vAlign w:val="center"/>
          </w:tcPr>
          <w:p>
            <w:pPr>
              <w:ind w:firstLine="480"/>
              <w:jc w:val="center"/>
              <w:rPr>
                <w:rFonts w:ascii="宋体" w:hAnsi="宋体"/>
                <w:color w:val="auto"/>
                <w:szCs w:val="21"/>
                <w:highlight w:val="none"/>
              </w:rPr>
            </w:pPr>
          </w:p>
        </w:tc>
        <w:tc>
          <w:tcPr>
            <w:tcW w:w="3237" w:type="dxa"/>
            <w:gridSpan w:val="2"/>
            <w:vAlign w:val="center"/>
          </w:tcPr>
          <w:p>
            <w:pPr>
              <w:ind w:firstLine="48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pPr>
              <w:ind w:firstLine="480"/>
              <w:jc w:val="center"/>
              <w:rPr>
                <w:rFonts w:ascii="宋体" w:hAnsi="宋体"/>
                <w:color w:val="auto"/>
                <w:szCs w:val="21"/>
                <w:highlight w:val="none"/>
              </w:rPr>
            </w:pPr>
            <w:r>
              <w:rPr>
                <w:rFonts w:hint="eastAsia" w:ascii="宋体" w:hAnsi="宋体"/>
                <w:color w:val="auto"/>
                <w:szCs w:val="21"/>
                <w:highlight w:val="none"/>
              </w:rPr>
              <w:t>总价</w:t>
            </w:r>
          </w:p>
        </w:tc>
        <w:tc>
          <w:tcPr>
            <w:tcW w:w="3237" w:type="dxa"/>
            <w:gridSpan w:val="2"/>
            <w:vAlign w:val="center"/>
          </w:tcPr>
          <w:p>
            <w:pPr>
              <w:ind w:firstLine="480"/>
              <w:jc w:val="center"/>
              <w:rPr>
                <w:rFonts w:ascii="宋体" w:hAnsi="宋体"/>
                <w:color w:val="auto"/>
                <w:szCs w:val="21"/>
                <w:highlight w:val="none"/>
              </w:rPr>
            </w:pPr>
          </w:p>
        </w:tc>
      </w:tr>
    </w:tbl>
    <w:p>
      <w:pPr>
        <w:spacing w:line="360" w:lineRule="auto"/>
        <w:ind w:firstLine="482"/>
        <w:outlineLvl w:val="3"/>
        <w:rPr>
          <w:rFonts w:ascii="宋体" w:hAnsi="宋体"/>
          <w:b/>
          <w:bCs/>
          <w:color w:val="auto"/>
          <w:szCs w:val="21"/>
          <w:highlight w:val="none"/>
          <w:lang w:val="zh-CN"/>
        </w:rPr>
      </w:pPr>
      <w:bookmarkStart w:id="581" w:name="_Toc10340"/>
      <w:bookmarkStart w:id="582" w:name="_Toc1814"/>
      <w:bookmarkStart w:id="583" w:name="_Toc22618"/>
      <w:r>
        <w:rPr>
          <w:rFonts w:hint="eastAsia" w:ascii="宋体" w:hAnsi="宋体"/>
          <w:b/>
          <w:bCs/>
          <w:color w:val="auto"/>
          <w:szCs w:val="21"/>
          <w:highlight w:val="none"/>
          <w:lang w:val="zh-CN"/>
        </w:rPr>
        <w:t>1.</w:t>
      </w:r>
      <w:r>
        <w:rPr>
          <w:rFonts w:ascii="宋体" w:hAnsi="宋体"/>
          <w:b/>
          <w:bCs/>
          <w:color w:val="auto"/>
          <w:szCs w:val="21"/>
          <w:highlight w:val="none"/>
          <w:lang w:val="zh-CN"/>
        </w:rPr>
        <w:t>4 付款方式和发票开具方式</w:t>
      </w:r>
      <w:bookmarkEnd w:id="581"/>
      <w:bookmarkEnd w:id="582"/>
      <w:bookmarkEnd w:id="583"/>
    </w:p>
    <w:p>
      <w:pPr>
        <w:pStyle w:val="237"/>
        <w:spacing w:before="0" w:beforeAutospacing="0" w:after="0" w:afterAutospacing="0" w:line="580" w:lineRule="exact"/>
        <w:ind w:firstLine="420" w:firstLineChars="200"/>
        <w:jc w:val="both"/>
        <w:rPr>
          <w:rFonts w:cs="Times New Roman"/>
          <w:color w:val="auto"/>
          <w:sz w:val="21"/>
          <w:szCs w:val="21"/>
          <w:highlight w:val="none"/>
        </w:rPr>
      </w:pPr>
      <w:r>
        <w:rPr>
          <w:rFonts w:hint="eastAsia" w:cs="Times New Roman"/>
          <w:color w:val="auto"/>
          <w:sz w:val="21"/>
          <w:szCs w:val="21"/>
          <w:highlight w:val="none"/>
        </w:rPr>
        <w:t>1.4.1</w:t>
      </w:r>
      <w:r>
        <w:rPr>
          <w:rFonts w:cs="Times New Roman"/>
          <w:color w:val="auto"/>
          <w:sz w:val="21"/>
          <w:szCs w:val="21"/>
          <w:highlight w:val="none"/>
        </w:rPr>
        <w:t>付款方式：</w:t>
      </w:r>
      <w:r>
        <w:rPr>
          <w:rFonts w:hint="eastAsia" w:cs="Times New Roman"/>
          <w:color w:val="auto"/>
          <w:sz w:val="21"/>
          <w:szCs w:val="21"/>
          <w:highlight w:val="none"/>
          <w:u w:val="single"/>
        </w:rPr>
        <w:t xml:space="preserve">                                            </w:t>
      </w:r>
    </w:p>
    <w:p>
      <w:pPr>
        <w:spacing w:line="360" w:lineRule="auto"/>
        <w:ind w:firstLine="480"/>
        <w:rPr>
          <w:rFonts w:ascii="宋体" w:hAnsi="宋体"/>
          <w:color w:val="auto"/>
          <w:szCs w:val="21"/>
          <w:highlight w:val="none"/>
        </w:rPr>
      </w:pPr>
      <w:r>
        <w:rPr>
          <w:rFonts w:hint="eastAsia" w:ascii="宋体" w:hAnsi="宋体"/>
          <w:color w:val="auto"/>
          <w:szCs w:val="21"/>
          <w:highlight w:val="none"/>
        </w:rPr>
        <w:t>1.4.2发票开具方式：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82"/>
        <w:outlineLvl w:val="3"/>
        <w:rPr>
          <w:rFonts w:ascii="宋体" w:hAnsi="宋体"/>
          <w:b/>
          <w:bCs/>
          <w:color w:val="auto"/>
          <w:szCs w:val="21"/>
          <w:highlight w:val="none"/>
          <w:lang w:val="zh-CN"/>
        </w:rPr>
      </w:pPr>
      <w:bookmarkStart w:id="584" w:name="_Toc2846"/>
      <w:bookmarkStart w:id="585" w:name="_Toc32071"/>
      <w:bookmarkStart w:id="586" w:name="_Toc19304"/>
      <w:r>
        <w:rPr>
          <w:rFonts w:hint="eastAsia" w:ascii="宋体" w:hAnsi="宋体"/>
          <w:b/>
          <w:bCs/>
          <w:color w:val="auto"/>
          <w:szCs w:val="21"/>
          <w:highlight w:val="none"/>
          <w:lang w:val="zh-CN"/>
        </w:rPr>
        <w:t>1.</w:t>
      </w:r>
      <w:r>
        <w:rPr>
          <w:rFonts w:ascii="宋体" w:hAnsi="宋体"/>
          <w:b/>
          <w:bCs/>
          <w:color w:val="auto"/>
          <w:szCs w:val="21"/>
          <w:highlight w:val="none"/>
          <w:lang w:val="zh-CN"/>
        </w:rPr>
        <w:t xml:space="preserve">5 </w:t>
      </w:r>
      <w:r>
        <w:rPr>
          <w:rFonts w:hint="eastAsia" w:ascii="宋体" w:hAnsi="宋体"/>
          <w:b/>
          <w:bCs/>
          <w:color w:val="auto"/>
          <w:szCs w:val="21"/>
          <w:highlight w:val="none"/>
          <w:lang w:val="zh-CN"/>
        </w:rPr>
        <w:t>服务</w:t>
      </w:r>
      <w:r>
        <w:rPr>
          <w:rFonts w:ascii="宋体" w:hAnsi="宋体"/>
          <w:b/>
          <w:bCs/>
          <w:color w:val="auto"/>
          <w:szCs w:val="21"/>
          <w:highlight w:val="none"/>
          <w:lang w:val="zh-CN"/>
        </w:rPr>
        <w:t>期限</w:t>
      </w:r>
      <w:r>
        <w:rPr>
          <w:rFonts w:hint="eastAsia" w:ascii="宋体" w:hAnsi="宋体"/>
          <w:b/>
          <w:bCs/>
          <w:color w:val="auto"/>
          <w:szCs w:val="21"/>
          <w:highlight w:val="none"/>
          <w:lang w:val="zh-CN"/>
        </w:rPr>
        <w:t>、地点和方式</w:t>
      </w:r>
      <w:bookmarkEnd w:id="584"/>
      <w:bookmarkEnd w:id="585"/>
      <w:bookmarkEnd w:id="586"/>
    </w:p>
    <w:p>
      <w:pPr>
        <w:spacing w:line="360" w:lineRule="auto"/>
        <w:ind w:firstLine="480"/>
        <w:rPr>
          <w:rFonts w:ascii="宋体" w:hAnsi="宋体"/>
          <w:color w:val="auto"/>
          <w:szCs w:val="21"/>
          <w:highlight w:val="none"/>
          <w:u w:val="single"/>
        </w:rPr>
      </w:pPr>
      <w:r>
        <w:rPr>
          <w:rFonts w:hint="eastAsia" w:ascii="宋体" w:hAnsi="宋体"/>
          <w:color w:val="auto"/>
          <w:szCs w:val="21"/>
          <w:highlight w:val="none"/>
        </w:rPr>
        <w:t>1.5.1服务期限</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80"/>
        <w:rPr>
          <w:rFonts w:ascii="宋体" w:hAnsi="宋体"/>
          <w:color w:val="auto"/>
          <w:szCs w:val="21"/>
          <w:highlight w:val="none"/>
        </w:rPr>
      </w:pPr>
      <w:r>
        <w:rPr>
          <w:rFonts w:hint="eastAsia" w:ascii="宋体" w:hAnsi="宋体"/>
          <w:color w:val="auto"/>
          <w:szCs w:val="21"/>
          <w:highlight w:val="none"/>
        </w:rPr>
        <w:t>1.5.2服务地点</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80"/>
        <w:rPr>
          <w:rFonts w:ascii="宋体" w:hAnsi="宋体"/>
          <w:color w:val="auto"/>
          <w:szCs w:val="21"/>
          <w:highlight w:val="none"/>
        </w:rPr>
      </w:pPr>
      <w:r>
        <w:rPr>
          <w:rFonts w:hint="eastAsia" w:ascii="宋体" w:hAnsi="宋体"/>
          <w:color w:val="auto"/>
          <w:szCs w:val="21"/>
          <w:highlight w:val="none"/>
        </w:rPr>
        <w:t>1.5.3服务方式：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82"/>
        <w:outlineLvl w:val="3"/>
        <w:rPr>
          <w:rFonts w:ascii="宋体" w:hAnsi="宋体"/>
          <w:b/>
          <w:bCs/>
          <w:color w:val="auto"/>
          <w:szCs w:val="21"/>
          <w:highlight w:val="none"/>
          <w:lang w:val="zh-CN"/>
        </w:rPr>
      </w:pPr>
      <w:bookmarkStart w:id="587" w:name="_Toc21423"/>
      <w:bookmarkStart w:id="588" w:name="_Toc19554"/>
      <w:bookmarkStart w:id="589" w:name="_Toc27250"/>
      <w:r>
        <w:rPr>
          <w:rFonts w:hint="eastAsia" w:ascii="宋体" w:hAnsi="宋体"/>
          <w:b/>
          <w:bCs/>
          <w:color w:val="auto"/>
          <w:szCs w:val="21"/>
          <w:highlight w:val="none"/>
          <w:lang w:val="zh-CN"/>
        </w:rPr>
        <w:t>1.6 违约责任</w:t>
      </w:r>
      <w:bookmarkEnd w:id="587"/>
      <w:bookmarkEnd w:id="588"/>
      <w:bookmarkEnd w:id="589"/>
    </w:p>
    <w:p>
      <w:pPr>
        <w:spacing w:line="360" w:lineRule="auto"/>
        <w:ind w:firstLine="480"/>
        <w:rPr>
          <w:rFonts w:ascii="宋体" w:hAnsi="宋体"/>
          <w:color w:val="auto"/>
          <w:szCs w:val="21"/>
          <w:highlight w:val="none"/>
        </w:rPr>
      </w:pPr>
      <w:r>
        <w:rPr>
          <w:rFonts w:hint="eastAsia" w:ascii="宋体" w:hAnsi="宋体"/>
          <w:color w:val="auto"/>
          <w:szCs w:val="21"/>
          <w:highlight w:val="none"/>
        </w:rPr>
        <w:t>1.6.1</w:t>
      </w:r>
      <w:r>
        <w:rPr>
          <w:rFonts w:ascii="宋体" w:hAnsi="宋体"/>
          <w:color w:val="auto"/>
          <w:szCs w:val="21"/>
          <w:highlight w:val="none"/>
        </w:rPr>
        <w:t>除不可抗力外，如果乙方没有按照本合同约定的期限</w:t>
      </w:r>
      <w:r>
        <w:rPr>
          <w:rFonts w:hint="eastAsia" w:ascii="宋体" w:hAnsi="宋体"/>
          <w:color w:val="auto"/>
          <w:szCs w:val="21"/>
          <w:highlight w:val="none"/>
        </w:rPr>
        <w:t>、</w:t>
      </w:r>
      <w:r>
        <w:rPr>
          <w:rFonts w:ascii="宋体" w:hAnsi="宋体"/>
          <w:color w:val="auto"/>
          <w:szCs w:val="21"/>
          <w:highlight w:val="none"/>
        </w:rPr>
        <w:t>地点和方式</w:t>
      </w:r>
      <w:r>
        <w:rPr>
          <w:rFonts w:hint="eastAsia" w:ascii="宋体" w:hAnsi="宋体"/>
          <w:color w:val="auto"/>
          <w:szCs w:val="21"/>
          <w:highlight w:val="none"/>
        </w:rPr>
        <w:t>履行</w:t>
      </w:r>
      <w:r>
        <w:rPr>
          <w:rFonts w:ascii="宋体" w:hAnsi="宋体"/>
          <w:color w:val="auto"/>
          <w:szCs w:val="21"/>
          <w:highlight w:val="none"/>
        </w:rPr>
        <w:t>，那么甲方可要求乙方支付违约金</w:t>
      </w:r>
      <w:r>
        <w:rPr>
          <w:rFonts w:hint="eastAsia" w:ascii="宋体" w:hAnsi="宋体"/>
          <w:color w:val="auto"/>
          <w:szCs w:val="21"/>
          <w:highlight w:val="none"/>
        </w:rPr>
        <w:t>，</w:t>
      </w:r>
      <w:r>
        <w:rPr>
          <w:rFonts w:ascii="宋体" w:hAnsi="宋体"/>
          <w:color w:val="auto"/>
          <w:szCs w:val="21"/>
          <w:highlight w:val="none"/>
        </w:rPr>
        <w:t>违约金按每迟延</w:t>
      </w:r>
      <w:r>
        <w:rPr>
          <w:rFonts w:hint="eastAsia" w:ascii="宋体" w:hAnsi="宋体"/>
          <w:color w:val="auto"/>
          <w:szCs w:val="21"/>
          <w:highlight w:val="none"/>
        </w:rPr>
        <w:t>履行</w:t>
      </w:r>
      <w:r>
        <w:rPr>
          <w:rFonts w:ascii="宋体" w:hAnsi="宋体"/>
          <w:color w:val="auto"/>
          <w:szCs w:val="21"/>
          <w:highlight w:val="none"/>
        </w:rPr>
        <w:t>一日的应提供而未</w:t>
      </w:r>
      <w:r>
        <w:rPr>
          <w:rFonts w:hint="eastAsia" w:ascii="宋体" w:hAnsi="宋体"/>
          <w:color w:val="auto"/>
          <w:szCs w:val="21"/>
          <w:highlight w:val="none"/>
        </w:rPr>
        <w:t>提供</w:t>
      </w:r>
      <w:r>
        <w:rPr>
          <w:rFonts w:ascii="宋体" w:hAnsi="宋体"/>
          <w:color w:val="auto"/>
          <w:szCs w:val="21"/>
          <w:highlight w:val="none"/>
        </w:rPr>
        <w:t>服务价格的</w:t>
      </w:r>
      <w:r>
        <w:rPr>
          <w:rFonts w:hint="eastAsia" w:ascii="宋体" w:hAnsi="宋体"/>
          <w:color w:val="auto"/>
          <w:szCs w:val="21"/>
          <w:highlight w:val="none"/>
          <w:u w:val="single"/>
        </w:rPr>
        <w:t>1</w:t>
      </w:r>
      <w:r>
        <w:rPr>
          <w:rFonts w:ascii="宋体" w:hAnsi="宋体"/>
          <w:color w:val="auto"/>
          <w:szCs w:val="21"/>
          <w:highlight w:val="none"/>
        </w:rPr>
        <w:t>%计算</w:t>
      </w:r>
      <w:r>
        <w:rPr>
          <w:rFonts w:hint="eastAsia" w:ascii="宋体" w:hAnsi="宋体"/>
          <w:color w:val="auto"/>
          <w:szCs w:val="21"/>
          <w:highlight w:val="none"/>
        </w:rPr>
        <w:t>，</w:t>
      </w:r>
      <w:r>
        <w:rPr>
          <w:rFonts w:ascii="宋体" w:hAnsi="宋体"/>
          <w:color w:val="auto"/>
          <w:szCs w:val="21"/>
          <w:highlight w:val="none"/>
        </w:rPr>
        <w:t>最高限额为</w:t>
      </w:r>
      <w:r>
        <w:rPr>
          <w:rFonts w:hint="eastAsia" w:ascii="宋体" w:hAnsi="宋体"/>
          <w:color w:val="auto"/>
          <w:szCs w:val="21"/>
          <w:highlight w:val="none"/>
        </w:rPr>
        <w:t>本</w:t>
      </w:r>
      <w:r>
        <w:rPr>
          <w:rFonts w:ascii="宋体" w:hAnsi="宋体"/>
          <w:color w:val="auto"/>
          <w:szCs w:val="21"/>
          <w:highlight w:val="none"/>
        </w:rPr>
        <w:t>合同总价的</w:t>
      </w:r>
      <w:r>
        <w:rPr>
          <w:rFonts w:hint="eastAsia" w:ascii="宋体" w:hAnsi="宋体"/>
          <w:color w:val="auto"/>
          <w:szCs w:val="21"/>
          <w:highlight w:val="none"/>
          <w:u w:val="single"/>
        </w:rPr>
        <w:t xml:space="preserve">1 </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迟延</w:t>
      </w:r>
      <w:r>
        <w:rPr>
          <w:rFonts w:hint="eastAsia" w:ascii="宋体" w:hAnsi="宋体"/>
          <w:color w:val="auto"/>
          <w:szCs w:val="21"/>
          <w:highlight w:val="none"/>
        </w:rPr>
        <w:t>履行</w:t>
      </w:r>
      <w:r>
        <w:rPr>
          <w:rFonts w:ascii="宋体" w:hAnsi="宋体"/>
          <w:color w:val="auto"/>
          <w:szCs w:val="21"/>
          <w:highlight w:val="none"/>
        </w:rPr>
        <w:t>的违约金计算数额达到前述最高限额之日起</w:t>
      </w:r>
      <w:r>
        <w:rPr>
          <w:rFonts w:hint="eastAsia" w:ascii="宋体" w:hAnsi="宋体"/>
          <w:color w:val="auto"/>
          <w:szCs w:val="21"/>
          <w:highlight w:val="none"/>
        </w:rPr>
        <w:t>，</w:t>
      </w:r>
      <w:r>
        <w:rPr>
          <w:rFonts w:ascii="宋体" w:hAnsi="宋体"/>
          <w:color w:val="auto"/>
          <w:szCs w:val="21"/>
          <w:highlight w:val="none"/>
        </w:rPr>
        <w:t>甲方有权在要求乙方支付违约金的同时</w:t>
      </w:r>
      <w:r>
        <w:rPr>
          <w:rFonts w:hint="eastAsia" w:ascii="宋体" w:hAnsi="宋体"/>
          <w:color w:val="auto"/>
          <w:szCs w:val="21"/>
          <w:highlight w:val="none"/>
        </w:rPr>
        <w:t>，书面通知乙方</w:t>
      </w:r>
      <w:r>
        <w:rPr>
          <w:rFonts w:ascii="宋体" w:hAnsi="宋体"/>
          <w:color w:val="auto"/>
          <w:szCs w:val="21"/>
          <w:highlight w:val="none"/>
        </w:rPr>
        <w:t>解除本合同</w:t>
      </w:r>
      <w:r>
        <w:rPr>
          <w:rFonts w:hint="eastAsia" w:ascii="宋体" w:hAnsi="宋体"/>
          <w:color w:val="auto"/>
          <w:szCs w:val="21"/>
          <w:highlight w:val="none"/>
        </w:rPr>
        <w:t>；</w:t>
      </w:r>
    </w:p>
    <w:p>
      <w:pPr>
        <w:spacing w:line="360" w:lineRule="auto"/>
        <w:ind w:firstLine="480"/>
        <w:rPr>
          <w:rFonts w:ascii="宋体" w:hAnsi="宋体"/>
          <w:color w:val="auto"/>
          <w:szCs w:val="21"/>
          <w:highlight w:val="none"/>
        </w:rPr>
      </w:pPr>
      <w:r>
        <w:rPr>
          <w:rFonts w:hint="eastAsia" w:ascii="宋体" w:hAnsi="宋体"/>
          <w:color w:val="auto"/>
          <w:szCs w:val="21"/>
          <w:highlight w:val="none"/>
        </w:rPr>
        <w:t>1.6.2</w:t>
      </w:r>
      <w:r>
        <w:rPr>
          <w:rFonts w:ascii="宋体" w:hAnsi="宋体"/>
          <w:color w:val="auto"/>
          <w:szCs w:val="21"/>
          <w:highlight w:val="none"/>
        </w:rPr>
        <w:t>除不可抗力外，如果甲方没有按照本合同约定的付款方式付款，那么乙方可要求甲方支付违约金</w:t>
      </w:r>
      <w:r>
        <w:rPr>
          <w:rFonts w:hint="eastAsia" w:ascii="宋体" w:hAnsi="宋体"/>
          <w:color w:val="auto"/>
          <w:szCs w:val="21"/>
          <w:highlight w:val="none"/>
        </w:rPr>
        <w:t>，</w:t>
      </w:r>
      <w:r>
        <w:rPr>
          <w:rFonts w:ascii="宋体" w:hAnsi="宋体"/>
          <w:color w:val="auto"/>
          <w:szCs w:val="21"/>
          <w:highlight w:val="none"/>
        </w:rPr>
        <w:t>违约金按每迟延</w:t>
      </w:r>
      <w:r>
        <w:rPr>
          <w:rFonts w:hint="eastAsia" w:ascii="宋体" w:hAnsi="宋体"/>
          <w:color w:val="auto"/>
          <w:szCs w:val="21"/>
          <w:highlight w:val="none"/>
        </w:rPr>
        <w:t>付款</w:t>
      </w:r>
      <w:r>
        <w:rPr>
          <w:rFonts w:ascii="宋体" w:hAnsi="宋体"/>
          <w:color w:val="auto"/>
          <w:szCs w:val="21"/>
          <w:highlight w:val="none"/>
        </w:rPr>
        <w:t>一日的应付而未付款的</w:t>
      </w:r>
      <w:r>
        <w:rPr>
          <w:rFonts w:hint="eastAsia" w:ascii="宋体" w:hAnsi="宋体"/>
          <w:color w:val="auto"/>
          <w:szCs w:val="21"/>
          <w:highlight w:val="none"/>
          <w:u w:val="single"/>
        </w:rPr>
        <w:t xml:space="preserve">1 </w:t>
      </w:r>
      <w:r>
        <w:rPr>
          <w:rFonts w:ascii="宋体" w:hAnsi="宋体"/>
          <w:color w:val="auto"/>
          <w:szCs w:val="21"/>
          <w:highlight w:val="none"/>
        </w:rPr>
        <w:t>%计算</w:t>
      </w:r>
      <w:r>
        <w:rPr>
          <w:rFonts w:hint="eastAsia" w:ascii="宋体" w:hAnsi="宋体"/>
          <w:color w:val="auto"/>
          <w:szCs w:val="21"/>
          <w:highlight w:val="none"/>
        </w:rPr>
        <w:t>，</w:t>
      </w:r>
      <w:r>
        <w:rPr>
          <w:rFonts w:ascii="宋体" w:hAnsi="宋体"/>
          <w:color w:val="auto"/>
          <w:szCs w:val="21"/>
          <w:highlight w:val="none"/>
        </w:rPr>
        <w:t>最高限额为</w:t>
      </w:r>
      <w:r>
        <w:rPr>
          <w:rFonts w:hint="eastAsia" w:ascii="宋体" w:hAnsi="宋体"/>
          <w:color w:val="auto"/>
          <w:szCs w:val="21"/>
          <w:highlight w:val="none"/>
        </w:rPr>
        <w:t>本</w:t>
      </w:r>
      <w:r>
        <w:rPr>
          <w:rFonts w:ascii="宋体" w:hAnsi="宋体"/>
          <w:color w:val="auto"/>
          <w:szCs w:val="21"/>
          <w:highlight w:val="none"/>
        </w:rPr>
        <w:t>合同总价的</w:t>
      </w:r>
      <w:r>
        <w:rPr>
          <w:rFonts w:hint="eastAsia" w:ascii="宋体" w:hAnsi="宋体"/>
          <w:color w:val="auto"/>
          <w:szCs w:val="21"/>
          <w:highlight w:val="none"/>
          <w:u w:val="single"/>
        </w:rPr>
        <w:t xml:space="preserve">1 </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迟延</w:t>
      </w:r>
      <w:r>
        <w:rPr>
          <w:rFonts w:hint="eastAsia" w:ascii="宋体" w:hAnsi="宋体"/>
          <w:color w:val="auto"/>
          <w:szCs w:val="21"/>
          <w:highlight w:val="none"/>
        </w:rPr>
        <w:t>付款</w:t>
      </w:r>
      <w:r>
        <w:rPr>
          <w:rFonts w:ascii="宋体" w:hAnsi="宋体"/>
          <w:color w:val="auto"/>
          <w:szCs w:val="21"/>
          <w:highlight w:val="none"/>
        </w:rPr>
        <w:t>的违约金计算数额达到前述最高限额之日起</w:t>
      </w:r>
      <w:r>
        <w:rPr>
          <w:rFonts w:hint="eastAsia" w:ascii="宋体" w:hAnsi="宋体"/>
          <w:color w:val="auto"/>
          <w:szCs w:val="21"/>
          <w:highlight w:val="none"/>
        </w:rPr>
        <w:t>，乙</w:t>
      </w:r>
      <w:r>
        <w:rPr>
          <w:rFonts w:ascii="宋体" w:hAnsi="宋体"/>
          <w:color w:val="auto"/>
          <w:szCs w:val="21"/>
          <w:highlight w:val="none"/>
        </w:rPr>
        <w:t>方有权在要求甲方支付违约金的同时</w:t>
      </w:r>
      <w:r>
        <w:rPr>
          <w:rFonts w:hint="eastAsia" w:ascii="宋体" w:hAnsi="宋体"/>
          <w:color w:val="auto"/>
          <w:szCs w:val="21"/>
          <w:highlight w:val="none"/>
        </w:rPr>
        <w:t>，书面通知甲方</w:t>
      </w:r>
      <w:r>
        <w:rPr>
          <w:rFonts w:ascii="宋体" w:hAnsi="宋体"/>
          <w:color w:val="auto"/>
          <w:szCs w:val="21"/>
          <w:highlight w:val="none"/>
        </w:rPr>
        <w:t>解除本合同</w:t>
      </w:r>
      <w:r>
        <w:rPr>
          <w:rFonts w:hint="eastAsia" w:ascii="宋体" w:hAnsi="宋体"/>
          <w:color w:val="auto"/>
          <w:szCs w:val="21"/>
          <w:highlight w:val="none"/>
        </w:rPr>
        <w:t>；</w:t>
      </w:r>
    </w:p>
    <w:p>
      <w:pPr>
        <w:spacing w:line="360" w:lineRule="auto"/>
        <w:ind w:firstLine="480"/>
        <w:rPr>
          <w:rFonts w:ascii="宋体" w:hAnsi="宋体"/>
          <w:color w:val="auto"/>
          <w:szCs w:val="21"/>
          <w:highlight w:val="none"/>
        </w:rPr>
      </w:pPr>
      <w:r>
        <w:rPr>
          <w:rFonts w:hint="eastAsia" w:ascii="宋体" w:hAnsi="宋体"/>
          <w:color w:val="auto"/>
          <w:szCs w:val="21"/>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rPr>
          <w:rFonts w:ascii="宋体" w:hAnsi="宋体"/>
          <w:color w:val="auto"/>
          <w:szCs w:val="21"/>
          <w:highlight w:val="none"/>
        </w:rPr>
      </w:pPr>
      <w:r>
        <w:rPr>
          <w:rFonts w:hint="eastAsia" w:ascii="宋体" w:hAnsi="宋体"/>
          <w:color w:val="auto"/>
          <w:szCs w:val="21"/>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rPr>
          <w:rFonts w:ascii="宋体" w:hAnsi="宋体"/>
          <w:color w:val="auto"/>
          <w:szCs w:val="21"/>
          <w:highlight w:val="none"/>
        </w:rPr>
      </w:pPr>
      <w:r>
        <w:rPr>
          <w:rFonts w:hint="eastAsia" w:ascii="宋体" w:hAnsi="宋体"/>
          <w:color w:val="auto"/>
          <w:szCs w:val="21"/>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rPr>
          <w:rFonts w:ascii="宋体" w:hAnsi="宋体"/>
          <w:color w:val="auto"/>
          <w:szCs w:val="21"/>
          <w:highlight w:val="none"/>
        </w:rPr>
      </w:pPr>
      <w:r>
        <w:rPr>
          <w:rFonts w:hint="eastAsia" w:ascii="宋体" w:hAnsi="宋体"/>
          <w:color w:val="auto"/>
          <w:szCs w:val="21"/>
          <w:highlight w:val="none"/>
        </w:rPr>
        <w:t>1.6.6如果出现政府采购监督管理部门在处理投诉事项期间，书面通知甲方暂停采购活动的情形，或者询问或质疑事项可能影响中标结果的，导致甲方中止履行合同的情形，均不视为甲方违约。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outlineLvl w:val="3"/>
        <w:rPr>
          <w:rFonts w:ascii="宋体" w:hAnsi="宋体"/>
          <w:b/>
          <w:bCs/>
          <w:color w:val="auto"/>
          <w:szCs w:val="21"/>
          <w:highlight w:val="none"/>
          <w:lang w:val="zh-CN"/>
        </w:rPr>
      </w:pPr>
      <w:bookmarkStart w:id="590" w:name="_Toc28375"/>
      <w:bookmarkStart w:id="591" w:name="_Toc16021"/>
      <w:bookmarkStart w:id="592" w:name="_Toc15583"/>
      <w:r>
        <w:rPr>
          <w:rFonts w:hint="eastAsia" w:ascii="宋体" w:hAnsi="宋体"/>
          <w:b/>
          <w:bCs/>
          <w:color w:val="auto"/>
          <w:szCs w:val="21"/>
          <w:highlight w:val="none"/>
          <w:lang w:val="zh-CN"/>
        </w:rPr>
        <w:t>1.7</w:t>
      </w:r>
      <w:r>
        <w:rPr>
          <w:rFonts w:ascii="宋体" w:hAnsi="宋体"/>
          <w:b/>
          <w:bCs/>
          <w:color w:val="auto"/>
          <w:szCs w:val="21"/>
          <w:highlight w:val="none"/>
          <w:lang w:val="zh-CN"/>
        </w:rPr>
        <w:t xml:space="preserve"> </w:t>
      </w:r>
      <w:r>
        <w:rPr>
          <w:rFonts w:hint="eastAsia" w:ascii="宋体" w:hAnsi="宋体"/>
          <w:b/>
          <w:bCs/>
          <w:color w:val="auto"/>
          <w:szCs w:val="21"/>
          <w:highlight w:val="none"/>
          <w:lang w:val="zh-CN"/>
        </w:rPr>
        <w:t>合同</w:t>
      </w:r>
      <w:r>
        <w:rPr>
          <w:rFonts w:ascii="宋体" w:hAnsi="宋体"/>
          <w:b/>
          <w:bCs/>
          <w:color w:val="auto"/>
          <w:szCs w:val="21"/>
          <w:highlight w:val="none"/>
          <w:lang w:val="zh-CN"/>
        </w:rPr>
        <w:t>争议的解决</w:t>
      </w:r>
      <w:bookmarkEnd w:id="590"/>
      <w:bookmarkEnd w:id="591"/>
      <w:bookmarkEnd w:id="592"/>
    </w:p>
    <w:p>
      <w:pPr>
        <w:spacing w:line="360" w:lineRule="auto"/>
        <w:ind w:firstLine="480"/>
        <w:rPr>
          <w:rFonts w:ascii="宋体" w:hAnsi="宋体"/>
          <w:color w:val="auto"/>
          <w:szCs w:val="21"/>
          <w:highlight w:val="none"/>
        </w:rPr>
      </w:pPr>
      <w:r>
        <w:rPr>
          <w:rFonts w:hint="eastAsia" w:ascii="宋体" w:hAnsi="宋体"/>
          <w:color w:val="auto"/>
          <w:szCs w:val="21"/>
          <w:highlight w:val="none"/>
        </w:rPr>
        <w:t>本合</w:t>
      </w:r>
      <w:r>
        <w:rPr>
          <w:rFonts w:ascii="宋体" w:hAnsi="宋体"/>
          <w:color w:val="auto"/>
          <w:szCs w:val="21"/>
          <w:highlight w:val="none"/>
        </w:rPr>
        <w:t>同履行过程中发生的任何争议，双方当事人均可</w:t>
      </w:r>
      <w:r>
        <w:rPr>
          <w:rFonts w:hint="eastAsia" w:ascii="宋体" w:hAnsi="宋体"/>
          <w:color w:val="auto"/>
          <w:szCs w:val="21"/>
          <w:highlight w:val="none"/>
        </w:rPr>
        <w:t>通过和解或者调解解决；不愿和解、调解或者和解、调解不成的，可以选择下列第</w:t>
      </w:r>
      <w:r>
        <w:rPr>
          <w:rFonts w:hint="eastAsia" w:ascii="宋体" w:hAnsi="宋体"/>
          <w:color w:val="auto"/>
          <w:szCs w:val="21"/>
          <w:highlight w:val="none"/>
          <w:u w:val="single"/>
        </w:rPr>
        <w:t xml:space="preserve"> 1.7.2  </w:t>
      </w:r>
      <w:r>
        <w:rPr>
          <w:rFonts w:hint="eastAsia" w:ascii="宋体" w:hAnsi="宋体"/>
          <w:color w:val="auto"/>
          <w:szCs w:val="21"/>
          <w:highlight w:val="none"/>
        </w:rPr>
        <w:t>种方式解决：</w:t>
      </w:r>
    </w:p>
    <w:p>
      <w:pPr>
        <w:spacing w:line="360" w:lineRule="auto"/>
        <w:ind w:firstLine="480"/>
        <w:rPr>
          <w:rFonts w:ascii="宋体" w:hAnsi="宋体"/>
          <w:color w:val="auto"/>
          <w:szCs w:val="21"/>
          <w:highlight w:val="none"/>
        </w:rPr>
      </w:pPr>
      <w:r>
        <w:rPr>
          <w:rFonts w:hint="eastAsia" w:ascii="宋体" w:hAnsi="宋体"/>
          <w:color w:val="auto"/>
          <w:szCs w:val="21"/>
          <w:highlight w:val="none"/>
        </w:rPr>
        <w:t>1.7.1将争议提交滁州仲裁委员会依申请仲裁时其现行有效的仲裁规则裁决；</w:t>
      </w:r>
    </w:p>
    <w:p>
      <w:pPr>
        <w:spacing w:line="360" w:lineRule="auto"/>
        <w:ind w:firstLine="480"/>
        <w:rPr>
          <w:rFonts w:ascii="宋体" w:hAnsi="宋体"/>
          <w:color w:val="auto"/>
          <w:szCs w:val="21"/>
          <w:highlight w:val="none"/>
        </w:rPr>
      </w:pPr>
      <w:r>
        <w:rPr>
          <w:rFonts w:hint="eastAsia" w:ascii="宋体" w:hAnsi="宋体"/>
          <w:color w:val="auto"/>
          <w:szCs w:val="21"/>
          <w:highlight w:val="none"/>
        </w:rPr>
        <w:t>1.7.2向甲方（采购人）</w:t>
      </w:r>
      <w:r>
        <w:rPr>
          <w:rFonts w:hint="eastAsia" w:ascii="宋体" w:cs="宋体"/>
          <w:color w:val="auto"/>
          <w:szCs w:val="21"/>
          <w:highlight w:val="none"/>
          <w:u w:color="000000"/>
        </w:rPr>
        <w:t>所在地</w:t>
      </w:r>
      <w:r>
        <w:rPr>
          <w:rFonts w:hint="eastAsia" w:ascii="宋体" w:hAnsi="宋体"/>
          <w:color w:val="auto"/>
          <w:szCs w:val="21"/>
          <w:highlight w:val="none"/>
        </w:rPr>
        <w:t>人民法院起诉。</w:t>
      </w:r>
    </w:p>
    <w:p>
      <w:pPr>
        <w:spacing w:line="360" w:lineRule="auto"/>
        <w:ind w:firstLine="482"/>
        <w:outlineLvl w:val="3"/>
        <w:rPr>
          <w:rFonts w:ascii="宋体" w:hAnsi="宋体"/>
          <w:b/>
          <w:bCs/>
          <w:color w:val="auto"/>
          <w:szCs w:val="21"/>
          <w:highlight w:val="none"/>
          <w:lang w:val="zh-CN"/>
        </w:rPr>
      </w:pPr>
      <w:bookmarkStart w:id="593" w:name="_Toc15322"/>
      <w:bookmarkStart w:id="594" w:name="_Toc7245"/>
      <w:bookmarkStart w:id="595" w:name="_Toc11173"/>
      <w:r>
        <w:rPr>
          <w:rFonts w:hint="eastAsia" w:ascii="宋体" w:hAnsi="宋体"/>
          <w:b/>
          <w:bCs/>
          <w:color w:val="auto"/>
          <w:szCs w:val="21"/>
          <w:highlight w:val="none"/>
          <w:lang w:val="zh-CN"/>
        </w:rPr>
        <w:t>1.8</w:t>
      </w:r>
      <w:r>
        <w:rPr>
          <w:rFonts w:ascii="宋体" w:hAnsi="宋体"/>
          <w:b/>
          <w:bCs/>
          <w:color w:val="auto"/>
          <w:szCs w:val="21"/>
          <w:highlight w:val="none"/>
          <w:lang w:val="zh-CN"/>
        </w:rPr>
        <w:t xml:space="preserve"> 合同生效</w:t>
      </w:r>
      <w:bookmarkEnd w:id="593"/>
      <w:bookmarkEnd w:id="594"/>
      <w:bookmarkEnd w:id="595"/>
    </w:p>
    <w:p>
      <w:pPr>
        <w:spacing w:line="360" w:lineRule="auto"/>
        <w:ind w:firstLine="480"/>
        <w:rPr>
          <w:rFonts w:ascii="宋体" w:hAnsi="宋体"/>
          <w:color w:val="auto"/>
          <w:szCs w:val="21"/>
          <w:highlight w:val="none"/>
        </w:rPr>
      </w:pPr>
      <w:r>
        <w:rPr>
          <w:rFonts w:ascii="宋体" w:hAnsi="宋体"/>
          <w:color w:val="auto"/>
          <w:szCs w:val="21"/>
          <w:highlight w:val="none"/>
        </w:rPr>
        <w:t>本合同自</w:t>
      </w:r>
      <w:r>
        <w:rPr>
          <w:rFonts w:hint="eastAsia" w:ascii="宋体" w:hAnsi="宋体"/>
          <w:color w:val="auto"/>
          <w:szCs w:val="21"/>
          <w:highlight w:val="none"/>
        </w:rPr>
        <w:t>双方当事人盖章时</w:t>
      </w:r>
      <w:r>
        <w:rPr>
          <w:rFonts w:ascii="宋体" w:hAnsi="宋体"/>
          <w:color w:val="auto"/>
          <w:szCs w:val="21"/>
          <w:highlight w:val="none"/>
        </w:rPr>
        <w:t>生效。</w:t>
      </w:r>
    </w:p>
    <w:p>
      <w:pPr>
        <w:autoSpaceDE w:val="0"/>
        <w:autoSpaceDN w:val="0"/>
        <w:adjustRightInd w:val="0"/>
        <w:spacing w:line="560" w:lineRule="exact"/>
        <w:ind w:firstLine="480"/>
        <w:rPr>
          <w:rFonts w:ascii="宋体" w:hAnsi="宋体"/>
          <w:color w:val="auto"/>
          <w:szCs w:val="21"/>
          <w:highlight w:val="none"/>
          <w:lang w:val="zh-CN"/>
        </w:rPr>
      </w:pPr>
    </w:p>
    <w:p>
      <w:pPr>
        <w:autoSpaceDE w:val="0"/>
        <w:autoSpaceDN w:val="0"/>
        <w:adjustRightInd w:val="0"/>
        <w:spacing w:line="560" w:lineRule="exact"/>
        <w:ind w:firstLine="480"/>
        <w:rPr>
          <w:rFonts w:ascii="宋体" w:hAnsi="宋体"/>
          <w:color w:val="auto"/>
          <w:szCs w:val="21"/>
          <w:highlight w:val="none"/>
          <w:lang w:val="zh-CN"/>
        </w:rPr>
      </w:pPr>
    </w:p>
    <w:p>
      <w:pPr>
        <w:autoSpaceDE w:val="0"/>
        <w:autoSpaceDN w:val="0"/>
        <w:adjustRightInd w:val="0"/>
        <w:spacing w:line="560" w:lineRule="exact"/>
        <w:ind w:firstLine="480"/>
        <w:rPr>
          <w:rFonts w:ascii="宋体" w:hAnsi="宋体"/>
          <w:bCs/>
          <w:color w:val="auto"/>
          <w:szCs w:val="21"/>
          <w:highlight w:val="none"/>
          <w:lang w:val="zh-CN"/>
        </w:rPr>
      </w:pPr>
      <w:r>
        <w:rPr>
          <w:rFonts w:hint="eastAsia" w:ascii="宋体" w:hAnsi="宋体"/>
          <w:bCs/>
          <w:color w:val="auto"/>
          <w:szCs w:val="21"/>
          <w:highlight w:val="none"/>
          <w:lang w:val="zh-CN"/>
        </w:rPr>
        <w:t xml:space="preserve">甲 </w:t>
      </w:r>
      <w:r>
        <w:rPr>
          <w:rFonts w:ascii="宋体" w:hAnsi="宋体"/>
          <w:bCs/>
          <w:color w:val="auto"/>
          <w:szCs w:val="21"/>
          <w:highlight w:val="none"/>
          <w:lang w:val="zh-CN"/>
        </w:rPr>
        <w:t xml:space="preserve">   </w:t>
      </w:r>
      <w:r>
        <w:rPr>
          <w:rFonts w:hint="eastAsia" w:ascii="宋体" w:hAnsi="宋体"/>
          <w:bCs/>
          <w:color w:val="auto"/>
          <w:szCs w:val="21"/>
          <w:highlight w:val="none"/>
          <w:lang w:val="zh-CN"/>
        </w:rPr>
        <w:t>方：</w:t>
      </w:r>
      <w:r>
        <w:rPr>
          <w:rFonts w:hint="eastAsia" w:ascii="宋体" w:hAnsi="宋体"/>
          <w:bCs/>
          <w:color w:val="auto"/>
          <w:szCs w:val="21"/>
          <w:highlight w:val="none"/>
          <w:u w:val="single"/>
          <w:lang w:val="zh-CN"/>
        </w:rPr>
        <w:t xml:space="preserve">    （单位盖章）     </w:t>
      </w:r>
      <w:r>
        <w:rPr>
          <w:rFonts w:hint="eastAsia" w:ascii="宋体" w:hAnsi="宋体"/>
          <w:bCs/>
          <w:color w:val="auto"/>
          <w:szCs w:val="21"/>
          <w:highlight w:val="none"/>
          <w:lang w:val="zh-CN"/>
        </w:rPr>
        <w:t xml:space="preserve">          乙</w:t>
      </w:r>
      <w:r>
        <w:rPr>
          <w:rFonts w:hint="eastAsia" w:ascii="宋体" w:hAnsi="宋体"/>
          <w:bCs/>
          <w:color w:val="auto"/>
          <w:szCs w:val="21"/>
          <w:highlight w:val="none"/>
        </w:rPr>
        <w:t xml:space="preserve">    </w:t>
      </w:r>
      <w:r>
        <w:rPr>
          <w:rFonts w:hint="eastAsia" w:ascii="宋体" w:hAnsi="宋体"/>
          <w:bCs/>
          <w:color w:val="auto"/>
          <w:szCs w:val="21"/>
          <w:highlight w:val="none"/>
          <w:lang w:val="zh-CN"/>
        </w:rPr>
        <w:t>方：</w:t>
      </w:r>
      <w:r>
        <w:rPr>
          <w:rFonts w:hint="eastAsia" w:ascii="宋体" w:hAnsi="宋体"/>
          <w:bCs/>
          <w:color w:val="auto"/>
          <w:szCs w:val="21"/>
          <w:highlight w:val="none"/>
          <w:u w:val="single"/>
          <w:lang w:val="zh-CN"/>
        </w:rPr>
        <w:t xml:space="preserve">    （单位盖章）     </w:t>
      </w:r>
    </w:p>
    <w:p>
      <w:pPr>
        <w:autoSpaceDE w:val="0"/>
        <w:autoSpaceDN w:val="0"/>
        <w:adjustRightInd w:val="0"/>
        <w:spacing w:line="560" w:lineRule="exact"/>
        <w:ind w:firstLine="480"/>
        <w:rPr>
          <w:rFonts w:ascii="宋体" w:hAnsi="宋体"/>
          <w:color w:val="auto"/>
          <w:szCs w:val="21"/>
          <w:highlight w:val="none"/>
          <w:lang w:val="zh-CN"/>
        </w:rPr>
      </w:pPr>
      <w:r>
        <w:rPr>
          <w:rFonts w:hint="eastAsia" w:ascii="宋体" w:hAnsi="宋体"/>
          <w:color w:val="auto"/>
          <w:szCs w:val="21"/>
          <w:highlight w:val="none"/>
          <w:lang w:val="zh-CN"/>
        </w:rPr>
        <w:t xml:space="preserve">法定代表人                             </w:t>
      </w:r>
      <w:r>
        <w:rPr>
          <w:rFonts w:ascii="宋体" w:hAnsi="宋体"/>
          <w:color w:val="auto"/>
          <w:szCs w:val="21"/>
          <w:highlight w:val="none"/>
          <w:lang w:val="zh-CN"/>
        </w:rPr>
        <w:t xml:space="preserve">  </w:t>
      </w:r>
      <w:r>
        <w:rPr>
          <w:rFonts w:hint="eastAsia" w:ascii="宋体" w:hAnsi="宋体"/>
          <w:color w:val="auto"/>
          <w:szCs w:val="21"/>
          <w:highlight w:val="none"/>
          <w:lang w:val="zh-CN"/>
        </w:rPr>
        <w:t>法定代表人</w:t>
      </w:r>
    </w:p>
    <w:p>
      <w:pPr>
        <w:autoSpaceDE w:val="0"/>
        <w:autoSpaceDN w:val="0"/>
        <w:adjustRightInd w:val="0"/>
        <w:spacing w:line="560" w:lineRule="exact"/>
        <w:ind w:firstLine="480"/>
        <w:rPr>
          <w:rFonts w:ascii="宋体" w:hAnsi="宋体"/>
          <w:color w:val="auto"/>
          <w:szCs w:val="21"/>
          <w:highlight w:val="none"/>
          <w:lang w:val="zh-CN"/>
        </w:rPr>
      </w:pPr>
      <w:r>
        <w:rPr>
          <w:rFonts w:hint="eastAsia" w:ascii="宋体" w:hAnsi="宋体"/>
          <w:color w:val="auto"/>
          <w:szCs w:val="21"/>
          <w:highlight w:val="none"/>
          <w:lang w:val="zh-CN"/>
        </w:rPr>
        <w:t>或授权代表（签字）：                     或授权代表（签字）：</w:t>
      </w:r>
    </w:p>
    <w:p>
      <w:pPr>
        <w:widowControl/>
        <w:spacing w:line="560" w:lineRule="exact"/>
        <w:ind w:firstLine="480"/>
        <w:jc w:val="left"/>
        <w:rPr>
          <w:rFonts w:ascii="宋体" w:hAnsi="宋体"/>
          <w:bCs/>
          <w:color w:val="auto"/>
          <w:szCs w:val="21"/>
          <w:highlight w:val="none"/>
        </w:rPr>
      </w:pPr>
      <w:bookmarkStart w:id="596" w:name="_Toc331685783"/>
      <w:r>
        <w:rPr>
          <w:rFonts w:hint="eastAsia" w:ascii="宋体" w:hAnsi="宋体"/>
          <w:bCs/>
          <w:color w:val="auto"/>
          <w:szCs w:val="21"/>
          <w:highlight w:val="none"/>
        </w:rPr>
        <w:t>时间：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               时间：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pPr>
        <w:widowControl/>
        <w:ind w:firstLine="482"/>
        <w:jc w:val="left"/>
        <w:rPr>
          <w:rFonts w:ascii="宋体" w:hAnsi="宋体"/>
          <w:b/>
          <w:color w:val="auto"/>
          <w:szCs w:val="21"/>
          <w:highlight w:val="none"/>
        </w:rPr>
      </w:pPr>
    </w:p>
    <w:p>
      <w:pPr>
        <w:widowControl/>
        <w:ind w:firstLine="482"/>
        <w:jc w:val="left"/>
        <w:rPr>
          <w:rFonts w:ascii="宋体" w:hAnsi="宋体"/>
          <w:b/>
          <w:color w:val="auto"/>
          <w:szCs w:val="21"/>
          <w:highlight w:val="none"/>
        </w:rPr>
      </w:pPr>
    </w:p>
    <w:p>
      <w:pPr>
        <w:widowControl/>
        <w:ind w:firstLine="482"/>
        <w:jc w:val="center"/>
        <w:rPr>
          <w:rFonts w:ascii="宋体" w:hAnsi="宋体"/>
          <w:b/>
          <w:color w:val="auto"/>
          <w:szCs w:val="21"/>
          <w:highlight w:val="none"/>
        </w:rPr>
      </w:pPr>
      <w:r>
        <w:rPr>
          <w:rFonts w:hint="eastAsia" w:ascii="宋体" w:hAnsi="宋体"/>
          <w:b/>
          <w:color w:val="auto"/>
          <w:szCs w:val="21"/>
          <w:highlight w:val="none"/>
        </w:rPr>
        <w:t>第二部分</w:t>
      </w:r>
      <w:r>
        <w:rPr>
          <w:rFonts w:ascii="宋体" w:hAnsi="宋体"/>
          <w:b/>
          <w:color w:val="auto"/>
          <w:szCs w:val="21"/>
          <w:highlight w:val="none"/>
        </w:rPr>
        <w:t xml:space="preserve"> </w:t>
      </w:r>
      <w:r>
        <w:rPr>
          <w:rFonts w:hint="eastAsia" w:ascii="宋体" w:hAnsi="宋体"/>
          <w:b/>
          <w:color w:val="auto"/>
          <w:szCs w:val="21"/>
          <w:highlight w:val="none"/>
        </w:rPr>
        <w:t>合同一般条款</w:t>
      </w:r>
      <w:bookmarkEnd w:id="596"/>
    </w:p>
    <w:p>
      <w:pPr>
        <w:spacing w:line="360" w:lineRule="auto"/>
        <w:ind w:firstLine="482"/>
        <w:outlineLvl w:val="3"/>
        <w:rPr>
          <w:rFonts w:ascii="宋体" w:hAnsi="宋体"/>
          <w:b/>
          <w:bCs/>
          <w:color w:val="auto"/>
          <w:szCs w:val="21"/>
          <w:highlight w:val="none"/>
          <w:lang w:val="zh-CN"/>
        </w:rPr>
      </w:pPr>
      <w:bookmarkStart w:id="597" w:name="_Ref467378404"/>
      <w:bookmarkStart w:id="598" w:name="_Ref467379205"/>
      <w:bookmarkStart w:id="599" w:name="_Ref467379101"/>
      <w:bookmarkStart w:id="600" w:name="_Toc487900349"/>
      <w:bookmarkStart w:id="601" w:name="_Ref467379109"/>
      <w:bookmarkStart w:id="602" w:name="_Toc19614"/>
      <w:bookmarkStart w:id="603" w:name="_Toc259093669"/>
      <w:bookmarkStart w:id="604" w:name="_Toc16917"/>
      <w:bookmarkStart w:id="605" w:name="_Ref467378499"/>
      <w:bookmarkStart w:id="606" w:name="_Ref467379195"/>
      <w:bookmarkStart w:id="607" w:name="_Ref467378463"/>
      <w:bookmarkStart w:id="608" w:name="_Toc28763"/>
      <w:bookmarkStart w:id="609" w:name="_Ref467379094"/>
      <w:bookmarkStart w:id="610" w:name="_Toc279701240"/>
      <w:bookmarkStart w:id="611" w:name="_Ref467379214"/>
      <w:bookmarkStart w:id="612" w:name="_Ref467379225"/>
      <w:r>
        <w:rPr>
          <w:rFonts w:hint="eastAsia" w:ascii="宋体" w:hAnsi="宋体"/>
          <w:b/>
          <w:bCs/>
          <w:color w:val="auto"/>
          <w:szCs w:val="21"/>
          <w:highlight w:val="none"/>
          <w:lang w:val="zh-CN"/>
        </w:rPr>
        <w:t>2.1</w:t>
      </w:r>
      <w:r>
        <w:rPr>
          <w:rFonts w:ascii="宋体" w:hAnsi="宋体"/>
          <w:b/>
          <w:bCs/>
          <w:color w:val="auto"/>
          <w:szCs w:val="21"/>
          <w:highlight w:val="none"/>
          <w:lang w:val="zh-CN"/>
        </w:rPr>
        <w:t xml:space="preserve"> 定义</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spacing w:line="360" w:lineRule="auto"/>
        <w:ind w:firstLine="480"/>
        <w:rPr>
          <w:rFonts w:ascii="宋体" w:hAnsi="宋体"/>
          <w:color w:val="auto"/>
          <w:szCs w:val="21"/>
          <w:highlight w:val="none"/>
        </w:rPr>
      </w:pPr>
      <w:r>
        <w:rPr>
          <w:rFonts w:ascii="宋体" w:hAnsi="宋体"/>
          <w:color w:val="auto"/>
          <w:szCs w:val="21"/>
          <w:highlight w:val="none"/>
        </w:rPr>
        <w:t>本合同中的下列</w:t>
      </w:r>
      <w:r>
        <w:rPr>
          <w:rFonts w:hint="eastAsia" w:ascii="宋体" w:hAnsi="宋体"/>
          <w:color w:val="auto"/>
          <w:szCs w:val="21"/>
          <w:highlight w:val="none"/>
        </w:rPr>
        <w:t>词</w:t>
      </w:r>
      <w:r>
        <w:rPr>
          <w:rFonts w:ascii="宋体" w:hAnsi="宋体"/>
          <w:color w:val="auto"/>
          <w:szCs w:val="21"/>
          <w:highlight w:val="none"/>
        </w:rPr>
        <w:t>语应</w:t>
      </w:r>
      <w:r>
        <w:rPr>
          <w:rFonts w:hint="eastAsia" w:ascii="宋体" w:hAnsi="宋体"/>
          <w:color w:val="auto"/>
          <w:szCs w:val="21"/>
          <w:highlight w:val="none"/>
        </w:rPr>
        <w:t>按以下内容进行</w:t>
      </w:r>
      <w:r>
        <w:rPr>
          <w:rFonts w:ascii="宋体" w:hAnsi="宋体"/>
          <w:color w:val="auto"/>
          <w:szCs w:val="21"/>
          <w:highlight w:val="none"/>
        </w:rPr>
        <w:t>解释：</w:t>
      </w:r>
    </w:p>
    <w:p>
      <w:pPr>
        <w:spacing w:line="360" w:lineRule="auto"/>
        <w:ind w:firstLine="48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.1</w:t>
      </w:r>
      <w:r>
        <w:rPr>
          <w:rFonts w:ascii="宋体" w:hAnsi="宋体"/>
          <w:color w:val="auto"/>
          <w:szCs w:val="21"/>
          <w:highlight w:val="none"/>
        </w:rPr>
        <w:t>“合同”系指采购人和中标</w:t>
      </w:r>
      <w:r>
        <w:rPr>
          <w:rFonts w:hint="eastAsia" w:ascii="宋体" w:hAnsi="宋体"/>
          <w:color w:val="auto"/>
          <w:szCs w:val="21"/>
          <w:highlight w:val="none"/>
        </w:rPr>
        <w:t>人</w:t>
      </w:r>
      <w:r>
        <w:rPr>
          <w:rFonts w:ascii="宋体" w:hAnsi="宋体"/>
          <w:color w:val="auto"/>
          <w:szCs w:val="21"/>
          <w:highlight w:val="none"/>
        </w:rPr>
        <w:t>签订的载明双方当事人所达成的协议，并包括所有的附件、附录和构成合同的其他文件。</w:t>
      </w:r>
    </w:p>
    <w:p>
      <w:pPr>
        <w:spacing w:line="360" w:lineRule="auto"/>
        <w:ind w:firstLine="48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1.2“合同价”系指根据合同约定，中标</w:t>
      </w:r>
      <w:r>
        <w:rPr>
          <w:rFonts w:hint="eastAsia" w:ascii="宋体" w:hAnsi="宋体"/>
          <w:color w:val="auto"/>
          <w:szCs w:val="21"/>
          <w:highlight w:val="none"/>
        </w:rPr>
        <w:t>人</w:t>
      </w:r>
      <w:r>
        <w:rPr>
          <w:rFonts w:ascii="宋体" w:hAnsi="宋体"/>
          <w:color w:val="auto"/>
          <w:szCs w:val="21"/>
          <w:highlight w:val="none"/>
        </w:rPr>
        <w:t>在完全履行合同义务后</w:t>
      </w:r>
      <w:r>
        <w:rPr>
          <w:rFonts w:hint="eastAsia" w:ascii="宋体" w:hAnsi="宋体"/>
          <w:color w:val="auto"/>
          <w:szCs w:val="21"/>
          <w:highlight w:val="none"/>
        </w:rPr>
        <w:t>，</w:t>
      </w:r>
      <w:r>
        <w:rPr>
          <w:rFonts w:ascii="宋体" w:hAnsi="宋体"/>
          <w:color w:val="auto"/>
          <w:szCs w:val="21"/>
          <w:highlight w:val="none"/>
        </w:rPr>
        <w:t>采购人应支付给中标人的价格。</w:t>
      </w:r>
    </w:p>
    <w:p>
      <w:pPr>
        <w:spacing w:line="360" w:lineRule="auto"/>
        <w:ind w:firstLine="48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1.3“</w:t>
      </w:r>
      <w:r>
        <w:rPr>
          <w:rFonts w:hint="eastAsia" w:ascii="宋体" w:hAnsi="宋体"/>
          <w:color w:val="auto"/>
          <w:szCs w:val="21"/>
          <w:highlight w:val="none"/>
        </w:rPr>
        <w:t>服务</w:t>
      </w:r>
      <w:r>
        <w:rPr>
          <w:rFonts w:ascii="宋体" w:hAnsi="宋体"/>
          <w:color w:val="auto"/>
          <w:szCs w:val="21"/>
          <w:highlight w:val="none"/>
        </w:rPr>
        <w:t>”系指</w:t>
      </w:r>
      <w:r>
        <w:rPr>
          <w:rFonts w:hint="eastAsia" w:ascii="宋体" w:hAnsi="宋体"/>
          <w:color w:val="auto"/>
          <w:szCs w:val="21"/>
          <w:highlight w:val="none"/>
        </w:rPr>
        <w:t>中标人</w:t>
      </w:r>
      <w:r>
        <w:rPr>
          <w:rFonts w:ascii="宋体" w:hAnsi="宋体"/>
          <w:color w:val="auto"/>
          <w:szCs w:val="21"/>
          <w:highlight w:val="none"/>
        </w:rPr>
        <w:t>根据合同约定应向采购人</w:t>
      </w:r>
      <w:r>
        <w:rPr>
          <w:rFonts w:hint="eastAsia" w:ascii="宋体" w:hAnsi="宋体"/>
          <w:color w:val="auto"/>
          <w:szCs w:val="21"/>
          <w:highlight w:val="none"/>
        </w:rPr>
        <w:t>履行</w:t>
      </w:r>
      <w:r>
        <w:rPr>
          <w:rFonts w:ascii="宋体" w:hAnsi="宋体"/>
          <w:color w:val="auto"/>
          <w:szCs w:val="21"/>
          <w:highlight w:val="none"/>
        </w:rPr>
        <w:t>的</w:t>
      </w:r>
      <w:r>
        <w:rPr>
          <w:rFonts w:hint="eastAsia" w:ascii="宋体" w:hAnsi="宋体"/>
          <w:color w:val="auto"/>
          <w:szCs w:val="21"/>
          <w:highlight w:val="none"/>
        </w:rPr>
        <w:t>除货物和工程以外的其他政府采购对象，包括采购人自身需要的服务和向社会公众提供的公共服务。</w:t>
      </w:r>
    </w:p>
    <w:p>
      <w:pPr>
        <w:spacing w:line="360" w:lineRule="auto"/>
        <w:ind w:firstLine="480"/>
        <w:rPr>
          <w:rFonts w:ascii="宋体" w:hAnsi="宋体"/>
          <w:color w:val="auto"/>
          <w:szCs w:val="21"/>
          <w:highlight w:val="none"/>
        </w:rPr>
      </w:pPr>
      <w:bookmarkStart w:id="613" w:name="_Ref467378840"/>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甲方</w:t>
      </w:r>
      <w:r>
        <w:rPr>
          <w:rFonts w:ascii="宋体" w:hAnsi="宋体"/>
          <w:color w:val="auto"/>
          <w:szCs w:val="21"/>
          <w:highlight w:val="none"/>
        </w:rPr>
        <w:t>”系指与</w:t>
      </w:r>
      <w:r>
        <w:rPr>
          <w:rFonts w:hint="eastAsia" w:ascii="宋体" w:hAnsi="宋体"/>
          <w:color w:val="auto"/>
          <w:szCs w:val="21"/>
          <w:highlight w:val="none"/>
        </w:rPr>
        <w:t>中标人</w:t>
      </w:r>
      <w:r>
        <w:rPr>
          <w:rFonts w:ascii="宋体" w:hAnsi="宋体"/>
          <w:color w:val="auto"/>
          <w:szCs w:val="21"/>
          <w:highlight w:val="none"/>
        </w:rPr>
        <w:t>签署合同的采购人</w:t>
      </w:r>
      <w:bookmarkEnd w:id="613"/>
      <w:r>
        <w:rPr>
          <w:rFonts w:hint="eastAsia" w:ascii="宋体" w:hAnsi="宋体"/>
          <w:color w:val="auto"/>
          <w:szCs w:val="21"/>
          <w:highlight w:val="none"/>
        </w:rPr>
        <w:t>；采购人委托采购代理机构代表其与乙方签订合同的，采购人的授权委托书作为合同附件。</w:t>
      </w:r>
    </w:p>
    <w:p>
      <w:pPr>
        <w:spacing w:line="360" w:lineRule="auto"/>
        <w:ind w:firstLine="480"/>
        <w:rPr>
          <w:rFonts w:ascii="宋体" w:hAnsi="宋体"/>
          <w:color w:val="auto"/>
          <w:szCs w:val="21"/>
          <w:highlight w:val="none"/>
        </w:rPr>
      </w:pPr>
      <w:bookmarkStart w:id="614" w:name="_Ref467379400"/>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5</w:t>
      </w:r>
      <w:r>
        <w:rPr>
          <w:rFonts w:ascii="宋体" w:hAnsi="宋体"/>
          <w:color w:val="auto"/>
          <w:szCs w:val="21"/>
          <w:highlight w:val="none"/>
        </w:rPr>
        <w:t>“乙方”系指根据合同约定</w:t>
      </w:r>
      <w:r>
        <w:rPr>
          <w:rFonts w:hint="eastAsia" w:ascii="宋体" w:hAnsi="宋体"/>
          <w:color w:val="auto"/>
          <w:szCs w:val="21"/>
          <w:highlight w:val="none"/>
        </w:rPr>
        <w:t>提供服务</w:t>
      </w:r>
      <w:r>
        <w:rPr>
          <w:rFonts w:ascii="宋体" w:hAnsi="宋体"/>
          <w:color w:val="auto"/>
          <w:szCs w:val="21"/>
          <w:highlight w:val="none"/>
        </w:rPr>
        <w:t>的中标人</w:t>
      </w:r>
      <w:bookmarkEnd w:id="614"/>
      <w:r>
        <w:rPr>
          <w:rFonts w:hint="eastAsia" w:ascii="宋体" w:hAnsi="宋体"/>
          <w:color w:val="auto"/>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rPr>
          <w:rFonts w:ascii="宋体" w:hAnsi="宋体"/>
          <w:color w:val="auto"/>
          <w:szCs w:val="21"/>
          <w:highlight w:val="none"/>
        </w:rPr>
      </w:pPr>
      <w:bookmarkStart w:id="615" w:name="_Ref467379436"/>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“现场”系指合同约定</w:t>
      </w:r>
      <w:r>
        <w:rPr>
          <w:rFonts w:hint="eastAsia" w:ascii="宋体" w:hAnsi="宋体"/>
          <w:color w:val="auto"/>
          <w:szCs w:val="21"/>
          <w:highlight w:val="none"/>
        </w:rPr>
        <w:t>提供服务</w:t>
      </w:r>
      <w:r>
        <w:rPr>
          <w:rFonts w:ascii="宋体" w:hAnsi="宋体"/>
          <w:color w:val="auto"/>
          <w:szCs w:val="21"/>
          <w:highlight w:val="none"/>
        </w:rPr>
        <w:t>的地点。</w:t>
      </w:r>
      <w:bookmarkEnd w:id="615"/>
    </w:p>
    <w:p>
      <w:pPr>
        <w:spacing w:line="360" w:lineRule="auto"/>
        <w:ind w:firstLine="482"/>
        <w:outlineLvl w:val="3"/>
        <w:rPr>
          <w:rFonts w:ascii="宋体" w:hAnsi="宋体"/>
          <w:b/>
          <w:bCs/>
          <w:color w:val="auto"/>
          <w:szCs w:val="21"/>
          <w:highlight w:val="none"/>
          <w:lang w:val="zh-CN"/>
        </w:rPr>
      </w:pPr>
      <w:bookmarkStart w:id="616" w:name="_Toc32504"/>
      <w:bookmarkStart w:id="617" w:name="_Toc279701241"/>
      <w:bookmarkStart w:id="618" w:name="_Toc27635"/>
      <w:bookmarkStart w:id="619" w:name="_Toc13336"/>
      <w:bookmarkStart w:id="620" w:name="_Toc259093670"/>
      <w:bookmarkStart w:id="621" w:name="_Toc487900350"/>
      <w:r>
        <w:rPr>
          <w:rFonts w:hint="eastAsia" w:ascii="宋体" w:hAnsi="宋体"/>
          <w:b/>
          <w:bCs/>
          <w:color w:val="auto"/>
          <w:szCs w:val="21"/>
          <w:highlight w:val="none"/>
          <w:lang w:val="zh-CN"/>
        </w:rPr>
        <w:t>2.</w:t>
      </w:r>
      <w:r>
        <w:rPr>
          <w:rFonts w:ascii="宋体" w:hAnsi="宋体"/>
          <w:b/>
          <w:bCs/>
          <w:color w:val="auto"/>
          <w:szCs w:val="21"/>
          <w:highlight w:val="none"/>
          <w:lang w:val="zh-CN"/>
        </w:rPr>
        <w:t>2 技术规范</w:t>
      </w:r>
      <w:bookmarkEnd w:id="616"/>
      <w:bookmarkEnd w:id="617"/>
      <w:bookmarkEnd w:id="618"/>
      <w:bookmarkEnd w:id="619"/>
      <w:bookmarkEnd w:id="620"/>
      <w:bookmarkEnd w:id="621"/>
    </w:p>
    <w:p>
      <w:pPr>
        <w:spacing w:line="360" w:lineRule="auto"/>
        <w:ind w:firstLine="480"/>
        <w:rPr>
          <w:rFonts w:ascii="宋体" w:hAnsi="宋体"/>
          <w:color w:val="auto"/>
          <w:szCs w:val="21"/>
          <w:highlight w:val="none"/>
        </w:rPr>
      </w:pPr>
      <w:r>
        <w:rPr>
          <w:rFonts w:ascii="宋体" w:hAnsi="宋体"/>
          <w:color w:val="auto"/>
          <w:szCs w:val="21"/>
          <w:highlight w:val="none"/>
        </w:rPr>
        <w:t>货物所应遵守的技术规范应与采购文件规定的技术规范和技术规范附件(如果有的话)及其技术规范偏差表(如果被甲方接受的话)相一致</w:t>
      </w:r>
      <w:r>
        <w:rPr>
          <w:rFonts w:hint="eastAsia" w:ascii="宋体" w:hAnsi="宋体"/>
          <w:color w:val="auto"/>
          <w:szCs w:val="21"/>
          <w:highlight w:val="none"/>
        </w:rPr>
        <w:t>；</w:t>
      </w:r>
      <w:r>
        <w:rPr>
          <w:rFonts w:ascii="宋体" w:hAnsi="宋体"/>
          <w:color w:val="auto"/>
          <w:szCs w:val="21"/>
          <w:highlight w:val="none"/>
        </w:rPr>
        <w:t>如果采购文件中没有技术规范的相应说明，那么应以国家有关部门最新颁布的相应标准</w:t>
      </w:r>
      <w:r>
        <w:rPr>
          <w:rFonts w:hint="eastAsia" w:ascii="宋体" w:hAnsi="宋体"/>
          <w:color w:val="auto"/>
          <w:szCs w:val="21"/>
          <w:highlight w:val="none"/>
        </w:rPr>
        <w:t>和</w:t>
      </w:r>
      <w:r>
        <w:rPr>
          <w:rFonts w:ascii="宋体" w:hAnsi="宋体"/>
          <w:color w:val="auto"/>
          <w:szCs w:val="21"/>
          <w:highlight w:val="none"/>
        </w:rPr>
        <w:t>规范为准。</w:t>
      </w:r>
    </w:p>
    <w:p>
      <w:pPr>
        <w:spacing w:line="360" w:lineRule="auto"/>
        <w:ind w:firstLine="482"/>
        <w:outlineLvl w:val="3"/>
        <w:rPr>
          <w:rFonts w:ascii="宋体" w:hAnsi="宋体"/>
          <w:b/>
          <w:bCs/>
          <w:color w:val="auto"/>
          <w:szCs w:val="21"/>
          <w:highlight w:val="none"/>
          <w:lang w:val="zh-CN"/>
        </w:rPr>
      </w:pPr>
      <w:bookmarkStart w:id="622" w:name="_Toc31634"/>
      <w:bookmarkStart w:id="623" w:name="_Toc9829"/>
      <w:bookmarkStart w:id="624" w:name="_Toc279701242"/>
      <w:bookmarkStart w:id="625" w:name="_Toc27853"/>
      <w:bookmarkStart w:id="626" w:name="_Toc259093671"/>
      <w:bookmarkStart w:id="627" w:name="_Toc487900351"/>
      <w:r>
        <w:rPr>
          <w:rFonts w:hint="eastAsia" w:ascii="宋体" w:hAnsi="宋体"/>
          <w:b/>
          <w:bCs/>
          <w:color w:val="auto"/>
          <w:szCs w:val="21"/>
          <w:highlight w:val="none"/>
          <w:lang w:val="zh-CN"/>
        </w:rPr>
        <w:t>2.</w:t>
      </w:r>
      <w:r>
        <w:rPr>
          <w:rFonts w:ascii="宋体" w:hAnsi="宋体"/>
          <w:b/>
          <w:bCs/>
          <w:color w:val="auto"/>
          <w:szCs w:val="21"/>
          <w:highlight w:val="none"/>
          <w:lang w:val="zh-CN"/>
        </w:rPr>
        <w:t>3 知识产权</w:t>
      </w:r>
      <w:bookmarkEnd w:id="622"/>
      <w:bookmarkEnd w:id="623"/>
      <w:bookmarkEnd w:id="624"/>
      <w:bookmarkEnd w:id="625"/>
      <w:bookmarkEnd w:id="626"/>
      <w:bookmarkEnd w:id="627"/>
    </w:p>
    <w:p>
      <w:pPr>
        <w:spacing w:line="360" w:lineRule="auto"/>
        <w:ind w:firstLine="480"/>
        <w:rPr>
          <w:rFonts w:ascii="宋体" w:hAnsi="宋体"/>
          <w:color w:val="auto"/>
          <w:szCs w:val="21"/>
          <w:highlight w:val="none"/>
        </w:rPr>
      </w:pPr>
      <w:r>
        <w:rPr>
          <w:rFonts w:hint="eastAsia" w:ascii="宋体" w:hAnsi="宋体"/>
          <w:color w:val="auto"/>
          <w:szCs w:val="21"/>
          <w:highlight w:val="none"/>
        </w:rPr>
        <w:t>2.3.1乙</w:t>
      </w:r>
      <w:r>
        <w:rPr>
          <w:rFonts w:ascii="宋体" w:hAnsi="宋体"/>
          <w:color w:val="auto"/>
          <w:szCs w:val="21"/>
          <w:highlight w:val="none"/>
        </w:rPr>
        <w:t>方应保证</w:t>
      </w:r>
      <w:r>
        <w:rPr>
          <w:rFonts w:hint="eastAsia" w:ascii="宋体" w:hAnsi="宋体"/>
          <w:color w:val="auto"/>
          <w:szCs w:val="21"/>
          <w:highlight w:val="none"/>
        </w:rPr>
        <w:t>其提供的服务</w:t>
      </w:r>
      <w:r>
        <w:rPr>
          <w:rFonts w:ascii="宋体" w:hAnsi="宋体"/>
          <w:color w:val="auto"/>
          <w:szCs w:val="21"/>
          <w:highlight w:val="none"/>
        </w:rPr>
        <w:t>不受任何第三方提出的侵犯其著作权、商标权、专利权等知识产权方面的起诉</w:t>
      </w:r>
      <w:r>
        <w:rPr>
          <w:rFonts w:hint="eastAsia" w:ascii="宋体" w:hAnsi="宋体"/>
          <w:color w:val="auto"/>
          <w:szCs w:val="21"/>
          <w:highlight w:val="none"/>
        </w:rPr>
        <w:t>；</w:t>
      </w:r>
      <w:r>
        <w:rPr>
          <w:rFonts w:ascii="宋体" w:hAnsi="宋体"/>
          <w:color w:val="auto"/>
          <w:szCs w:val="21"/>
          <w:highlight w:val="none"/>
        </w:rPr>
        <w:t>如果任何第三方提出侵权</w:t>
      </w:r>
      <w:r>
        <w:rPr>
          <w:rFonts w:hint="eastAsia" w:ascii="宋体" w:hAnsi="宋体"/>
          <w:color w:val="auto"/>
          <w:szCs w:val="21"/>
          <w:highlight w:val="none"/>
        </w:rPr>
        <w:t>指控</w:t>
      </w:r>
      <w:r>
        <w:rPr>
          <w:rFonts w:ascii="宋体" w:hAnsi="宋体"/>
          <w:color w:val="auto"/>
          <w:szCs w:val="21"/>
          <w:highlight w:val="none"/>
        </w:rPr>
        <w:t>，那么乙方须与该第三方交涉并承担由此发生的一切责任、费用和赔偿</w:t>
      </w:r>
      <w:r>
        <w:rPr>
          <w:rFonts w:hint="eastAsia" w:ascii="宋体" w:hAnsi="宋体"/>
          <w:color w:val="auto"/>
          <w:szCs w:val="21"/>
          <w:highlight w:val="none"/>
        </w:rPr>
        <w:t>；</w:t>
      </w:r>
    </w:p>
    <w:p>
      <w:pPr>
        <w:spacing w:line="360" w:lineRule="auto"/>
        <w:ind w:firstLine="480"/>
        <w:rPr>
          <w:rFonts w:ascii="宋体" w:hAnsi="宋体"/>
          <w:color w:val="auto"/>
          <w:szCs w:val="21"/>
          <w:highlight w:val="none"/>
        </w:rPr>
      </w:pPr>
      <w:r>
        <w:rPr>
          <w:rFonts w:hint="eastAsia" w:ascii="宋体" w:hAnsi="宋体"/>
          <w:color w:val="auto"/>
          <w:szCs w:val="21"/>
          <w:highlight w:val="none"/>
        </w:rPr>
        <w:t>2.3.2具有知识产权的计算机软件等货物的知识产权归属，</w:t>
      </w:r>
      <w:r>
        <w:rPr>
          <w:rFonts w:ascii="宋体" w:hAnsi="宋体"/>
          <w:color w:val="auto"/>
          <w:szCs w:val="21"/>
          <w:highlight w:val="none"/>
        </w:rPr>
        <w:t>详见</w:t>
      </w:r>
      <w:r>
        <w:rPr>
          <w:rFonts w:ascii="宋体" w:hAnsi="宋体"/>
          <w:b/>
          <w:i/>
          <w:color w:val="auto"/>
          <w:szCs w:val="21"/>
          <w:highlight w:val="none"/>
          <w:u w:val="single"/>
        </w:rPr>
        <w:t>合同专用条款</w:t>
      </w:r>
      <w:r>
        <w:rPr>
          <w:rFonts w:ascii="宋体" w:hAnsi="宋体"/>
          <w:color w:val="auto"/>
          <w:szCs w:val="21"/>
          <w:highlight w:val="none"/>
        </w:rPr>
        <w:t>。</w:t>
      </w:r>
    </w:p>
    <w:p>
      <w:pPr>
        <w:spacing w:line="360" w:lineRule="auto"/>
        <w:ind w:firstLine="482"/>
        <w:outlineLvl w:val="3"/>
        <w:rPr>
          <w:rFonts w:ascii="宋体" w:hAnsi="宋体"/>
          <w:b/>
          <w:bCs/>
          <w:color w:val="auto"/>
          <w:szCs w:val="21"/>
          <w:highlight w:val="none"/>
          <w:lang w:val="zh-CN"/>
        </w:rPr>
      </w:pPr>
      <w:bookmarkStart w:id="628" w:name="_Ref467379536"/>
      <w:bookmarkStart w:id="629" w:name="_Ref467378541"/>
      <w:bookmarkStart w:id="630" w:name="_Ref467379527"/>
      <w:bookmarkStart w:id="631" w:name="_Ref467379542"/>
      <w:bookmarkStart w:id="632" w:name="_Toc279701245"/>
      <w:bookmarkStart w:id="633" w:name="_Toc259093674"/>
      <w:bookmarkStart w:id="634" w:name="_Ref467378591"/>
      <w:bookmarkStart w:id="635" w:name="_Toc487900354"/>
      <w:bookmarkStart w:id="636" w:name="_Toc26182"/>
      <w:bookmarkStart w:id="637" w:name="_Toc19074"/>
      <w:bookmarkStart w:id="638" w:name="_Toc30272"/>
      <w:r>
        <w:rPr>
          <w:rFonts w:hint="eastAsia" w:ascii="宋体" w:hAnsi="宋体"/>
          <w:b/>
          <w:bCs/>
          <w:color w:val="auto"/>
          <w:szCs w:val="21"/>
          <w:highlight w:val="none"/>
          <w:lang w:val="zh-CN"/>
        </w:rPr>
        <w:t>2.</w:t>
      </w:r>
      <w:bookmarkEnd w:id="628"/>
      <w:bookmarkEnd w:id="629"/>
      <w:bookmarkEnd w:id="630"/>
      <w:bookmarkEnd w:id="631"/>
      <w:bookmarkEnd w:id="632"/>
      <w:bookmarkEnd w:id="633"/>
      <w:bookmarkEnd w:id="634"/>
      <w:bookmarkEnd w:id="635"/>
      <w:r>
        <w:rPr>
          <w:rFonts w:ascii="宋体" w:hAnsi="宋体"/>
          <w:b/>
          <w:bCs/>
          <w:color w:val="auto"/>
          <w:szCs w:val="21"/>
          <w:highlight w:val="none"/>
          <w:lang w:val="zh-CN"/>
        </w:rPr>
        <w:t xml:space="preserve">4 </w:t>
      </w:r>
      <w:r>
        <w:rPr>
          <w:rFonts w:hint="eastAsia" w:ascii="宋体" w:hAnsi="宋体"/>
          <w:b/>
          <w:bCs/>
          <w:color w:val="auto"/>
          <w:szCs w:val="21"/>
          <w:highlight w:val="none"/>
          <w:lang w:val="zh-CN"/>
        </w:rPr>
        <w:t>履约检查和问题反馈</w:t>
      </w:r>
      <w:bookmarkEnd w:id="636"/>
      <w:bookmarkEnd w:id="637"/>
      <w:bookmarkEnd w:id="638"/>
    </w:p>
    <w:p>
      <w:pPr>
        <w:spacing w:line="360" w:lineRule="auto"/>
        <w:ind w:firstLine="480"/>
        <w:rPr>
          <w:rFonts w:ascii="宋体" w:hAnsi="宋体"/>
          <w:color w:val="auto"/>
          <w:szCs w:val="21"/>
          <w:highlight w:val="none"/>
        </w:rPr>
      </w:pPr>
      <w:bookmarkStart w:id="639" w:name="_Toc186431854"/>
      <w:bookmarkStart w:id="640" w:name="_Toc487900357"/>
      <w:bookmarkStart w:id="641" w:name="_Ref467379793"/>
      <w:bookmarkStart w:id="642" w:name="_Toc259093676"/>
      <w:bookmarkStart w:id="643" w:name="_Ref467379807"/>
      <w:bookmarkStart w:id="644" w:name="_Toc279701247"/>
      <w:r>
        <w:rPr>
          <w:rFonts w:hint="eastAsia" w:ascii="宋体" w:hAnsi="宋体"/>
          <w:color w:val="auto"/>
          <w:szCs w:val="21"/>
          <w:highlight w:val="none"/>
        </w:rPr>
        <w:t>2.4</w:t>
      </w:r>
      <w:r>
        <w:rPr>
          <w:rFonts w:ascii="宋体" w:hAnsi="宋体"/>
          <w:color w:val="auto"/>
          <w:szCs w:val="21"/>
          <w:highlight w:val="none"/>
        </w:rPr>
        <w:t>.1甲方</w:t>
      </w:r>
      <w:r>
        <w:rPr>
          <w:rFonts w:hint="eastAsia" w:ascii="宋体" w:hAnsi="宋体"/>
          <w:color w:val="auto"/>
          <w:szCs w:val="21"/>
          <w:highlight w:val="none"/>
        </w:rPr>
        <w:t>有权</w:t>
      </w:r>
      <w:r>
        <w:rPr>
          <w:rFonts w:ascii="宋体" w:hAnsi="宋体"/>
          <w:color w:val="auto"/>
          <w:szCs w:val="21"/>
          <w:highlight w:val="none"/>
        </w:rPr>
        <w:t>在其认为必要时</w:t>
      </w:r>
      <w:r>
        <w:rPr>
          <w:rFonts w:hint="eastAsia" w:ascii="宋体" w:hAnsi="宋体"/>
          <w:color w:val="auto"/>
          <w:szCs w:val="21"/>
          <w:highlight w:val="none"/>
        </w:rPr>
        <w:t>，对乙方是否能够按照合同约定提供服务进行履约检查，以确保乙方所提供的服务能够依约满足甲方项目需求，但不得因履约检查妨碍乙方的正常工作，乙方应予积极配合；</w:t>
      </w:r>
    </w:p>
    <w:p>
      <w:pPr>
        <w:spacing w:line="360" w:lineRule="auto"/>
        <w:ind w:firstLine="48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w:t>
      </w:r>
      <w:r>
        <w:rPr>
          <w:rFonts w:hint="eastAsia" w:ascii="宋体" w:hAnsi="宋体"/>
          <w:color w:val="auto"/>
          <w:szCs w:val="21"/>
          <w:highlight w:val="none"/>
        </w:rPr>
        <w:t>.2合同履行期间，甲方有权将履行过程中出现的问题反馈给乙方，双方当事人应以书面形式约定需要完善和改进的内容</w:t>
      </w:r>
      <w:bookmarkEnd w:id="639"/>
      <w:bookmarkStart w:id="645" w:name="_Toc186431855"/>
      <w:r>
        <w:rPr>
          <w:rFonts w:hint="eastAsia" w:ascii="宋体" w:hAnsi="宋体"/>
          <w:color w:val="auto"/>
          <w:szCs w:val="21"/>
          <w:highlight w:val="none"/>
        </w:rPr>
        <w:t>。</w:t>
      </w:r>
    </w:p>
    <w:bookmarkEnd w:id="645"/>
    <w:p>
      <w:pPr>
        <w:spacing w:line="360" w:lineRule="auto"/>
        <w:ind w:firstLine="482"/>
        <w:outlineLvl w:val="3"/>
        <w:rPr>
          <w:rFonts w:ascii="宋体" w:hAnsi="宋体"/>
          <w:b/>
          <w:bCs/>
          <w:color w:val="auto"/>
          <w:szCs w:val="21"/>
          <w:highlight w:val="none"/>
          <w:lang w:val="zh-CN"/>
        </w:rPr>
      </w:pPr>
      <w:bookmarkStart w:id="646" w:name="_Toc28451"/>
      <w:bookmarkStart w:id="647" w:name="_Toc7836"/>
      <w:bookmarkStart w:id="648" w:name="_Toc19219"/>
      <w:r>
        <w:rPr>
          <w:rFonts w:hint="eastAsia" w:ascii="宋体" w:hAnsi="宋体"/>
          <w:b/>
          <w:bCs/>
          <w:color w:val="auto"/>
          <w:szCs w:val="21"/>
          <w:highlight w:val="none"/>
          <w:lang w:val="zh-CN"/>
        </w:rPr>
        <w:t>2.</w:t>
      </w:r>
      <w:r>
        <w:rPr>
          <w:rFonts w:ascii="宋体" w:hAnsi="宋体"/>
          <w:b/>
          <w:bCs/>
          <w:color w:val="auto"/>
          <w:szCs w:val="21"/>
          <w:highlight w:val="none"/>
          <w:lang w:val="zh-CN"/>
        </w:rPr>
        <w:t>5</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结算方式和付款条件</w:t>
      </w:r>
      <w:bookmarkEnd w:id="640"/>
      <w:bookmarkEnd w:id="641"/>
      <w:bookmarkEnd w:id="642"/>
      <w:bookmarkEnd w:id="643"/>
      <w:bookmarkEnd w:id="644"/>
      <w:bookmarkEnd w:id="646"/>
      <w:bookmarkEnd w:id="647"/>
      <w:bookmarkEnd w:id="648"/>
    </w:p>
    <w:p>
      <w:pPr>
        <w:spacing w:line="360" w:lineRule="auto"/>
        <w:ind w:firstLine="480"/>
        <w:rPr>
          <w:rFonts w:ascii="宋体" w:hAnsi="宋体"/>
          <w:color w:val="auto"/>
          <w:szCs w:val="21"/>
          <w:highlight w:val="none"/>
        </w:rPr>
      </w:pPr>
      <w:r>
        <w:rPr>
          <w:rFonts w:ascii="宋体" w:hAnsi="宋体"/>
          <w:color w:val="auto"/>
          <w:szCs w:val="21"/>
          <w:highlight w:val="none"/>
        </w:rPr>
        <w:t>详见</w:t>
      </w:r>
      <w:r>
        <w:rPr>
          <w:rFonts w:ascii="宋体" w:hAnsi="宋体"/>
          <w:b/>
          <w:i/>
          <w:color w:val="auto"/>
          <w:szCs w:val="21"/>
          <w:highlight w:val="none"/>
          <w:u w:val="single"/>
        </w:rPr>
        <w:t>合同专用条款</w:t>
      </w:r>
      <w:r>
        <w:rPr>
          <w:rFonts w:ascii="宋体" w:hAnsi="宋体"/>
          <w:color w:val="auto"/>
          <w:szCs w:val="21"/>
          <w:highlight w:val="none"/>
        </w:rPr>
        <w:t>。</w:t>
      </w:r>
    </w:p>
    <w:p>
      <w:pPr>
        <w:spacing w:line="360" w:lineRule="auto"/>
        <w:ind w:firstLine="482"/>
        <w:outlineLvl w:val="3"/>
        <w:rPr>
          <w:rFonts w:ascii="宋体" w:hAnsi="宋体"/>
          <w:b/>
          <w:bCs/>
          <w:color w:val="auto"/>
          <w:szCs w:val="21"/>
          <w:highlight w:val="none"/>
          <w:lang w:val="zh-CN"/>
        </w:rPr>
      </w:pPr>
      <w:bookmarkStart w:id="649" w:name="_Toc487900358"/>
      <w:bookmarkStart w:id="650" w:name="_Ref467379852"/>
      <w:bookmarkStart w:id="651" w:name="_Ref467379923"/>
      <w:bookmarkStart w:id="652" w:name="_Ref467379863"/>
      <w:bookmarkStart w:id="653" w:name="_Toc259093677"/>
      <w:bookmarkStart w:id="654" w:name="_Toc279701248"/>
      <w:bookmarkStart w:id="655" w:name="_Toc774"/>
      <w:bookmarkStart w:id="656" w:name="_Toc16110"/>
      <w:bookmarkStart w:id="657" w:name="_Toc3225"/>
      <w:r>
        <w:rPr>
          <w:rFonts w:hint="eastAsia" w:ascii="宋体" w:hAnsi="宋体"/>
          <w:b/>
          <w:bCs/>
          <w:color w:val="auto"/>
          <w:szCs w:val="21"/>
          <w:highlight w:val="none"/>
          <w:lang w:val="zh-CN"/>
        </w:rPr>
        <w:t>2.</w:t>
      </w:r>
      <w:r>
        <w:rPr>
          <w:rFonts w:ascii="宋体" w:hAnsi="宋体"/>
          <w:b/>
          <w:bCs/>
          <w:color w:val="auto"/>
          <w:szCs w:val="21"/>
          <w:highlight w:val="none"/>
          <w:lang w:val="zh-CN"/>
        </w:rPr>
        <w:t>6</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技术资料</w:t>
      </w:r>
      <w:bookmarkEnd w:id="649"/>
      <w:bookmarkEnd w:id="650"/>
      <w:bookmarkEnd w:id="651"/>
      <w:bookmarkEnd w:id="652"/>
      <w:bookmarkEnd w:id="653"/>
      <w:bookmarkEnd w:id="654"/>
      <w:r>
        <w:rPr>
          <w:rFonts w:ascii="宋体" w:hAnsi="宋体"/>
          <w:b/>
          <w:bCs/>
          <w:color w:val="auto"/>
          <w:szCs w:val="21"/>
          <w:highlight w:val="none"/>
          <w:lang w:val="zh-CN"/>
        </w:rPr>
        <w:t>和保密义务</w:t>
      </w:r>
      <w:bookmarkEnd w:id="655"/>
      <w:bookmarkEnd w:id="656"/>
      <w:bookmarkEnd w:id="657"/>
    </w:p>
    <w:p>
      <w:pPr>
        <w:spacing w:line="360" w:lineRule="auto"/>
        <w:ind w:firstLine="48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6.1</w:t>
      </w:r>
      <w:r>
        <w:rPr>
          <w:rFonts w:hint="eastAsia" w:ascii="宋体" w:hAnsi="宋体"/>
          <w:color w:val="auto"/>
          <w:szCs w:val="21"/>
          <w:highlight w:val="none"/>
        </w:rPr>
        <w:t>乙方有权依据合同约定和项目需要，向甲方了解有关情况，调阅有关资料等，甲方应予积极配合；</w:t>
      </w:r>
    </w:p>
    <w:p>
      <w:pPr>
        <w:spacing w:line="360" w:lineRule="auto"/>
        <w:ind w:firstLine="48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.2乙方有义务妥善保管和保护由甲方提供的前款信息和资料等；</w:t>
      </w:r>
    </w:p>
    <w:p>
      <w:pPr>
        <w:spacing w:line="360" w:lineRule="auto"/>
        <w:ind w:firstLine="48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Cs w:val="21"/>
          <w:highlight w:val="none"/>
        </w:rPr>
        <w:t>技术情报</w:t>
      </w:r>
      <w:r>
        <w:rPr>
          <w:rFonts w:hint="eastAsia" w:ascii="宋体" w:hAnsi="宋体"/>
          <w:color w:val="auto"/>
          <w:szCs w:val="21"/>
          <w:highlight w:val="none"/>
        </w:rPr>
        <w:t>、</w:t>
      </w:r>
      <w:r>
        <w:rPr>
          <w:rFonts w:ascii="宋体" w:hAnsi="宋体"/>
          <w:color w:val="auto"/>
          <w:szCs w:val="21"/>
          <w:highlight w:val="none"/>
        </w:rPr>
        <w:t>技术资料</w:t>
      </w:r>
      <w:r>
        <w:rPr>
          <w:rFonts w:hint="eastAsia" w:ascii="宋体" w:hAnsi="宋体"/>
          <w:color w:val="auto"/>
          <w:szCs w:val="21"/>
          <w:highlight w:val="none"/>
        </w:rPr>
        <w:t>、商业秘密和商业信息等，并采取一切合理和必要措施和方式防止任何第三方接触到对方当事人的上述保密信息和资料。</w:t>
      </w:r>
    </w:p>
    <w:p>
      <w:pPr>
        <w:spacing w:line="360" w:lineRule="auto"/>
        <w:ind w:firstLine="482"/>
        <w:outlineLvl w:val="3"/>
        <w:rPr>
          <w:rFonts w:ascii="宋体" w:hAnsi="宋体"/>
          <w:b/>
          <w:bCs/>
          <w:color w:val="auto"/>
          <w:szCs w:val="21"/>
          <w:highlight w:val="none"/>
          <w:lang w:val="zh-CN"/>
        </w:rPr>
      </w:pPr>
      <w:bookmarkStart w:id="658" w:name="_Toc7860"/>
      <w:r>
        <w:rPr>
          <w:rFonts w:ascii="宋体" w:hAnsi="宋体"/>
          <w:b/>
          <w:bCs/>
          <w:color w:val="auto"/>
          <w:szCs w:val="21"/>
          <w:highlight w:val="none"/>
          <w:lang w:val="zh-CN"/>
        </w:rPr>
        <w:t>2.7 质量保证</w:t>
      </w:r>
      <w:bookmarkEnd w:id="658"/>
    </w:p>
    <w:p>
      <w:pPr>
        <w:spacing w:line="360" w:lineRule="auto"/>
        <w:ind w:firstLine="48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r>
        <w:rPr>
          <w:rFonts w:hint="eastAsia" w:ascii="宋体" w:hAnsi="宋体"/>
          <w:color w:val="auto"/>
          <w:szCs w:val="21"/>
          <w:highlight w:val="none"/>
        </w:rPr>
        <w:t>.1乙方应建立和完善履行合同的内部质量保证体系，并提供相关内部规章制度给甲方，以便甲方进行监督检查；</w:t>
      </w:r>
    </w:p>
    <w:p>
      <w:pPr>
        <w:spacing w:line="360" w:lineRule="auto"/>
        <w:ind w:firstLine="48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r>
        <w:rPr>
          <w:rFonts w:hint="eastAsia" w:ascii="宋体" w:hAnsi="宋体"/>
          <w:color w:val="auto"/>
          <w:szCs w:val="21"/>
          <w:highlight w:val="none"/>
        </w:rPr>
        <w:t>.2乙方应保证履行合同的人员数量和素质、软件和硬件设备的配置、场地、环境和设施等满足全面履行合同的要求，并应接受甲方的监督检查。</w:t>
      </w:r>
    </w:p>
    <w:p>
      <w:pPr>
        <w:spacing w:line="360" w:lineRule="auto"/>
        <w:ind w:firstLine="482"/>
        <w:outlineLvl w:val="3"/>
        <w:rPr>
          <w:rFonts w:ascii="宋体" w:hAnsi="宋体"/>
          <w:b/>
          <w:color w:val="auto"/>
          <w:szCs w:val="21"/>
          <w:highlight w:val="none"/>
        </w:rPr>
      </w:pPr>
      <w:bookmarkStart w:id="659" w:name="_Toc22267"/>
      <w:r>
        <w:rPr>
          <w:rFonts w:hint="eastAsia" w:ascii="宋体" w:hAnsi="宋体"/>
          <w:b/>
          <w:color w:val="auto"/>
          <w:szCs w:val="21"/>
          <w:highlight w:val="none"/>
        </w:rPr>
        <w:t>2.8 延迟履行</w:t>
      </w:r>
      <w:bookmarkEnd w:id="659"/>
    </w:p>
    <w:p>
      <w:pPr>
        <w:spacing w:line="360" w:lineRule="auto"/>
        <w:ind w:firstLine="480"/>
        <w:rPr>
          <w:rFonts w:ascii="宋体" w:hAnsi="宋体"/>
          <w:color w:val="auto"/>
          <w:szCs w:val="21"/>
          <w:highlight w:val="none"/>
        </w:rPr>
      </w:pPr>
      <w:r>
        <w:rPr>
          <w:rFonts w:ascii="宋体" w:hAnsi="宋体"/>
          <w:color w:val="auto"/>
          <w:szCs w:val="21"/>
          <w:highlight w:val="none"/>
        </w:rPr>
        <w:t>在合同履行过程中，如果乙方遇到不能按时</w:t>
      </w:r>
      <w:r>
        <w:rPr>
          <w:rFonts w:hint="eastAsia" w:ascii="宋体" w:hAnsi="宋体"/>
          <w:color w:val="auto"/>
          <w:szCs w:val="21"/>
          <w:highlight w:val="none"/>
        </w:rPr>
        <w:t>提供服务</w:t>
      </w:r>
      <w:r>
        <w:rPr>
          <w:rFonts w:ascii="宋体" w:hAnsi="宋体"/>
          <w:color w:val="auto"/>
          <w:szCs w:val="21"/>
          <w:highlight w:val="none"/>
        </w:rPr>
        <w:t>的情况，应及时以书面形式将不能按时</w:t>
      </w:r>
      <w:r>
        <w:rPr>
          <w:rFonts w:hint="eastAsia" w:ascii="宋体" w:hAnsi="宋体"/>
          <w:color w:val="auto"/>
          <w:szCs w:val="21"/>
          <w:highlight w:val="none"/>
        </w:rPr>
        <w:t>提供服务</w:t>
      </w:r>
      <w:r>
        <w:rPr>
          <w:rFonts w:ascii="宋体" w:hAnsi="宋体"/>
          <w:color w:val="auto"/>
          <w:szCs w:val="21"/>
          <w:highlight w:val="none"/>
        </w:rPr>
        <w:t>的理由、预期延误时间通知甲方</w:t>
      </w:r>
      <w:r>
        <w:rPr>
          <w:rFonts w:hint="eastAsia" w:ascii="宋体" w:hAnsi="宋体"/>
          <w:color w:val="auto"/>
          <w:szCs w:val="21"/>
          <w:highlight w:val="none"/>
        </w:rPr>
        <w:t>；甲</w:t>
      </w:r>
      <w:r>
        <w:rPr>
          <w:rFonts w:ascii="宋体" w:hAnsi="宋体"/>
          <w:color w:val="auto"/>
          <w:szCs w:val="21"/>
          <w:highlight w:val="none"/>
        </w:rPr>
        <w:t>方收到乙方通知后，认为其理由正当的，可以书面形式酌情同意乙方可以延长</w:t>
      </w:r>
      <w:r>
        <w:rPr>
          <w:rFonts w:hint="eastAsia" w:ascii="宋体" w:hAnsi="宋体"/>
          <w:color w:val="auto"/>
          <w:szCs w:val="21"/>
          <w:highlight w:val="none"/>
        </w:rPr>
        <w:t>履行</w:t>
      </w:r>
      <w:r>
        <w:rPr>
          <w:rFonts w:ascii="宋体" w:hAnsi="宋体"/>
          <w:color w:val="auto"/>
          <w:szCs w:val="21"/>
          <w:highlight w:val="none"/>
        </w:rPr>
        <w:t>的具体时间。</w:t>
      </w:r>
    </w:p>
    <w:p>
      <w:pPr>
        <w:spacing w:line="360" w:lineRule="auto"/>
        <w:ind w:firstLine="482"/>
        <w:outlineLvl w:val="3"/>
        <w:rPr>
          <w:rFonts w:ascii="宋体" w:hAnsi="宋体"/>
          <w:b/>
          <w:bCs/>
          <w:color w:val="auto"/>
          <w:szCs w:val="21"/>
          <w:highlight w:val="none"/>
          <w:lang w:val="zh-CN"/>
        </w:rPr>
      </w:pPr>
      <w:bookmarkStart w:id="660" w:name="_Toc7502"/>
      <w:bookmarkStart w:id="661" w:name="_Toc279701254"/>
      <w:bookmarkStart w:id="662" w:name="_Ref467378121"/>
      <w:bookmarkStart w:id="663" w:name="_Toc259093683"/>
      <w:bookmarkStart w:id="664" w:name="_Toc487900364"/>
      <w:r>
        <w:rPr>
          <w:rFonts w:ascii="宋体" w:hAnsi="宋体"/>
          <w:b/>
          <w:bCs/>
          <w:color w:val="auto"/>
          <w:szCs w:val="21"/>
          <w:highlight w:val="none"/>
          <w:lang w:val="zh-CN"/>
        </w:rPr>
        <w:t>2.9 合同变更</w:t>
      </w:r>
      <w:bookmarkEnd w:id="660"/>
    </w:p>
    <w:p>
      <w:pPr>
        <w:spacing w:line="360" w:lineRule="auto"/>
        <w:ind w:firstLine="48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w:t>
      </w:r>
      <w:r>
        <w:rPr>
          <w:rFonts w:hint="eastAsia" w:ascii="宋体" w:hAnsi="宋体"/>
          <w:color w:val="auto"/>
          <w:szCs w:val="21"/>
          <w:highlight w:val="none"/>
        </w:rPr>
        <w:t>.1双方当事人协商一致，可以签订书面补充合同的形式变更合同，但不得违背采购文件确定的事项；</w:t>
      </w:r>
    </w:p>
    <w:p>
      <w:pPr>
        <w:spacing w:line="360" w:lineRule="auto"/>
        <w:ind w:firstLine="48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w:t>
      </w:r>
      <w:r>
        <w:rPr>
          <w:rFonts w:hint="eastAsia" w:ascii="宋体" w:hAnsi="宋体"/>
          <w:color w:val="auto"/>
          <w:szCs w:val="21"/>
          <w:highlight w:val="none"/>
        </w:rPr>
        <w:t>.2合同继续履行将损害国家利益和社会公共利益的，双方当事人应当以书面形式变更合同。有过错的一方应当承担赔偿责任，双方当事人都有过错的，各自承担相应的责任。</w:t>
      </w:r>
      <w:bookmarkStart w:id="665" w:name="_Toc487900369"/>
      <w:bookmarkStart w:id="666" w:name="_Toc259093688"/>
      <w:bookmarkStart w:id="667" w:name="_Toc279701259"/>
    </w:p>
    <w:p>
      <w:pPr>
        <w:spacing w:line="360" w:lineRule="auto"/>
        <w:ind w:firstLine="482"/>
        <w:outlineLvl w:val="3"/>
        <w:rPr>
          <w:rFonts w:ascii="宋体" w:hAnsi="宋体"/>
          <w:b/>
          <w:bCs/>
          <w:color w:val="auto"/>
          <w:szCs w:val="21"/>
          <w:highlight w:val="none"/>
          <w:lang w:val="zh-CN"/>
        </w:rPr>
      </w:pPr>
      <w:bookmarkStart w:id="668" w:name="_Toc22955"/>
      <w:bookmarkStart w:id="669" w:name="_Toc15237"/>
      <w:bookmarkStart w:id="670" w:name="_Toc10366"/>
      <w:r>
        <w:rPr>
          <w:rFonts w:hint="eastAsia" w:ascii="宋体" w:hAnsi="宋体"/>
          <w:b/>
          <w:bCs/>
          <w:color w:val="auto"/>
          <w:szCs w:val="21"/>
          <w:highlight w:val="none"/>
          <w:lang w:val="zh-CN"/>
        </w:rPr>
        <w:t>2.1</w:t>
      </w:r>
      <w:r>
        <w:rPr>
          <w:rFonts w:ascii="宋体" w:hAnsi="宋体"/>
          <w:b/>
          <w:bCs/>
          <w:color w:val="auto"/>
          <w:szCs w:val="21"/>
          <w:highlight w:val="none"/>
          <w:lang w:val="zh-CN"/>
        </w:rPr>
        <w:t>0</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合同转让</w:t>
      </w:r>
      <w:bookmarkEnd w:id="665"/>
      <w:bookmarkEnd w:id="666"/>
      <w:bookmarkEnd w:id="667"/>
      <w:r>
        <w:rPr>
          <w:rFonts w:ascii="宋体" w:hAnsi="宋体"/>
          <w:b/>
          <w:bCs/>
          <w:color w:val="auto"/>
          <w:szCs w:val="21"/>
          <w:highlight w:val="none"/>
          <w:lang w:val="zh-CN"/>
        </w:rPr>
        <w:t>和分包</w:t>
      </w:r>
      <w:bookmarkEnd w:id="668"/>
      <w:bookmarkEnd w:id="669"/>
      <w:bookmarkEnd w:id="670"/>
    </w:p>
    <w:p>
      <w:pPr>
        <w:spacing w:line="360" w:lineRule="auto"/>
        <w:ind w:firstLine="480"/>
        <w:rPr>
          <w:rFonts w:ascii="宋体" w:hAnsi="宋体"/>
          <w:color w:val="auto"/>
          <w:szCs w:val="21"/>
          <w:highlight w:val="none"/>
        </w:rPr>
      </w:pPr>
      <w:r>
        <w:rPr>
          <w:rFonts w:ascii="宋体" w:hAnsi="宋体"/>
          <w:color w:val="auto"/>
          <w:szCs w:val="21"/>
          <w:highlight w:val="none"/>
        </w:rPr>
        <w:t>合同的权利义务依法不</w:t>
      </w:r>
      <w:r>
        <w:rPr>
          <w:rFonts w:hint="eastAsia" w:ascii="宋体" w:hAnsi="宋体"/>
          <w:color w:val="auto"/>
          <w:szCs w:val="21"/>
          <w:highlight w:val="none"/>
        </w:rPr>
        <w:t>得</w:t>
      </w:r>
      <w:r>
        <w:rPr>
          <w:rFonts w:ascii="宋体" w:hAnsi="宋体"/>
          <w:color w:val="auto"/>
          <w:szCs w:val="21"/>
          <w:highlight w:val="none"/>
        </w:rPr>
        <w:t>转让</w:t>
      </w:r>
      <w:r>
        <w:rPr>
          <w:rFonts w:hint="eastAsia" w:ascii="宋体" w:hAnsi="宋体"/>
          <w:color w:val="auto"/>
          <w:szCs w:val="21"/>
          <w:highlight w:val="none"/>
        </w:rPr>
        <w:t>，</w:t>
      </w:r>
      <w:r>
        <w:rPr>
          <w:rFonts w:ascii="宋体" w:hAnsi="宋体"/>
          <w:color w:val="auto"/>
          <w:szCs w:val="21"/>
          <w:highlight w:val="none"/>
        </w:rPr>
        <w:t>但经甲方</w:t>
      </w:r>
      <w:r>
        <w:rPr>
          <w:rFonts w:hint="eastAsia" w:ascii="宋体" w:hAnsi="宋体"/>
          <w:color w:val="auto"/>
          <w:szCs w:val="21"/>
          <w:highlight w:val="none"/>
        </w:rPr>
        <w:t>同意，乙方可以依法采取分包方式履行合同，即：依法可以</w:t>
      </w:r>
      <w:r>
        <w:rPr>
          <w:rFonts w:ascii="宋体" w:hAnsi="宋体"/>
          <w:color w:val="auto"/>
          <w:szCs w:val="21"/>
          <w:highlight w:val="none"/>
        </w:rPr>
        <w:t>将合同项下的部分非主体、非关键性工作分包给他人完成</w:t>
      </w:r>
      <w:r>
        <w:rPr>
          <w:rFonts w:hint="eastAsia" w:ascii="宋体" w:hAnsi="宋体"/>
          <w:color w:val="auto"/>
          <w:szCs w:val="21"/>
          <w:highlight w:val="none"/>
        </w:rPr>
        <w:t>，</w:t>
      </w:r>
      <w:r>
        <w:rPr>
          <w:rFonts w:ascii="宋体" w:hAnsi="宋体"/>
          <w:color w:val="auto"/>
          <w:szCs w:val="21"/>
          <w:highlight w:val="none"/>
        </w:rPr>
        <w:t>接受分包的人应当具备相应的资格条件，并不得再次分包</w:t>
      </w:r>
      <w:r>
        <w:rPr>
          <w:rFonts w:hint="eastAsia" w:ascii="宋体" w:hAnsi="宋体"/>
          <w:color w:val="auto"/>
          <w:szCs w:val="21"/>
          <w:highlight w:val="none"/>
        </w:rPr>
        <w:t>，</w:t>
      </w:r>
      <w:r>
        <w:rPr>
          <w:rFonts w:ascii="宋体" w:hAnsi="宋体"/>
          <w:color w:val="auto"/>
          <w:szCs w:val="21"/>
          <w:highlight w:val="none"/>
        </w:rPr>
        <w:t>且乙方应就分包项目向甲方负责</w:t>
      </w:r>
      <w:r>
        <w:rPr>
          <w:rFonts w:hint="eastAsia" w:ascii="宋体" w:hAnsi="宋体"/>
          <w:color w:val="auto"/>
          <w:szCs w:val="21"/>
          <w:highlight w:val="none"/>
        </w:rPr>
        <w:t>，</w:t>
      </w:r>
      <w:r>
        <w:rPr>
          <w:rFonts w:ascii="宋体" w:hAnsi="宋体"/>
          <w:color w:val="auto"/>
          <w:szCs w:val="21"/>
          <w:highlight w:val="none"/>
        </w:rPr>
        <w:t>并</w:t>
      </w:r>
      <w:r>
        <w:rPr>
          <w:rFonts w:hint="eastAsia" w:ascii="宋体" w:hAnsi="宋体"/>
          <w:color w:val="auto"/>
          <w:szCs w:val="21"/>
          <w:highlight w:val="none"/>
        </w:rPr>
        <w:t>与分包供应商就分包项目向甲方承担连带责任。</w:t>
      </w:r>
    </w:p>
    <w:p>
      <w:pPr>
        <w:spacing w:line="360" w:lineRule="auto"/>
        <w:ind w:firstLine="482"/>
        <w:outlineLvl w:val="3"/>
        <w:rPr>
          <w:rFonts w:ascii="宋体" w:hAnsi="宋体"/>
          <w:b/>
          <w:bCs/>
          <w:color w:val="auto"/>
          <w:szCs w:val="21"/>
          <w:highlight w:val="none"/>
          <w:lang w:val="zh-CN"/>
        </w:rPr>
      </w:pPr>
      <w:bookmarkStart w:id="671" w:name="_Toc13566"/>
      <w:bookmarkStart w:id="672" w:name="_Toc16508"/>
      <w:bookmarkStart w:id="673" w:name="_Toc14066"/>
      <w:r>
        <w:rPr>
          <w:rFonts w:hint="eastAsia" w:ascii="宋体" w:hAnsi="宋体"/>
          <w:b/>
          <w:bCs/>
          <w:color w:val="auto"/>
          <w:szCs w:val="21"/>
          <w:highlight w:val="none"/>
          <w:lang w:val="zh-CN"/>
        </w:rPr>
        <w:t>2.1</w:t>
      </w:r>
      <w:r>
        <w:rPr>
          <w:rFonts w:ascii="宋体" w:hAnsi="宋体"/>
          <w:b/>
          <w:bCs/>
          <w:color w:val="auto"/>
          <w:szCs w:val="21"/>
          <w:highlight w:val="none"/>
          <w:lang w:val="zh-CN"/>
        </w:rPr>
        <w:t>1 不可抗力</w:t>
      </w:r>
      <w:bookmarkEnd w:id="671"/>
      <w:bookmarkEnd w:id="672"/>
      <w:bookmarkEnd w:id="673"/>
    </w:p>
    <w:p>
      <w:pPr>
        <w:spacing w:line="360" w:lineRule="auto"/>
        <w:ind w:firstLine="480"/>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1.1如果任何一方遭遇法律规定的不可抗力，致使合同履行受阻时，履行合同的期限应予延长，延长的期限应相当于不可抗力所影响的时间</w:t>
      </w:r>
      <w:r>
        <w:rPr>
          <w:rFonts w:hint="eastAsia" w:ascii="宋体" w:hAnsi="宋体"/>
          <w:color w:val="auto"/>
          <w:szCs w:val="21"/>
          <w:highlight w:val="none"/>
        </w:rPr>
        <w:t>；</w:t>
      </w:r>
    </w:p>
    <w:p>
      <w:pPr>
        <w:spacing w:line="360" w:lineRule="auto"/>
        <w:ind w:firstLine="480"/>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.2因不可抗力致使不能实现合同目的的，当事人可以解除合同；</w:t>
      </w:r>
    </w:p>
    <w:p>
      <w:pPr>
        <w:spacing w:line="360" w:lineRule="auto"/>
        <w:ind w:firstLine="480"/>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.3因</w:t>
      </w:r>
      <w:r>
        <w:rPr>
          <w:rFonts w:ascii="宋体" w:hAnsi="宋体"/>
          <w:color w:val="auto"/>
          <w:szCs w:val="21"/>
          <w:highlight w:val="none"/>
        </w:rPr>
        <w:t>不可抗力致使合同有变更必要的，双方当事人应在</w:t>
      </w:r>
      <w:r>
        <w:rPr>
          <w:rFonts w:ascii="宋体" w:hAnsi="宋体"/>
          <w:b/>
          <w:i/>
          <w:color w:val="auto"/>
          <w:szCs w:val="21"/>
          <w:highlight w:val="none"/>
          <w:u w:val="single"/>
        </w:rPr>
        <w:t>合同专用条款</w:t>
      </w:r>
      <w:r>
        <w:rPr>
          <w:rFonts w:ascii="宋体" w:hAnsi="宋体"/>
          <w:color w:val="auto"/>
          <w:szCs w:val="21"/>
          <w:highlight w:val="none"/>
        </w:rPr>
        <w:t>约定时间内以书面形式变更合同</w:t>
      </w:r>
      <w:r>
        <w:rPr>
          <w:rFonts w:hint="eastAsia" w:ascii="宋体" w:hAnsi="宋体"/>
          <w:color w:val="auto"/>
          <w:szCs w:val="21"/>
          <w:highlight w:val="none"/>
        </w:rPr>
        <w:t>；</w:t>
      </w:r>
    </w:p>
    <w:p>
      <w:pPr>
        <w:spacing w:line="360" w:lineRule="auto"/>
        <w:ind w:firstLine="480"/>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受</w:t>
      </w:r>
      <w:r>
        <w:rPr>
          <w:rFonts w:hint="eastAsia" w:ascii="宋体" w:hAnsi="宋体"/>
          <w:color w:val="auto"/>
          <w:szCs w:val="21"/>
          <w:highlight w:val="none"/>
        </w:rPr>
        <w:t>不可抗力</w:t>
      </w:r>
      <w:r>
        <w:rPr>
          <w:rFonts w:ascii="宋体" w:hAnsi="宋体"/>
          <w:color w:val="auto"/>
          <w:szCs w:val="21"/>
          <w:highlight w:val="none"/>
        </w:rPr>
        <w:t>影响的一方在不可抗力发生后</w:t>
      </w:r>
      <w:r>
        <w:rPr>
          <w:rFonts w:hint="eastAsia" w:ascii="宋体" w:hAnsi="宋体"/>
          <w:color w:val="auto"/>
          <w:szCs w:val="21"/>
          <w:highlight w:val="none"/>
        </w:rPr>
        <w:t>，</w:t>
      </w:r>
      <w:r>
        <w:rPr>
          <w:rFonts w:ascii="宋体" w:hAnsi="宋体"/>
          <w:color w:val="auto"/>
          <w:szCs w:val="21"/>
          <w:highlight w:val="none"/>
        </w:rPr>
        <w:t>应在</w:t>
      </w:r>
      <w:r>
        <w:rPr>
          <w:rFonts w:ascii="宋体" w:hAnsi="宋体"/>
          <w:b/>
          <w:i/>
          <w:color w:val="auto"/>
          <w:szCs w:val="21"/>
          <w:highlight w:val="none"/>
          <w:u w:val="single"/>
        </w:rPr>
        <w:t>合同专用条款</w:t>
      </w:r>
      <w:r>
        <w:rPr>
          <w:rFonts w:ascii="宋体" w:hAnsi="宋体"/>
          <w:color w:val="auto"/>
          <w:szCs w:val="21"/>
          <w:highlight w:val="none"/>
        </w:rPr>
        <w:t>约定时间内以书面形式通知</w:t>
      </w:r>
      <w:r>
        <w:rPr>
          <w:rFonts w:hint="eastAsia" w:ascii="宋体" w:hAnsi="宋体"/>
          <w:color w:val="auto"/>
          <w:szCs w:val="21"/>
          <w:highlight w:val="none"/>
        </w:rPr>
        <w:t>对</w:t>
      </w:r>
      <w:r>
        <w:rPr>
          <w:rFonts w:ascii="宋体" w:hAnsi="宋体"/>
          <w:color w:val="auto"/>
          <w:szCs w:val="21"/>
          <w:highlight w:val="none"/>
        </w:rPr>
        <w:t>方当事人，并在</w:t>
      </w:r>
      <w:r>
        <w:rPr>
          <w:rFonts w:ascii="宋体" w:hAnsi="宋体"/>
          <w:b/>
          <w:i/>
          <w:color w:val="auto"/>
          <w:szCs w:val="21"/>
          <w:highlight w:val="none"/>
          <w:u w:val="single"/>
        </w:rPr>
        <w:t>合同专用条款</w:t>
      </w:r>
      <w:r>
        <w:rPr>
          <w:rFonts w:ascii="宋体" w:hAnsi="宋体"/>
          <w:color w:val="auto"/>
          <w:szCs w:val="21"/>
          <w:highlight w:val="none"/>
        </w:rPr>
        <w:t>约定时间内，将有关部门出具的证明文件送达</w:t>
      </w:r>
      <w:r>
        <w:rPr>
          <w:rFonts w:hint="eastAsia" w:ascii="宋体" w:hAnsi="宋体"/>
          <w:color w:val="auto"/>
          <w:szCs w:val="21"/>
          <w:highlight w:val="none"/>
        </w:rPr>
        <w:t>对方当事人</w:t>
      </w:r>
      <w:r>
        <w:rPr>
          <w:rFonts w:ascii="宋体" w:hAnsi="宋体"/>
          <w:color w:val="auto"/>
          <w:szCs w:val="21"/>
          <w:highlight w:val="none"/>
        </w:rPr>
        <w:t>。</w:t>
      </w:r>
    </w:p>
    <w:p>
      <w:pPr>
        <w:spacing w:line="360" w:lineRule="auto"/>
        <w:ind w:firstLine="482"/>
        <w:outlineLvl w:val="3"/>
        <w:rPr>
          <w:rFonts w:ascii="宋体" w:hAnsi="宋体"/>
          <w:b/>
          <w:bCs/>
          <w:color w:val="auto"/>
          <w:szCs w:val="21"/>
          <w:highlight w:val="none"/>
          <w:lang w:val="zh-CN"/>
        </w:rPr>
      </w:pPr>
      <w:bookmarkStart w:id="674" w:name="_Toc279701255"/>
      <w:bookmarkStart w:id="675" w:name="_Toc689"/>
      <w:bookmarkStart w:id="676" w:name="_Toc30676"/>
      <w:bookmarkStart w:id="677" w:name="_Toc259093684"/>
      <w:bookmarkStart w:id="678" w:name="_Toc6969"/>
      <w:bookmarkStart w:id="679" w:name="_Toc487900365"/>
      <w:r>
        <w:rPr>
          <w:rFonts w:hint="eastAsia" w:ascii="宋体" w:hAnsi="宋体"/>
          <w:b/>
          <w:bCs/>
          <w:color w:val="auto"/>
          <w:szCs w:val="21"/>
          <w:highlight w:val="none"/>
          <w:lang w:val="zh-CN"/>
        </w:rPr>
        <w:t>2.</w:t>
      </w:r>
      <w:r>
        <w:rPr>
          <w:rFonts w:ascii="宋体" w:hAnsi="宋体"/>
          <w:b/>
          <w:bCs/>
          <w:color w:val="auto"/>
          <w:szCs w:val="21"/>
          <w:highlight w:val="none"/>
          <w:lang w:val="zh-CN"/>
        </w:rPr>
        <w:t>12</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税费</w:t>
      </w:r>
      <w:bookmarkEnd w:id="674"/>
      <w:bookmarkEnd w:id="675"/>
      <w:bookmarkEnd w:id="676"/>
      <w:bookmarkEnd w:id="677"/>
      <w:bookmarkEnd w:id="678"/>
      <w:bookmarkEnd w:id="679"/>
    </w:p>
    <w:p>
      <w:pPr>
        <w:spacing w:line="360" w:lineRule="auto"/>
        <w:ind w:firstLine="480"/>
        <w:rPr>
          <w:rFonts w:ascii="宋体" w:hAnsi="宋体"/>
          <w:color w:val="auto"/>
          <w:szCs w:val="21"/>
          <w:highlight w:val="none"/>
        </w:rPr>
      </w:pPr>
      <w:r>
        <w:rPr>
          <w:rFonts w:ascii="宋体" w:hAnsi="宋体"/>
          <w:color w:val="auto"/>
          <w:szCs w:val="21"/>
          <w:highlight w:val="none"/>
        </w:rPr>
        <w:t>与合同有关的一切税费</w:t>
      </w:r>
      <w:r>
        <w:rPr>
          <w:rFonts w:hint="eastAsia" w:ascii="宋体" w:hAnsi="宋体"/>
          <w:color w:val="auto"/>
          <w:szCs w:val="21"/>
          <w:highlight w:val="none"/>
        </w:rPr>
        <w:t>，</w:t>
      </w:r>
      <w:r>
        <w:rPr>
          <w:rFonts w:ascii="宋体" w:hAnsi="宋体"/>
          <w:color w:val="auto"/>
          <w:szCs w:val="21"/>
          <w:highlight w:val="none"/>
        </w:rPr>
        <w:t>均按照中华人民共和国法律的相关规定</w:t>
      </w:r>
      <w:r>
        <w:rPr>
          <w:rFonts w:hint="eastAsia" w:ascii="宋体" w:hAnsi="宋体"/>
          <w:color w:val="auto"/>
          <w:szCs w:val="21"/>
          <w:highlight w:val="none"/>
        </w:rPr>
        <w:t>缴纳</w:t>
      </w:r>
      <w:r>
        <w:rPr>
          <w:rFonts w:ascii="宋体" w:hAnsi="宋体"/>
          <w:color w:val="auto"/>
          <w:szCs w:val="21"/>
          <w:highlight w:val="none"/>
        </w:rPr>
        <w:t>。</w:t>
      </w:r>
    </w:p>
    <w:p>
      <w:pPr>
        <w:spacing w:line="360" w:lineRule="auto"/>
        <w:ind w:firstLine="482"/>
        <w:outlineLvl w:val="3"/>
        <w:rPr>
          <w:rFonts w:ascii="宋体" w:hAnsi="宋体"/>
          <w:b/>
          <w:bCs/>
          <w:color w:val="auto"/>
          <w:szCs w:val="21"/>
          <w:highlight w:val="none"/>
          <w:lang w:val="zh-CN"/>
        </w:rPr>
      </w:pPr>
      <w:bookmarkStart w:id="680" w:name="_Toc487900368"/>
      <w:bookmarkStart w:id="681" w:name="_Toc259093687"/>
      <w:bookmarkStart w:id="682" w:name="_Toc16959"/>
      <w:bookmarkStart w:id="683" w:name="_Toc7102"/>
      <w:bookmarkStart w:id="684" w:name="_Toc8298"/>
      <w:bookmarkStart w:id="685" w:name="_Toc279701258"/>
      <w:r>
        <w:rPr>
          <w:rFonts w:hint="eastAsia" w:ascii="宋体" w:hAnsi="宋体"/>
          <w:b/>
          <w:bCs/>
          <w:color w:val="auto"/>
          <w:szCs w:val="21"/>
          <w:highlight w:val="none"/>
          <w:lang w:val="zh-CN"/>
        </w:rPr>
        <w:t>2.</w:t>
      </w:r>
      <w:r>
        <w:rPr>
          <w:rFonts w:ascii="宋体" w:hAnsi="宋体"/>
          <w:b/>
          <w:bCs/>
          <w:color w:val="auto"/>
          <w:szCs w:val="21"/>
          <w:highlight w:val="none"/>
          <w:lang w:val="zh-CN"/>
        </w:rPr>
        <w:t>13</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乙方破产</w:t>
      </w:r>
      <w:bookmarkEnd w:id="680"/>
      <w:bookmarkEnd w:id="681"/>
      <w:bookmarkEnd w:id="682"/>
      <w:bookmarkEnd w:id="683"/>
      <w:bookmarkEnd w:id="684"/>
      <w:bookmarkEnd w:id="685"/>
    </w:p>
    <w:p>
      <w:pPr>
        <w:spacing w:line="360" w:lineRule="auto"/>
        <w:ind w:firstLine="480"/>
        <w:rPr>
          <w:rFonts w:ascii="宋体" w:hAnsi="宋体"/>
          <w:color w:val="auto"/>
          <w:szCs w:val="21"/>
          <w:highlight w:val="none"/>
        </w:rPr>
      </w:pPr>
      <w:r>
        <w:rPr>
          <w:rFonts w:ascii="宋体" w:hAnsi="宋体"/>
          <w:color w:val="auto"/>
          <w:szCs w:val="21"/>
          <w:highlight w:val="none"/>
        </w:rPr>
        <w:t>如果乙方破产导致合同无法履行时，甲方可以书面形式通知乙方终止合同且不给予乙方任何补偿和赔偿</w:t>
      </w:r>
      <w:r>
        <w:rPr>
          <w:rFonts w:hint="eastAsia" w:ascii="宋体" w:hAnsi="宋体"/>
          <w:color w:val="auto"/>
          <w:szCs w:val="21"/>
          <w:highlight w:val="none"/>
        </w:rPr>
        <w:t>，但合同的</w:t>
      </w:r>
      <w:r>
        <w:rPr>
          <w:rFonts w:ascii="宋体" w:hAnsi="宋体"/>
          <w:color w:val="auto"/>
          <w:szCs w:val="21"/>
          <w:highlight w:val="none"/>
        </w:rPr>
        <w:t>终止不损害或不影响甲方已经采取或将要采取的任何要求乙方支付违约金</w:t>
      </w:r>
      <w:r>
        <w:rPr>
          <w:rFonts w:hint="eastAsia" w:ascii="宋体" w:hAnsi="宋体"/>
          <w:color w:val="auto"/>
          <w:szCs w:val="21"/>
          <w:highlight w:val="none"/>
        </w:rPr>
        <w:t>、</w:t>
      </w:r>
      <w:r>
        <w:rPr>
          <w:rFonts w:ascii="宋体" w:hAnsi="宋体"/>
          <w:color w:val="auto"/>
          <w:szCs w:val="21"/>
          <w:highlight w:val="none"/>
        </w:rPr>
        <w:t>赔偿损失等的行动或补救措施的权利</w:t>
      </w:r>
      <w:r>
        <w:rPr>
          <w:rFonts w:hint="eastAsia" w:ascii="宋体" w:hAnsi="宋体"/>
          <w:color w:val="auto"/>
          <w:szCs w:val="21"/>
          <w:highlight w:val="none"/>
        </w:rPr>
        <w:t>。</w:t>
      </w:r>
    </w:p>
    <w:p>
      <w:pPr>
        <w:spacing w:line="360" w:lineRule="auto"/>
        <w:ind w:firstLine="482"/>
        <w:outlineLvl w:val="3"/>
        <w:rPr>
          <w:rFonts w:ascii="宋体" w:hAnsi="宋体"/>
          <w:b/>
          <w:color w:val="auto"/>
          <w:szCs w:val="21"/>
          <w:highlight w:val="none"/>
        </w:rPr>
      </w:pPr>
      <w:bookmarkStart w:id="686" w:name="_Toc15387"/>
      <w:bookmarkStart w:id="687" w:name="_Toc29333"/>
      <w:bookmarkStart w:id="688" w:name="_Toc6134"/>
      <w:r>
        <w:rPr>
          <w:rFonts w:hint="eastAsia" w:ascii="宋体" w:hAnsi="宋体"/>
          <w:b/>
          <w:bCs/>
          <w:color w:val="auto"/>
          <w:szCs w:val="21"/>
          <w:highlight w:val="none"/>
          <w:lang w:val="zh-CN"/>
        </w:rPr>
        <w:t>2.1</w:t>
      </w:r>
      <w:r>
        <w:rPr>
          <w:rFonts w:ascii="宋体" w:hAnsi="宋体"/>
          <w:b/>
          <w:bCs/>
          <w:color w:val="auto"/>
          <w:szCs w:val="21"/>
          <w:highlight w:val="none"/>
          <w:lang w:val="zh-CN"/>
        </w:rPr>
        <w:t>4</w:t>
      </w:r>
      <w:r>
        <w:rPr>
          <w:rFonts w:hint="eastAsia" w:ascii="宋体" w:hAnsi="宋体"/>
          <w:b/>
          <w:bCs/>
          <w:color w:val="auto"/>
          <w:szCs w:val="21"/>
          <w:highlight w:val="none"/>
          <w:lang w:val="zh-CN"/>
        </w:rPr>
        <w:t xml:space="preserve"> 合同中止、终止</w:t>
      </w:r>
      <w:bookmarkEnd w:id="686"/>
      <w:bookmarkEnd w:id="687"/>
      <w:bookmarkEnd w:id="688"/>
    </w:p>
    <w:p>
      <w:pPr>
        <w:spacing w:line="360" w:lineRule="auto"/>
        <w:ind w:firstLine="480"/>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4</w:t>
      </w:r>
      <w:r>
        <w:rPr>
          <w:rFonts w:hint="eastAsia" w:ascii="宋体" w:hAnsi="宋体"/>
          <w:color w:val="auto"/>
          <w:szCs w:val="21"/>
          <w:highlight w:val="none"/>
        </w:rPr>
        <w:t>.1双方当事人不得擅自中止或者终止合同；</w:t>
      </w:r>
    </w:p>
    <w:p>
      <w:pPr>
        <w:spacing w:line="360" w:lineRule="auto"/>
        <w:ind w:firstLine="480"/>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4</w:t>
      </w:r>
      <w:r>
        <w:rPr>
          <w:rFonts w:hint="eastAsia" w:ascii="宋体" w:hAnsi="宋体"/>
          <w:color w:val="auto"/>
          <w:szCs w:val="21"/>
          <w:highlight w:val="none"/>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82"/>
        <w:outlineLvl w:val="3"/>
        <w:rPr>
          <w:rFonts w:ascii="宋体" w:hAnsi="宋体"/>
          <w:b/>
          <w:bCs/>
          <w:color w:val="auto"/>
          <w:szCs w:val="21"/>
          <w:highlight w:val="none"/>
          <w:lang w:val="zh-CN"/>
        </w:rPr>
      </w:pPr>
      <w:bookmarkStart w:id="689" w:name="_Toc6596"/>
      <w:bookmarkStart w:id="690" w:name="_Toc14563"/>
      <w:bookmarkStart w:id="691" w:name="_Toc1125"/>
      <w:r>
        <w:rPr>
          <w:rFonts w:hint="eastAsia" w:ascii="宋体" w:hAnsi="宋体"/>
          <w:b/>
          <w:bCs/>
          <w:color w:val="auto"/>
          <w:szCs w:val="21"/>
          <w:highlight w:val="none"/>
          <w:lang w:val="zh-CN"/>
        </w:rPr>
        <w:t>2.1</w:t>
      </w:r>
      <w:r>
        <w:rPr>
          <w:rFonts w:ascii="宋体" w:hAnsi="宋体"/>
          <w:b/>
          <w:bCs/>
          <w:color w:val="auto"/>
          <w:szCs w:val="21"/>
          <w:highlight w:val="none"/>
          <w:lang w:val="zh-CN"/>
        </w:rPr>
        <w:t>5</w:t>
      </w:r>
      <w:r>
        <w:rPr>
          <w:rFonts w:hint="eastAsia" w:ascii="宋体" w:hAnsi="宋体"/>
          <w:b/>
          <w:bCs/>
          <w:color w:val="auto"/>
          <w:szCs w:val="21"/>
          <w:highlight w:val="none"/>
          <w:lang w:val="zh-CN"/>
        </w:rPr>
        <w:t xml:space="preserve"> 检验和验收</w:t>
      </w:r>
      <w:bookmarkEnd w:id="689"/>
      <w:bookmarkEnd w:id="690"/>
      <w:bookmarkEnd w:id="691"/>
    </w:p>
    <w:p>
      <w:pPr>
        <w:spacing w:line="360" w:lineRule="auto"/>
        <w:ind w:firstLine="48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1乙方按照</w:t>
      </w:r>
      <w:r>
        <w:rPr>
          <w:rFonts w:ascii="宋体" w:hAnsi="宋体"/>
          <w:b/>
          <w:i/>
          <w:color w:val="auto"/>
          <w:szCs w:val="21"/>
          <w:highlight w:val="none"/>
          <w:u w:val="single"/>
        </w:rPr>
        <w:t>合同专用条款</w:t>
      </w:r>
      <w:r>
        <w:rPr>
          <w:rFonts w:ascii="宋体" w:hAnsi="宋体"/>
          <w:color w:val="auto"/>
          <w:szCs w:val="21"/>
          <w:highlight w:val="none"/>
        </w:rPr>
        <w:t>的约定</w:t>
      </w:r>
      <w:r>
        <w:rPr>
          <w:rFonts w:hint="eastAsia" w:ascii="宋体" w:hAnsi="宋体"/>
          <w:color w:val="auto"/>
          <w:szCs w:val="21"/>
          <w:highlight w:val="none"/>
        </w:rPr>
        <w:t>，</w:t>
      </w:r>
      <w:r>
        <w:rPr>
          <w:rFonts w:ascii="宋体" w:hAnsi="宋体"/>
          <w:color w:val="auto"/>
          <w:szCs w:val="21"/>
          <w:highlight w:val="none"/>
        </w:rPr>
        <w:t>定期提交服务报告</w:t>
      </w:r>
      <w:r>
        <w:rPr>
          <w:rFonts w:hint="eastAsia" w:ascii="宋体" w:hAnsi="宋体"/>
          <w:color w:val="auto"/>
          <w:szCs w:val="21"/>
          <w:highlight w:val="none"/>
        </w:rPr>
        <w:t>，甲方按照</w:t>
      </w:r>
      <w:r>
        <w:rPr>
          <w:rFonts w:ascii="宋体" w:hAnsi="宋体"/>
          <w:b/>
          <w:i/>
          <w:color w:val="auto"/>
          <w:szCs w:val="21"/>
          <w:highlight w:val="none"/>
          <w:u w:val="single"/>
        </w:rPr>
        <w:t>合同专用条款</w:t>
      </w:r>
      <w:r>
        <w:rPr>
          <w:rFonts w:ascii="宋体" w:hAnsi="宋体"/>
          <w:color w:val="auto"/>
          <w:szCs w:val="21"/>
          <w:highlight w:val="none"/>
        </w:rPr>
        <w:t>的约定进行定期验收</w:t>
      </w:r>
      <w:r>
        <w:rPr>
          <w:rFonts w:hint="eastAsia" w:ascii="宋体" w:hAnsi="宋体"/>
          <w:color w:val="auto"/>
          <w:szCs w:val="21"/>
          <w:highlight w:val="none"/>
        </w:rPr>
        <w:t>；</w:t>
      </w:r>
    </w:p>
    <w:p>
      <w:pPr>
        <w:spacing w:line="360" w:lineRule="auto"/>
        <w:ind w:firstLine="480"/>
        <w:rPr>
          <w:rFonts w:ascii="宋体" w:hAnsi="宋体"/>
          <w:color w:val="auto"/>
          <w:szCs w:val="21"/>
          <w:highlight w:val="none"/>
        </w:rPr>
      </w:pPr>
      <w:r>
        <w:rPr>
          <w:rFonts w:hint="eastAsia" w:ascii="宋体" w:hAnsi="宋体"/>
          <w:color w:val="auto"/>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80"/>
        <w:rPr>
          <w:rFonts w:ascii="宋体" w:hAnsi="宋体"/>
          <w:color w:val="auto"/>
          <w:szCs w:val="21"/>
          <w:highlight w:val="none"/>
        </w:rPr>
      </w:pPr>
      <w:r>
        <w:rPr>
          <w:rFonts w:hint="eastAsia" w:ascii="宋体" w:hAnsi="宋体"/>
          <w:color w:val="auto"/>
          <w:szCs w:val="21"/>
          <w:highlight w:val="none"/>
        </w:rPr>
        <w:t>2.15.3检验和验收标准、程序等具体内容以及前述验收书的效力详见</w:t>
      </w:r>
      <w:r>
        <w:rPr>
          <w:rFonts w:ascii="宋体" w:hAnsi="宋体"/>
          <w:b/>
          <w:i/>
          <w:color w:val="auto"/>
          <w:szCs w:val="21"/>
          <w:highlight w:val="none"/>
          <w:u w:val="single"/>
        </w:rPr>
        <w:t>合同专用条款</w:t>
      </w:r>
      <w:r>
        <w:rPr>
          <w:rFonts w:hint="eastAsia" w:ascii="宋体" w:hAnsi="宋体"/>
          <w:i/>
          <w:color w:val="auto"/>
          <w:szCs w:val="21"/>
          <w:highlight w:val="none"/>
        </w:rPr>
        <w:t>。</w:t>
      </w:r>
    </w:p>
    <w:bookmarkEnd w:id="661"/>
    <w:bookmarkEnd w:id="662"/>
    <w:bookmarkEnd w:id="663"/>
    <w:bookmarkEnd w:id="664"/>
    <w:p>
      <w:pPr>
        <w:spacing w:line="360" w:lineRule="auto"/>
        <w:ind w:firstLine="482"/>
        <w:outlineLvl w:val="3"/>
        <w:rPr>
          <w:rFonts w:ascii="宋体" w:hAnsi="宋体"/>
          <w:b/>
          <w:bCs/>
          <w:color w:val="auto"/>
          <w:szCs w:val="21"/>
          <w:highlight w:val="none"/>
        </w:rPr>
      </w:pPr>
      <w:bookmarkStart w:id="692" w:name="_Toc279701263"/>
      <w:bookmarkStart w:id="693" w:name="_Toc259093692"/>
      <w:bookmarkStart w:id="694" w:name="_Toc12773"/>
      <w:bookmarkStart w:id="695" w:name="_Toc487900373"/>
      <w:bookmarkStart w:id="696" w:name="_Toc18567"/>
      <w:bookmarkStart w:id="697" w:name="_Toc10330"/>
      <w:r>
        <w:rPr>
          <w:rFonts w:hint="eastAsia" w:ascii="宋体" w:hAnsi="宋体"/>
          <w:b/>
          <w:bCs/>
          <w:color w:val="auto"/>
          <w:szCs w:val="21"/>
          <w:highlight w:val="none"/>
        </w:rPr>
        <w:t>2.</w:t>
      </w:r>
      <w:r>
        <w:rPr>
          <w:rFonts w:ascii="宋体" w:hAnsi="宋体"/>
          <w:b/>
          <w:bCs/>
          <w:color w:val="auto"/>
          <w:szCs w:val="21"/>
          <w:highlight w:val="none"/>
        </w:rPr>
        <w:t>16</w:t>
      </w:r>
      <w:r>
        <w:rPr>
          <w:rFonts w:hint="eastAsia" w:ascii="宋体" w:hAnsi="宋体"/>
          <w:b/>
          <w:bCs/>
          <w:color w:val="auto"/>
          <w:szCs w:val="21"/>
          <w:highlight w:val="none"/>
        </w:rPr>
        <w:t xml:space="preserve"> </w:t>
      </w:r>
      <w:r>
        <w:rPr>
          <w:rFonts w:hint="eastAsia" w:ascii="宋体" w:hAnsi="宋体"/>
          <w:b/>
          <w:bCs/>
          <w:color w:val="auto"/>
          <w:szCs w:val="21"/>
          <w:highlight w:val="none"/>
          <w:lang w:val="zh-CN"/>
        </w:rPr>
        <w:t>合同使用的文字和</w:t>
      </w:r>
      <w:r>
        <w:rPr>
          <w:rFonts w:ascii="宋体" w:hAnsi="宋体"/>
          <w:b/>
          <w:bCs/>
          <w:color w:val="auto"/>
          <w:szCs w:val="21"/>
          <w:highlight w:val="none"/>
          <w:lang w:val="zh-CN"/>
        </w:rPr>
        <w:t>适用的法律</w:t>
      </w:r>
      <w:bookmarkEnd w:id="692"/>
      <w:bookmarkEnd w:id="693"/>
      <w:bookmarkEnd w:id="694"/>
      <w:bookmarkEnd w:id="695"/>
      <w:bookmarkEnd w:id="696"/>
      <w:bookmarkEnd w:id="697"/>
    </w:p>
    <w:p>
      <w:pPr>
        <w:spacing w:line="360" w:lineRule="auto"/>
        <w:ind w:firstLine="48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16.1合同使用汉语</w:t>
      </w:r>
      <w:r>
        <w:rPr>
          <w:rFonts w:hint="eastAsia" w:ascii="宋体" w:hAnsi="宋体"/>
          <w:color w:val="auto"/>
          <w:szCs w:val="21"/>
          <w:highlight w:val="none"/>
        </w:rPr>
        <w:t>进行</w:t>
      </w:r>
      <w:r>
        <w:rPr>
          <w:rFonts w:ascii="宋体" w:hAnsi="宋体"/>
          <w:color w:val="auto"/>
          <w:szCs w:val="21"/>
          <w:highlight w:val="none"/>
        </w:rPr>
        <w:t>书</w:t>
      </w:r>
      <w:r>
        <w:rPr>
          <w:rFonts w:hint="eastAsia" w:ascii="宋体" w:hAnsi="宋体"/>
          <w:color w:val="auto"/>
          <w:szCs w:val="21"/>
          <w:highlight w:val="none"/>
        </w:rPr>
        <w:t>写、</w:t>
      </w:r>
      <w:r>
        <w:rPr>
          <w:rFonts w:ascii="宋体" w:hAnsi="宋体"/>
          <w:color w:val="auto"/>
          <w:szCs w:val="21"/>
          <w:highlight w:val="none"/>
        </w:rPr>
        <w:t>变更和解释</w:t>
      </w:r>
      <w:r>
        <w:rPr>
          <w:rFonts w:hint="eastAsia" w:ascii="宋体" w:hAnsi="宋体"/>
          <w:color w:val="auto"/>
          <w:szCs w:val="21"/>
          <w:highlight w:val="none"/>
        </w:rPr>
        <w:t>；</w:t>
      </w:r>
    </w:p>
    <w:p>
      <w:pPr>
        <w:spacing w:line="360" w:lineRule="auto"/>
        <w:ind w:firstLine="48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16</w:t>
      </w:r>
      <w:r>
        <w:rPr>
          <w:rFonts w:hint="eastAsia" w:ascii="宋体" w:hAnsi="宋体"/>
          <w:color w:val="auto"/>
          <w:szCs w:val="21"/>
          <w:highlight w:val="none"/>
        </w:rPr>
        <w:t>.2合同适用</w:t>
      </w:r>
      <w:r>
        <w:rPr>
          <w:rFonts w:ascii="宋体" w:hAnsi="宋体"/>
          <w:color w:val="auto"/>
          <w:szCs w:val="21"/>
          <w:highlight w:val="none"/>
        </w:rPr>
        <w:t>中华人民共和国法律。</w:t>
      </w:r>
    </w:p>
    <w:p>
      <w:pPr>
        <w:spacing w:line="360" w:lineRule="auto"/>
        <w:ind w:firstLine="482"/>
        <w:outlineLvl w:val="3"/>
        <w:rPr>
          <w:rFonts w:ascii="宋体" w:hAnsi="宋体"/>
          <w:b/>
          <w:color w:val="auto"/>
          <w:szCs w:val="21"/>
          <w:highlight w:val="none"/>
        </w:rPr>
      </w:pPr>
      <w:bookmarkStart w:id="698" w:name="_Toc19890"/>
      <w:bookmarkStart w:id="699" w:name="_Toc14001"/>
      <w:bookmarkStart w:id="700" w:name="_Toc6885"/>
      <w:r>
        <w:rPr>
          <w:rFonts w:hint="eastAsia" w:ascii="宋体" w:hAnsi="宋体"/>
          <w:b/>
          <w:bCs/>
          <w:color w:val="auto"/>
          <w:szCs w:val="21"/>
          <w:highlight w:val="none"/>
          <w:lang w:val="zh-CN"/>
        </w:rPr>
        <w:t>2.</w:t>
      </w:r>
      <w:r>
        <w:rPr>
          <w:rFonts w:ascii="宋体" w:hAnsi="宋体"/>
          <w:b/>
          <w:bCs/>
          <w:color w:val="auto"/>
          <w:szCs w:val="21"/>
          <w:highlight w:val="none"/>
          <w:lang w:val="zh-CN"/>
        </w:rPr>
        <w:t>1</w:t>
      </w:r>
      <w:r>
        <w:rPr>
          <w:rFonts w:hint="eastAsia" w:ascii="宋体" w:hAnsi="宋体"/>
          <w:b/>
          <w:bCs/>
          <w:color w:val="auto"/>
          <w:szCs w:val="21"/>
          <w:highlight w:val="none"/>
        </w:rPr>
        <w:t>7</w:t>
      </w:r>
      <w:r>
        <w:rPr>
          <w:rFonts w:hint="eastAsia" w:ascii="宋体" w:hAnsi="宋体"/>
          <w:b/>
          <w:bCs/>
          <w:color w:val="auto"/>
          <w:szCs w:val="21"/>
          <w:highlight w:val="none"/>
          <w:lang w:val="zh-CN"/>
        </w:rPr>
        <w:t xml:space="preserve"> 合同份数</w:t>
      </w:r>
      <w:bookmarkEnd w:id="698"/>
      <w:bookmarkEnd w:id="699"/>
      <w:bookmarkEnd w:id="700"/>
    </w:p>
    <w:p>
      <w:pPr>
        <w:pStyle w:val="13"/>
        <w:overflowPunct w:val="0"/>
        <w:spacing w:line="440" w:lineRule="exact"/>
        <w:rPr>
          <w:rFonts w:ascii="宋体" w:cs="宋体"/>
          <w:color w:val="auto"/>
          <w:szCs w:val="21"/>
          <w:highlight w:val="none"/>
          <w:u w:color="000000"/>
        </w:rPr>
      </w:pPr>
      <w:r>
        <w:rPr>
          <w:rFonts w:hint="eastAsia" w:ascii="宋体" w:hAnsi="宋体"/>
          <w:color w:val="auto"/>
          <w:szCs w:val="21"/>
          <w:highlight w:val="none"/>
        </w:rPr>
        <w:t>一式六份，甲方四份，乙方两份，</w:t>
      </w:r>
      <w:r>
        <w:rPr>
          <w:rFonts w:ascii="宋体" w:hAnsi="宋体"/>
          <w:color w:val="auto"/>
          <w:szCs w:val="21"/>
          <w:highlight w:val="none"/>
        </w:rPr>
        <w:t>每份均具有同等法律效力</w:t>
      </w:r>
      <w:r>
        <w:rPr>
          <w:rFonts w:hint="eastAsia" w:ascii="宋体" w:hAnsi="宋体"/>
          <w:color w:val="auto"/>
          <w:szCs w:val="21"/>
          <w:highlight w:val="none"/>
        </w:rPr>
        <w:t>。</w:t>
      </w:r>
    </w:p>
    <w:p>
      <w:pPr>
        <w:widowControl/>
        <w:spacing w:line="360" w:lineRule="auto"/>
        <w:ind w:left="640" w:leftChars="305" w:firstLine="210" w:firstLineChars="100"/>
        <w:jc w:val="left"/>
        <w:rPr>
          <w:rFonts w:ascii="宋体" w:hAnsi="宋体"/>
          <w:color w:val="auto"/>
          <w:kern w:val="0"/>
          <w:szCs w:val="21"/>
          <w:highlight w:val="none"/>
        </w:rPr>
      </w:pPr>
    </w:p>
    <w:p>
      <w:pPr>
        <w:widowControl/>
        <w:spacing w:line="360" w:lineRule="auto"/>
        <w:ind w:left="640" w:leftChars="305" w:firstLine="210" w:firstLineChars="100"/>
        <w:jc w:val="left"/>
        <w:rPr>
          <w:rFonts w:ascii="宋体" w:hAnsi="宋体"/>
          <w:color w:val="auto"/>
          <w:kern w:val="0"/>
          <w:szCs w:val="21"/>
          <w:highlight w:val="none"/>
        </w:rPr>
      </w:pPr>
    </w:p>
    <w:p>
      <w:pPr>
        <w:widowControl/>
        <w:spacing w:line="360" w:lineRule="auto"/>
        <w:ind w:left="640" w:leftChars="305" w:firstLine="210" w:firstLineChars="100"/>
        <w:jc w:val="left"/>
        <w:rPr>
          <w:rFonts w:ascii="宋体" w:hAnsi="宋体"/>
          <w:color w:val="auto"/>
          <w:kern w:val="0"/>
          <w:szCs w:val="21"/>
          <w:highlight w:val="none"/>
        </w:rPr>
      </w:pPr>
    </w:p>
    <w:p>
      <w:pPr>
        <w:widowControl/>
        <w:spacing w:line="360" w:lineRule="auto"/>
        <w:ind w:left="640" w:leftChars="305" w:firstLine="210" w:firstLineChars="100"/>
        <w:jc w:val="left"/>
        <w:rPr>
          <w:rFonts w:ascii="宋体" w:hAnsi="宋体"/>
          <w:color w:val="auto"/>
          <w:kern w:val="0"/>
          <w:szCs w:val="21"/>
          <w:highlight w:val="none"/>
        </w:rPr>
      </w:pPr>
      <w:r>
        <w:rPr>
          <w:rFonts w:ascii="宋体" w:hAnsi="宋体"/>
          <w:color w:val="auto"/>
          <w:kern w:val="0"/>
          <w:szCs w:val="21"/>
          <w:highlight w:val="none"/>
        </w:rPr>
        <w:t>　　</w:t>
      </w:r>
    </w:p>
    <w:p>
      <w:pPr>
        <w:spacing w:before="156" w:beforeLines="50" w:after="156" w:afterLines="50"/>
        <w:ind w:firstLine="643"/>
        <w:jc w:val="center"/>
        <w:outlineLvl w:val="0"/>
        <w:rPr>
          <w:rFonts w:ascii="宋体"/>
          <w:b/>
          <w:color w:val="auto"/>
          <w:sz w:val="32"/>
          <w:szCs w:val="32"/>
          <w:highlight w:val="none"/>
        </w:rPr>
      </w:pPr>
    </w:p>
    <w:p>
      <w:pPr>
        <w:spacing w:before="156" w:beforeLines="50" w:after="156" w:afterLines="50"/>
        <w:ind w:firstLine="643"/>
        <w:jc w:val="center"/>
        <w:outlineLvl w:val="0"/>
        <w:rPr>
          <w:rFonts w:ascii="宋体"/>
          <w:b/>
          <w:color w:val="auto"/>
          <w:sz w:val="32"/>
          <w:szCs w:val="32"/>
          <w:highlight w:val="none"/>
        </w:rPr>
      </w:pPr>
    </w:p>
    <w:p>
      <w:pPr>
        <w:pStyle w:val="49"/>
        <w:ind w:firstLine="643"/>
        <w:rPr>
          <w:rFonts w:ascii="宋体"/>
          <w:b/>
          <w:color w:val="auto"/>
          <w:sz w:val="32"/>
          <w:szCs w:val="32"/>
          <w:highlight w:val="none"/>
        </w:rPr>
      </w:pPr>
    </w:p>
    <w:p>
      <w:pPr>
        <w:ind w:firstLine="643"/>
        <w:rPr>
          <w:rFonts w:ascii="宋体"/>
          <w:b/>
          <w:color w:val="auto"/>
          <w:sz w:val="32"/>
          <w:szCs w:val="32"/>
          <w:highlight w:val="none"/>
        </w:rPr>
      </w:pPr>
    </w:p>
    <w:p>
      <w:pPr>
        <w:pStyle w:val="49"/>
        <w:ind w:firstLine="643"/>
        <w:rPr>
          <w:rFonts w:ascii="宋体"/>
          <w:b/>
          <w:color w:val="auto"/>
          <w:sz w:val="32"/>
          <w:szCs w:val="32"/>
          <w:highlight w:val="none"/>
        </w:rPr>
      </w:pPr>
    </w:p>
    <w:p>
      <w:pPr>
        <w:rPr>
          <w:rFonts w:ascii="宋体"/>
          <w:b/>
          <w:color w:val="auto"/>
          <w:sz w:val="32"/>
          <w:szCs w:val="32"/>
          <w:highlight w:val="none"/>
        </w:rPr>
      </w:pPr>
    </w:p>
    <w:p>
      <w:pPr>
        <w:rPr>
          <w:rFonts w:ascii="宋体"/>
          <w:b/>
          <w:color w:val="auto"/>
          <w:sz w:val="32"/>
          <w:szCs w:val="32"/>
          <w:highlight w:val="none"/>
        </w:rPr>
      </w:pPr>
    </w:p>
    <w:p>
      <w:pPr>
        <w:rPr>
          <w:rFonts w:ascii="宋体"/>
          <w:b/>
          <w:color w:val="auto"/>
          <w:sz w:val="32"/>
          <w:szCs w:val="32"/>
          <w:highlight w:val="none"/>
        </w:rPr>
      </w:pPr>
    </w:p>
    <w:p>
      <w:pPr>
        <w:rPr>
          <w:rFonts w:ascii="宋体"/>
          <w:b/>
          <w:color w:val="auto"/>
          <w:sz w:val="32"/>
          <w:szCs w:val="32"/>
          <w:highlight w:val="none"/>
        </w:rPr>
      </w:pPr>
    </w:p>
    <w:p>
      <w:pPr>
        <w:rPr>
          <w:rFonts w:ascii="宋体"/>
          <w:b/>
          <w:color w:val="auto"/>
          <w:sz w:val="32"/>
          <w:szCs w:val="32"/>
          <w:highlight w:val="none"/>
        </w:rPr>
      </w:pPr>
    </w:p>
    <w:p>
      <w:pPr>
        <w:rPr>
          <w:rFonts w:ascii="宋体"/>
          <w:b/>
          <w:color w:val="auto"/>
          <w:sz w:val="32"/>
          <w:szCs w:val="32"/>
          <w:highlight w:val="none"/>
        </w:rPr>
      </w:pPr>
    </w:p>
    <w:p>
      <w:pPr>
        <w:rPr>
          <w:rFonts w:ascii="宋体"/>
          <w:b/>
          <w:color w:val="auto"/>
          <w:sz w:val="32"/>
          <w:szCs w:val="32"/>
          <w:highlight w:val="none"/>
        </w:rPr>
      </w:pPr>
    </w:p>
    <w:p>
      <w:pPr>
        <w:rPr>
          <w:rFonts w:ascii="宋体"/>
          <w:b/>
          <w:color w:val="auto"/>
          <w:sz w:val="32"/>
          <w:szCs w:val="32"/>
          <w:highlight w:val="none"/>
        </w:rPr>
      </w:pPr>
    </w:p>
    <w:p>
      <w:pPr>
        <w:ind w:firstLine="480"/>
        <w:rPr>
          <w:color w:val="auto"/>
          <w:highlight w:val="none"/>
        </w:rPr>
      </w:pPr>
    </w:p>
    <w:p>
      <w:pPr>
        <w:spacing w:before="156" w:beforeLines="50" w:after="156" w:afterLines="50"/>
        <w:ind w:firstLine="643"/>
        <w:jc w:val="center"/>
        <w:outlineLvl w:val="0"/>
        <w:rPr>
          <w:rFonts w:ascii="宋体"/>
          <w:b/>
          <w:color w:val="auto"/>
          <w:sz w:val="32"/>
          <w:szCs w:val="32"/>
          <w:highlight w:val="none"/>
        </w:rPr>
      </w:pPr>
      <w:r>
        <w:rPr>
          <w:rFonts w:hint="eastAsia" w:ascii="宋体"/>
          <w:b/>
          <w:color w:val="auto"/>
          <w:sz w:val="32"/>
          <w:szCs w:val="32"/>
          <w:highlight w:val="none"/>
        </w:rPr>
        <w:t>第六章  投标文件格式</w:t>
      </w:r>
      <w:bookmarkEnd w:id="558"/>
      <w:bookmarkEnd w:id="559"/>
    </w:p>
    <w:p>
      <w:pPr>
        <w:ind w:firstLine="400"/>
        <w:rPr>
          <w:rFonts w:eastAsia="黑体"/>
          <w:color w:val="auto"/>
          <w:sz w:val="20"/>
          <w:highlight w:val="none"/>
        </w:rPr>
      </w:pPr>
    </w:p>
    <w:p>
      <w:pPr>
        <w:ind w:firstLine="880"/>
        <w:jc w:val="center"/>
        <w:rPr>
          <w:rFonts w:eastAsia="黑体"/>
          <w:color w:val="auto"/>
          <w:sz w:val="44"/>
          <w:szCs w:val="44"/>
          <w:highlight w:val="none"/>
        </w:rPr>
      </w:pPr>
    </w:p>
    <w:p>
      <w:pPr>
        <w:ind w:firstLine="562"/>
        <w:jc w:val="center"/>
        <w:rPr>
          <w:rFonts w:ascii="宋体" w:hAnsi="宋体"/>
          <w:b/>
          <w:color w:val="auto"/>
          <w:sz w:val="28"/>
          <w:szCs w:val="28"/>
          <w:highlight w:val="none"/>
          <w:bdr w:val="single" w:color="000000" w:sz="4" w:space="0"/>
        </w:rPr>
      </w:pPr>
      <w:r>
        <w:rPr>
          <w:rFonts w:hint="eastAsia" w:ascii="宋体" w:hAnsi="宋体"/>
          <w:b/>
          <w:color w:val="auto"/>
          <w:sz w:val="28"/>
          <w:szCs w:val="28"/>
          <w:highlight w:val="none"/>
        </w:rPr>
        <w:t>一、资信证明格式文件</w:t>
      </w:r>
    </w:p>
    <w:p>
      <w:pPr>
        <w:ind w:firstLine="400"/>
        <w:jc w:val="center"/>
        <w:rPr>
          <w:rFonts w:eastAsia="黑体"/>
          <w:color w:val="auto"/>
          <w:sz w:val="20"/>
          <w:highlight w:val="none"/>
        </w:rPr>
      </w:pPr>
    </w:p>
    <w:p>
      <w:pPr>
        <w:ind w:firstLine="400"/>
        <w:rPr>
          <w:rFonts w:eastAsia="黑体"/>
          <w:color w:val="auto"/>
          <w:sz w:val="20"/>
          <w:highlight w:val="none"/>
        </w:rPr>
      </w:pPr>
    </w:p>
    <w:p>
      <w:pPr>
        <w:ind w:firstLine="883"/>
        <w:jc w:val="center"/>
        <w:rPr>
          <w:rFonts w:ascii="宋体"/>
          <w:b/>
          <w:color w:val="auto"/>
          <w:sz w:val="44"/>
          <w:szCs w:val="44"/>
          <w:highlight w:val="none"/>
        </w:rPr>
      </w:pPr>
      <w:bookmarkStart w:id="701" w:name="_Toc449028949"/>
      <w:bookmarkStart w:id="702" w:name="_Toc350698753"/>
      <w:r>
        <w:rPr>
          <w:rFonts w:hint="eastAsia" w:ascii="宋体"/>
          <w:b/>
          <w:color w:val="auto"/>
          <w:sz w:val="44"/>
          <w:szCs w:val="44"/>
          <w:highlight w:val="none"/>
        </w:rPr>
        <w:t>资信证明文件</w:t>
      </w:r>
      <w:bookmarkEnd w:id="701"/>
      <w:bookmarkEnd w:id="702"/>
    </w:p>
    <w:p>
      <w:pPr>
        <w:ind w:firstLine="640"/>
        <w:jc w:val="center"/>
        <w:rPr>
          <w:rFonts w:ascii="宋体"/>
          <w:color w:val="auto"/>
          <w:sz w:val="32"/>
          <w:szCs w:val="32"/>
          <w:highlight w:val="none"/>
        </w:rPr>
      </w:pPr>
      <w:r>
        <w:rPr>
          <w:rFonts w:hint="eastAsia" w:ascii="宋体"/>
          <w:color w:val="auto"/>
          <w:sz w:val="32"/>
          <w:szCs w:val="32"/>
          <w:highlight w:val="none"/>
        </w:rPr>
        <w:t>（投标文件一）</w:t>
      </w:r>
    </w:p>
    <w:p>
      <w:pPr>
        <w:ind w:firstLine="880"/>
        <w:jc w:val="center"/>
        <w:rPr>
          <w:rFonts w:eastAsia="黑体"/>
          <w:color w:val="auto"/>
          <w:sz w:val="44"/>
          <w:szCs w:val="44"/>
          <w:highlight w:val="none"/>
        </w:rPr>
      </w:pPr>
    </w:p>
    <w:p>
      <w:pPr>
        <w:ind w:firstLine="640"/>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pPr>
        <w:ind w:firstLine="560"/>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pPr>
        <w:ind w:firstLine="560"/>
        <w:rPr>
          <w:rFonts w:ascii="宋体"/>
          <w:color w:val="auto"/>
          <w:sz w:val="28"/>
          <w:szCs w:val="28"/>
          <w:highlight w:val="none"/>
        </w:rPr>
      </w:pPr>
    </w:p>
    <w:p>
      <w:pPr>
        <w:ind w:firstLine="560"/>
        <w:rPr>
          <w:rFonts w:ascii="宋体"/>
          <w:color w:val="auto"/>
          <w:sz w:val="28"/>
          <w:szCs w:val="28"/>
          <w:highlight w:val="none"/>
        </w:rPr>
      </w:pPr>
    </w:p>
    <w:p>
      <w:pPr>
        <w:ind w:firstLine="560"/>
        <w:rPr>
          <w:rFonts w:ascii="宋体"/>
          <w:color w:val="auto"/>
          <w:sz w:val="28"/>
          <w:szCs w:val="28"/>
          <w:highlight w:val="none"/>
        </w:rPr>
      </w:pPr>
    </w:p>
    <w:p>
      <w:pPr>
        <w:ind w:firstLine="560"/>
        <w:rPr>
          <w:rFonts w:ascii="宋体"/>
          <w:color w:val="auto"/>
          <w:sz w:val="28"/>
          <w:szCs w:val="28"/>
          <w:highlight w:val="none"/>
        </w:rPr>
      </w:pPr>
    </w:p>
    <w:p>
      <w:pPr>
        <w:ind w:firstLine="560"/>
        <w:rPr>
          <w:rFonts w:ascii="宋体"/>
          <w:color w:val="auto"/>
          <w:sz w:val="28"/>
          <w:szCs w:val="28"/>
          <w:highlight w:val="none"/>
        </w:rPr>
      </w:pPr>
    </w:p>
    <w:p>
      <w:pPr>
        <w:ind w:firstLine="560"/>
        <w:rPr>
          <w:rFonts w:ascii="宋体"/>
          <w:color w:val="auto"/>
          <w:sz w:val="28"/>
          <w:szCs w:val="28"/>
          <w:highlight w:val="none"/>
        </w:rPr>
      </w:pPr>
    </w:p>
    <w:p>
      <w:pPr>
        <w:ind w:firstLine="560"/>
        <w:rPr>
          <w:rFonts w:ascii="宋体"/>
          <w:color w:val="auto"/>
          <w:sz w:val="28"/>
          <w:szCs w:val="28"/>
          <w:highlight w:val="none"/>
        </w:rPr>
      </w:pPr>
    </w:p>
    <w:p>
      <w:pPr>
        <w:ind w:firstLine="560"/>
        <w:jc w:val="center"/>
        <w:rPr>
          <w:rFonts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pPr>
        <w:ind w:firstLine="560" w:firstLineChars="200"/>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pPr>
        <w:ind w:firstLine="560"/>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pPr>
        <w:spacing w:line="720" w:lineRule="auto"/>
        <w:ind w:firstLine="723"/>
        <w:jc w:val="center"/>
        <w:rPr>
          <w:rFonts w:ascii="宋体"/>
          <w:b/>
          <w:color w:val="auto"/>
          <w:sz w:val="36"/>
          <w:szCs w:val="36"/>
          <w:highlight w:val="none"/>
        </w:rPr>
      </w:pPr>
    </w:p>
    <w:p>
      <w:pPr>
        <w:jc w:val="center"/>
        <w:rPr>
          <w:b/>
          <w:color w:val="auto"/>
          <w:sz w:val="44"/>
          <w:szCs w:val="44"/>
          <w:highlight w:val="none"/>
        </w:rPr>
      </w:pPr>
      <w:r>
        <w:rPr>
          <w:rFonts w:hint="eastAsia"/>
          <w:b/>
          <w:color w:val="auto"/>
          <w:sz w:val="36"/>
          <w:szCs w:val="36"/>
          <w:highlight w:val="none"/>
        </w:rPr>
        <w:t>目   录</w:t>
      </w:r>
    </w:p>
    <w:p>
      <w:pPr>
        <w:spacing w:line="400" w:lineRule="exact"/>
        <w:ind w:firstLine="562" w:firstLineChars="200"/>
        <w:rPr>
          <w:rFonts w:ascii="宋体" w:hAnsi="宋体" w:cs="宋体"/>
          <w:b/>
          <w:color w:val="auto"/>
          <w:sz w:val="28"/>
          <w:szCs w:val="28"/>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（1）法定代表人身份证明及其有效身份证复印件（或法定代表人授权委托书及其有效身份证复印件）（格式见附件）；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（2）投标人有效的营业执照、税务登记证、组织机构代码证（或三合一证书）；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（3）诚信投标承诺书（格式见附件）；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（4）投标人业绩要求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（5）供应商应具有中国合格评定国家认可委员会颁发的检验机构认可证书（CNAS）或检验检测机构资质认定证书（CMA）</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（6）招标文件中要求的资信评审和资信评分的支持资料；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（7）投标人认为需要提供的其他资信证明材料。</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hAnsi="宋体"/>
          <w:color w:val="auto"/>
          <w:szCs w:val="21"/>
          <w:highlight w:val="none"/>
        </w:rPr>
      </w:pPr>
    </w:p>
    <w:p>
      <w:pPr>
        <w:spacing w:line="400" w:lineRule="exact"/>
        <w:ind w:firstLine="562" w:firstLineChars="200"/>
        <w:rPr>
          <w:b/>
          <w:color w:val="auto"/>
          <w:sz w:val="28"/>
          <w:szCs w:val="28"/>
          <w:highlight w:val="none"/>
        </w:rPr>
      </w:pPr>
    </w:p>
    <w:p>
      <w:pPr>
        <w:spacing w:line="400" w:lineRule="exact"/>
        <w:ind w:firstLine="562" w:firstLineChars="200"/>
        <w:rPr>
          <w:b/>
          <w:color w:val="auto"/>
          <w:sz w:val="28"/>
          <w:szCs w:val="28"/>
          <w:highlight w:val="none"/>
        </w:rPr>
      </w:pPr>
    </w:p>
    <w:p>
      <w:pPr>
        <w:spacing w:line="400" w:lineRule="exact"/>
        <w:ind w:firstLine="562" w:firstLineChars="200"/>
        <w:rPr>
          <w:b/>
          <w:color w:val="auto"/>
          <w:sz w:val="28"/>
          <w:szCs w:val="28"/>
          <w:highlight w:val="none"/>
        </w:rPr>
      </w:pPr>
    </w:p>
    <w:p>
      <w:pPr>
        <w:spacing w:line="400" w:lineRule="exact"/>
        <w:ind w:firstLine="562" w:firstLineChars="200"/>
        <w:rPr>
          <w:b/>
          <w:color w:val="auto"/>
          <w:sz w:val="28"/>
          <w:szCs w:val="28"/>
          <w:highlight w:val="none"/>
        </w:rPr>
      </w:pPr>
    </w:p>
    <w:p>
      <w:pPr>
        <w:spacing w:line="400" w:lineRule="exact"/>
        <w:ind w:firstLine="562" w:firstLineChars="200"/>
        <w:rPr>
          <w:b/>
          <w:color w:val="auto"/>
          <w:sz w:val="28"/>
          <w:szCs w:val="28"/>
          <w:highlight w:val="none"/>
        </w:rPr>
      </w:pPr>
    </w:p>
    <w:p>
      <w:pPr>
        <w:spacing w:line="400" w:lineRule="exact"/>
        <w:ind w:firstLine="562" w:firstLineChars="200"/>
        <w:rPr>
          <w:b/>
          <w:color w:val="auto"/>
          <w:sz w:val="28"/>
          <w:szCs w:val="28"/>
          <w:highlight w:val="none"/>
        </w:rPr>
      </w:pPr>
    </w:p>
    <w:p>
      <w:pPr>
        <w:spacing w:line="400" w:lineRule="exact"/>
        <w:ind w:firstLine="562"/>
        <w:rPr>
          <w:b/>
          <w:color w:val="auto"/>
          <w:sz w:val="28"/>
          <w:szCs w:val="28"/>
          <w:highlight w:val="none"/>
        </w:rPr>
        <w:sectPr>
          <w:headerReference r:id="rId6" w:type="default"/>
          <w:footerReference r:id="rId7" w:type="default"/>
          <w:pgSz w:w="11906" w:h="16838"/>
          <w:pgMar w:top="1440" w:right="1080" w:bottom="1440" w:left="1080" w:header="851" w:footer="992" w:gutter="0"/>
          <w:cols w:space="720" w:num="1"/>
          <w:docGrid w:type="lines" w:linePitch="312" w:charSpace="0"/>
        </w:sectPr>
      </w:pPr>
    </w:p>
    <w:p>
      <w:pPr>
        <w:spacing w:line="360" w:lineRule="auto"/>
        <w:ind w:firstLine="562"/>
        <w:rPr>
          <w:b/>
          <w:color w:val="auto"/>
          <w:sz w:val="28"/>
          <w:szCs w:val="28"/>
          <w:highlight w:val="none"/>
        </w:rPr>
      </w:pPr>
      <w:r>
        <w:rPr>
          <w:rFonts w:hint="eastAsia"/>
          <w:b/>
          <w:color w:val="auto"/>
          <w:sz w:val="28"/>
          <w:szCs w:val="28"/>
          <w:highlight w:val="none"/>
        </w:rPr>
        <w:t>附件1</w:t>
      </w:r>
    </w:p>
    <w:p>
      <w:pPr>
        <w:spacing w:line="360" w:lineRule="auto"/>
        <w:ind w:left="720" w:firstLine="562"/>
        <w:jc w:val="center"/>
        <w:rPr>
          <w:rFonts w:ascii="宋体"/>
          <w:b/>
          <w:color w:val="auto"/>
          <w:sz w:val="28"/>
          <w:szCs w:val="28"/>
          <w:highlight w:val="none"/>
        </w:rPr>
      </w:pPr>
      <w:r>
        <w:rPr>
          <w:rFonts w:hint="eastAsia"/>
          <w:b/>
          <w:color w:val="auto"/>
          <w:sz w:val="28"/>
          <w:szCs w:val="28"/>
          <w:highlight w:val="none"/>
        </w:rPr>
        <w:t>法定代表人身份证明或授权委托书</w:t>
      </w:r>
    </w:p>
    <w:p>
      <w:pPr>
        <w:pStyle w:val="224"/>
        <w:spacing w:before="312" w:beforeLines="100" w:after="312" w:afterLines="100" w:line="480" w:lineRule="exact"/>
        <w:ind w:firstLine="180" w:firstLineChars="75"/>
        <w:rPr>
          <w:rFonts w:ascii="宋体"/>
          <w:b/>
          <w:color w:val="auto"/>
          <w:sz w:val="24"/>
          <w:szCs w:val="24"/>
          <w:highlight w:val="none"/>
        </w:rPr>
      </w:pPr>
      <w:r>
        <w:rPr>
          <w:rFonts w:hint="eastAsia" w:ascii="宋体"/>
          <w:color w:val="auto"/>
          <w:sz w:val="24"/>
          <w:szCs w:val="24"/>
          <w:highlight w:val="none"/>
        </w:rPr>
        <w:t>1.法定代表人身份证明</w:t>
      </w:r>
    </w:p>
    <w:p>
      <w:pPr>
        <w:spacing w:line="480" w:lineRule="exact"/>
        <w:ind w:firstLine="480" w:firstLineChars="200"/>
        <w:rPr>
          <w:rFonts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pPr>
        <w:spacing w:line="480" w:lineRule="exact"/>
        <w:ind w:firstLine="480" w:firstLineChars="200"/>
        <w:rPr>
          <w:rFonts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pPr>
        <w:spacing w:line="480" w:lineRule="exact"/>
        <w:ind w:firstLine="480" w:firstLineChars="200"/>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pPr>
        <w:spacing w:line="480" w:lineRule="exact"/>
        <w:ind w:firstLine="480" w:firstLineChars="200"/>
        <w:rPr>
          <w:rFonts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pPr>
        <w:spacing w:line="480" w:lineRule="exact"/>
        <w:ind w:firstLine="480" w:firstLineChars="200"/>
        <w:rPr>
          <w:rFonts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pPr>
        <w:spacing w:line="480" w:lineRule="exact"/>
        <w:ind w:firstLine="720" w:firstLineChars="100"/>
        <w:rPr>
          <w:rFonts w:ascii="宋体"/>
          <w:color w:val="auto"/>
          <w:sz w:val="24"/>
          <w:highlight w:val="non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_</w:t>
      </w:r>
    </w:p>
    <w:p>
      <w:pPr>
        <w:spacing w:line="480" w:lineRule="exact"/>
        <w:ind w:firstLine="480" w:firstLineChars="200"/>
        <w:rPr>
          <w:rFonts w:ascii="宋体"/>
          <w:color w:val="auto"/>
          <w:sz w:val="24"/>
          <w:highlight w:val="none"/>
        </w:rPr>
      </w:pP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pPr>
        <w:spacing w:line="480" w:lineRule="exact"/>
        <w:ind w:firstLine="960" w:firstLineChars="400"/>
        <w:rPr>
          <w:rFonts w:ascii="宋体"/>
          <w:color w:val="auto"/>
          <w:sz w:val="24"/>
          <w:highlight w:val="none"/>
        </w:rPr>
      </w:pPr>
      <w:r>
        <w:rPr>
          <w:rFonts w:hint="eastAsia" w:ascii="宋体"/>
          <w:color w:val="auto"/>
          <w:sz w:val="24"/>
          <w:highlight w:val="none"/>
        </w:rPr>
        <w:t>特此证明。</w:t>
      </w:r>
    </w:p>
    <w:p>
      <w:pPr>
        <w:spacing w:line="360" w:lineRule="auto"/>
        <w:ind w:firstLine="3480" w:firstLineChars="1450"/>
        <w:rPr>
          <w:rFonts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（盖单位章）</w:t>
      </w:r>
    </w:p>
    <w:p>
      <w:pPr>
        <w:wordWrap w:val="0"/>
        <w:spacing w:line="360" w:lineRule="auto"/>
        <w:jc w:val="right"/>
        <w:rPr>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pPr>
        <w:pStyle w:val="224"/>
        <w:spacing w:before="312" w:beforeLines="100" w:after="312" w:afterLines="100" w:line="480" w:lineRule="exact"/>
        <w:ind w:firstLine="180" w:firstLineChars="75"/>
        <w:rPr>
          <w:rFonts w:ascii="宋体"/>
          <w:color w:val="auto"/>
          <w:sz w:val="24"/>
          <w:szCs w:val="24"/>
          <w:highlight w:val="none"/>
        </w:rPr>
      </w:pPr>
      <w:r>
        <w:rPr>
          <w:rFonts w:hint="eastAsia" w:ascii="宋体"/>
          <w:color w:val="auto"/>
          <w:sz w:val="24"/>
          <w:szCs w:val="24"/>
          <w:highlight w:val="none"/>
        </w:rPr>
        <w:t>2.授权委托书</w:t>
      </w:r>
    </w:p>
    <w:p>
      <w:pPr>
        <w:spacing w:line="480" w:lineRule="exact"/>
        <w:ind w:firstLine="480" w:firstLineChars="200"/>
        <w:rPr>
          <w:rFonts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”(项目名称、编号）招标文件，全权处理与该项目投标、评审答疑、签订合同以及与合同执行有关的一切事务，其法律后果由我方承担。</w:t>
      </w:r>
    </w:p>
    <w:p>
      <w:pPr>
        <w:spacing w:line="480" w:lineRule="exact"/>
        <w:ind w:firstLine="480" w:firstLineChars="200"/>
        <w:rPr>
          <w:rFonts w:ascii="宋体"/>
          <w:color w:val="auto"/>
          <w:sz w:val="24"/>
          <w:highlight w:val="none"/>
        </w:rPr>
      </w:pPr>
      <w:r>
        <w:rPr>
          <w:rFonts w:hint="eastAsia" w:ascii="宋体"/>
          <w:color w:val="auto"/>
          <w:sz w:val="24"/>
          <w:highlight w:val="none"/>
        </w:rPr>
        <w:t>委托期限：</w:t>
      </w:r>
      <w:r>
        <w:rPr>
          <w:rFonts w:hint="eastAsia" w:ascii="宋体"/>
          <w:color w:val="auto"/>
          <w:sz w:val="24"/>
          <w:highlight w:val="none"/>
          <w:u w:val="single"/>
        </w:rPr>
        <w:t xml:space="preserve">      。</w:t>
      </w:r>
      <w:r>
        <w:rPr>
          <w:rFonts w:hint="eastAsia" w:ascii="宋体"/>
          <w:color w:val="auto"/>
          <w:sz w:val="24"/>
          <w:highlight w:val="none"/>
        </w:rPr>
        <w:t xml:space="preserve">                                </w:t>
      </w:r>
    </w:p>
    <w:p>
      <w:pPr>
        <w:spacing w:line="480" w:lineRule="exact"/>
        <w:ind w:firstLine="480" w:firstLineChars="200"/>
        <w:rPr>
          <w:rFonts w:ascii="宋体"/>
          <w:color w:val="auto"/>
          <w:sz w:val="24"/>
          <w:highlight w:val="none"/>
        </w:rPr>
      </w:pPr>
      <w:r>
        <w:rPr>
          <w:rFonts w:hint="eastAsia" w:ascii="宋体"/>
          <w:color w:val="auto"/>
          <w:sz w:val="24"/>
          <w:highlight w:val="none"/>
        </w:rPr>
        <w:t>代理人无转委托权。</w:t>
      </w:r>
    </w:p>
    <w:p>
      <w:pPr>
        <w:spacing w:line="480" w:lineRule="exact"/>
        <w:ind w:firstLine="482" w:firstLineChars="200"/>
        <w:rPr>
          <w:rFonts w:ascii="宋体"/>
          <w:b/>
          <w:bCs/>
          <w:color w:val="auto"/>
          <w:sz w:val="24"/>
          <w:highlight w:val="none"/>
        </w:rPr>
      </w:pPr>
      <w:r>
        <w:rPr>
          <w:rFonts w:hint="eastAsia" w:ascii="宋体"/>
          <w:b/>
          <w:bCs/>
          <w:color w:val="auto"/>
          <w:sz w:val="24"/>
          <w:highlight w:val="none"/>
        </w:rPr>
        <w:t>附：授权委托人有效身份证及法定代表人有效身份证</w:t>
      </w:r>
    </w:p>
    <w:p>
      <w:pPr>
        <w:spacing w:line="480" w:lineRule="exact"/>
        <w:ind w:firstLine="2280" w:firstLineChars="950"/>
        <w:rPr>
          <w:rFonts w:ascii="宋体"/>
          <w:color w:val="auto"/>
          <w:sz w:val="24"/>
          <w:highlight w:val="none"/>
        </w:rPr>
      </w:pPr>
      <w:r>
        <w:rPr>
          <w:rFonts w:hint="eastAsia" w:ascii="宋体"/>
          <w:color w:val="auto"/>
          <w:sz w:val="24"/>
          <w:highlight w:val="none"/>
        </w:rPr>
        <w:t xml:space="preserve">                 投标人：             （盖单位章）</w:t>
      </w:r>
    </w:p>
    <w:p>
      <w:pPr>
        <w:spacing w:line="480" w:lineRule="exact"/>
        <w:jc w:val="right"/>
        <w:rPr>
          <w:rFonts w:ascii="宋体"/>
          <w:color w:val="auto"/>
          <w:sz w:val="24"/>
          <w:highlight w:val="none"/>
        </w:rPr>
      </w:pPr>
      <w:r>
        <w:rPr>
          <w:rFonts w:hint="eastAsia" w:ascii="宋体"/>
          <w:color w:val="auto"/>
          <w:sz w:val="24"/>
          <w:highlight w:val="none"/>
        </w:rPr>
        <w:t>法定代表人（身份证号码）：             （签字或盖章）</w:t>
      </w:r>
    </w:p>
    <w:p>
      <w:pPr>
        <w:spacing w:line="480" w:lineRule="exact"/>
        <w:ind w:firstLine="2820" w:firstLineChars="1175"/>
        <w:rPr>
          <w:rFonts w:ascii="宋体"/>
          <w:color w:val="auto"/>
          <w:sz w:val="24"/>
          <w:highlight w:val="none"/>
        </w:rPr>
      </w:pPr>
      <w:r>
        <w:rPr>
          <w:rFonts w:hint="eastAsia" w:ascii="宋体"/>
          <w:color w:val="auto"/>
          <w:sz w:val="24"/>
          <w:highlight w:val="none"/>
        </w:rPr>
        <w:t xml:space="preserve">              年    月    日</w:t>
      </w:r>
    </w:p>
    <w:p>
      <w:pPr>
        <w:spacing w:line="360" w:lineRule="exact"/>
        <w:ind w:firstLine="413" w:firstLineChars="147"/>
        <w:rPr>
          <w:b/>
          <w:color w:val="auto"/>
          <w:sz w:val="28"/>
          <w:szCs w:val="28"/>
          <w:highlight w:val="none"/>
          <w:u w:val="single"/>
        </w:rPr>
      </w:pPr>
    </w:p>
    <w:p>
      <w:pPr>
        <w:spacing w:line="360" w:lineRule="exact"/>
        <w:ind w:firstLine="413" w:firstLineChars="147"/>
        <w:rPr>
          <w:b/>
          <w:color w:val="auto"/>
          <w:sz w:val="28"/>
          <w:szCs w:val="28"/>
          <w:highlight w:val="none"/>
          <w:u w:val="single"/>
        </w:rPr>
      </w:pPr>
    </w:p>
    <w:p>
      <w:pPr>
        <w:spacing w:line="360" w:lineRule="exact"/>
        <w:ind w:firstLine="443" w:firstLineChars="147"/>
        <w:rPr>
          <w:rFonts w:ascii="宋体"/>
          <w:b/>
          <w:color w:val="auto"/>
          <w:sz w:val="30"/>
          <w:szCs w:val="30"/>
          <w:highlight w:val="none"/>
        </w:rPr>
      </w:pPr>
      <w:r>
        <w:rPr>
          <w:rFonts w:hint="eastAsia" w:ascii="宋体"/>
          <w:b/>
          <w:color w:val="auto"/>
          <w:sz w:val="30"/>
          <w:szCs w:val="30"/>
          <w:highlight w:val="none"/>
        </w:rPr>
        <w:t>附件2</w:t>
      </w:r>
    </w:p>
    <w:p>
      <w:pPr>
        <w:spacing w:line="360" w:lineRule="auto"/>
        <w:ind w:firstLine="562"/>
        <w:jc w:val="center"/>
        <w:rPr>
          <w:b/>
          <w:color w:val="auto"/>
          <w:sz w:val="28"/>
          <w:szCs w:val="28"/>
          <w:highlight w:val="none"/>
        </w:rPr>
      </w:pPr>
      <w:bookmarkStart w:id="703" w:name="_Toc440443268"/>
      <w:bookmarkStart w:id="704" w:name="_Toc449028950"/>
      <w:r>
        <w:rPr>
          <w:rFonts w:hint="eastAsia"/>
          <w:b/>
          <w:color w:val="auto"/>
          <w:sz w:val="28"/>
          <w:szCs w:val="28"/>
          <w:highlight w:val="none"/>
        </w:rPr>
        <w:t>诚信投标承诺书 </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本人以企业法定代表人的身份郑重承诺：</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项目的投标，所提供的一切材料都是真实、有效、合法的；</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二、本单位郑重声明，根据《中华人民共和国招标投标法》及《中华人民共和国招标投标法实施条例》的规定，我公司具有良好的商业信誉和健全的财务会计制度，具有履行合同所必需的设备和专业技术能力，有依法缴纳税收和社会保障资金的良好记录；参加招投标活动前三年内，本单位在经营活动中没有重大违法记录，没有因违法经营受到刑事处罚或者责令停产停业、吊销许可证或者执照、较大数额罚款等行政处罚。</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四、不与其他投标人相互串通投标报价，不排挤其他投标人的公平竞争、损害采购人的合法权益；</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五、不与采购人、招标代理机构或其他投标人串通投标，损害国家利益、社会公共利益或者他人的合法权益；</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六、我公司没有下列情形：1、被人民法院列入失信被执行人的；2、我公司及其法定代表人、拟任项目经理（建造师）前三年有行贿犯罪行为的；3、被市场监督管理部门列入经营异常名录或者严重违法企业名单的；4、被税务部门列入重大税收违法案件当事人的；5、被监管部门列入严重违法失信行为记录名单的；6、在“信用中国”网站上披露仍在公示期的严重失信行为的；7、参与招投标活动前3年在经营活动中有重大违法记录的。</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七、严格遵守开标现场纪律，服从监管人员管理；</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八、保证中标后不转包，若有分包征得采购人同意；</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九、保证中标之后，按照投标文件要求提供相关后续服务；</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以上内容我已仔细阅读，本公司若有违反承诺内容的行为，自愿接受取消投标或者中标资格、记入不良行为记录等有关处理，愿意承担法律责任，给采购人造成损失的，依法承担赔偿责任。</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 </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开户银行：                          基本账户：</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投标单位（盖单位章）：          法定代表人（签字或盖章）：</w:t>
      </w:r>
    </w:p>
    <w:p>
      <w:pPr>
        <w:spacing w:line="500" w:lineRule="exact"/>
        <w:ind w:firstLine="420" w:firstLineChars="200"/>
        <w:rPr>
          <w:rFonts w:ascii="宋体" w:hAnsi="宋体"/>
          <w:color w:val="auto"/>
          <w:szCs w:val="21"/>
          <w:highlight w:val="none"/>
        </w:rPr>
      </w:pPr>
    </w:p>
    <w:p>
      <w:pPr>
        <w:spacing w:line="360" w:lineRule="auto"/>
        <w:ind w:firstLine="480"/>
        <w:jc w:val="center"/>
        <w:rPr>
          <w:b/>
          <w:color w:val="auto"/>
          <w:sz w:val="28"/>
          <w:szCs w:val="28"/>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562"/>
        <w:jc w:val="center"/>
        <w:rPr>
          <w:b/>
          <w:color w:val="auto"/>
          <w:sz w:val="28"/>
          <w:szCs w:val="28"/>
          <w:highlight w:val="none"/>
        </w:rPr>
      </w:pPr>
    </w:p>
    <w:p>
      <w:pPr>
        <w:pStyle w:val="5"/>
        <w:ind w:firstLine="562"/>
        <w:rPr>
          <w:color w:val="auto"/>
          <w:highlight w:val="none"/>
        </w:rPr>
      </w:pPr>
    </w:p>
    <w:p>
      <w:pPr>
        <w:ind w:firstLine="562"/>
        <w:rPr>
          <w:b/>
          <w:color w:val="auto"/>
          <w:sz w:val="28"/>
          <w:szCs w:val="28"/>
          <w:highlight w:val="none"/>
        </w:rPr>
      </w:pPr>
    </w:p>
    <w:p>
      <w:pPr>
        <w:pStyle w:val="5"/>
        <w:ind w:firstLine="562"/>
        <w:rPr>
          <w:color w:val="auto"/>
          <w:highlight w:val="none"/>
        </w:rPr>
      </w:pPr>
    </w:p>
    <w:p>
      <w:pPr>
        <w:ind w:firstLine="562"/>
        <w:rPr>
          <w:b/>
          <w:color w:val="auto"/>
          <w:sz w:val="28"/>
          <w:szCs w:val="28"/>
          <w:highlight w:val="none"/>
        </w:rPr>
      </w:pPr>
    </w:p>
    <w:p>
      <w:pPr>
        <w:pStyle w:val="5"/>
        <w:ind w:firstLine="562"/>
        <w:rPr>
          <w:color w:val="auto"/>
          <w:highlight w:val="none"/>
        </w:rPr>
      </w:pPr>
    </w:p>
    <w:p>
      <w:pPr>
        <w:ind w:firstLine="562"/>
        <w:rPr>
          <w:b/>
          <w:color w:val="auto"/>
          <w:sz w:val="28"/>
          <w:szCs w:val="28"/>
          <w:highlight w:val="none"/>
        </w:rPr>
      </w:pPr>
    </w:p>
    <w:p>
      <w:pPr>
        <w:pStyle w:val="5"/>
        <w:ind w:firstLine="562"/>
        <w:rPr>
          <w:color w:val="auto"/>
          <w:highlight w:val="none"/>
        </w:rPr>
      </w:pPr>
    </w:p>
    <w:p>
      <w:pPr>
        <w:ind w:firstLine="562"/>
        <w:rPr>
          <w:b/>
          <w:color w:val="auto"/>
          <w:sz w:val="28"/>
          <w:szCs w:val="28"/>
          <w:highlight w:val="none"/>
        </w:rPr>
      </w:pPr>
    </w:p>
    <w:p>
      <w:pPr>
        <w:ind w:firstLine="562"/>
        <w:jc w:val="center"/>
        <w:rPr>
          <w:rFonts w:ascii="宋体" w:hAnsi="宋体"/>
          <w:b/>
          <w:color w:val="auto"/>
          <w:sz w:val="28"/>
          <w:szCs w:val="28"/>
          <w:highlight w:val="none"/>
        </w:rPr>
      </w:pPr>
    </w:p>
    <w:p>
      <w:pPr>
        <w:ind w:firstLine="562"/>
        <w:jc w:val="center"/>
        <w:rPr>
          <w:rFonts w:ascii="宋体" w:hAnsi="宋体"/>
          <w:b/>
          <w:color w:val="auto"/>
          <w:sz w:val="28"/>
          <w:szCs w:val="28"/>
          <w:highlight w:val="none"/>
        </w:rPr>
      </w:pPr>
    </w:p>
    <w:p>
      <w:pPr>
        <w:ind w:firstLine="562"/>
        <w:jc w:val="center"/>
        <w:rPr>
          <w:rFonts w:ascii="宋体" w:hAnsi="宋体"/>
          <w:b/>
          <w:color w:val="auto"/>
          <w:sz w:val="28"/>
          <w:szCs w:val="28"/>
          <w:highlight w:val="none"/>
        </w:rPr>
      </w:pPr>
    </w:p>
    <w:p>
      <w:pPr>
        <w:ind w:firstLine="562"/>
        <w:jc w:val="center"/>
        <w:rPr>
          <w:rFonts w:ascii="宋体" w:hAnsi="宋体"/>
          <w:b/>
          <w:color w:val="auto"/>
          <w:sz w:val="28"/>
          <w:szCs w:val="28"/>
          <w:highlight w:val="none"/>
        </w:rPr>
      </w:pPr>
    </w:p>
    <w:p>
      <w:pPr>
        <w:ind w:firstLine="562"/>
        <w:jc w:val="center"/>
        <w:rPr>
          <w:rFonts w:ascii="宋体" w:hAnsi="宋体"/>
          <w:b/>
          <w:color w:val="auto"/>
          <w:sz w:val="28"/>
          <w:szCs w:val="28"/>
          <w:highlight w:val="none"/>
        </w:rPr>
      </w:pPr>
    </w:p>
    <w:p>
      <w:pPr>
        <w:ind w:firstLine="562"/>
        <w:jc w:val="center"/>
        <w:rPr>
          <w:rFonts w:ascii="宋体"/>
          <w:color w:val="auto"/>
          <w:sz w:val="24"/>
          <w:highlight w:val="none"/>
        </w:rPr>
      </w:pPr>
      <w:r>
        <w:rPr>
          <w:rFonts w:hint="eastAsia" w:ascii="宋体" w:hAnsi="宋体"/>
          <w:b/>
          <w:color w:val="auto"/>
          <w:sz w:val="28"/>
          <w:szCs w:val="28"/>
          <w:highlight w:val="none"/>
        </w:rPr>
        <w:t>二、技术标格式文件</w:t>
      </w:r>
    </w:p>
    <w:p>
      <w:pPr>
        <w:ind w:firstLine="400"/>
        <w:jc w:val="center"/>
        <w:rPr>
          <w:rFonts w:eastAsia="黑体"/>
          <w:color w:val="auto"/>
          <w:sz w:val="20"/>
          <w:highlight w:val="none"/>
        </w:rPr>
      </w:pPr>
    </w:p>
    <w:p>
      <w:pPr>
        <w:ind w:firstLine="400"/>
        <w:rPr>
          <w:rFonts w:ascii="宋体"/>
          <w:color w:val="auto"/>
          <w:sz w:val="20"/>
          <w:highlight w:val="none"/>
        </w:rPr>
      </w:pPr>
    </w:p>
    <w:p>
      <w:pPr>
        <w:ind w:firstLine="400"/>
        <w:rPr>
          <w:rFonts w:ascii="宋体"/>
          <w:color w:val="auto"/>
          <w:sz w:val="20"/>
          <w:highlight w:val="none"/>
        </w:rPr>
      </w:pPr>
    </w:p>
    <w:p>
      <w:pPr>
        <w:pStyle w:val="49"/>
        <w:rPr>
          <w:color w:val="auto"/>
          <w:highlight w:val="none"/>
        </w:rPr>
      </w:pPr>
    </w:p>
    <w:p>
      <w:pPr>
        <w:ind w:firstLine="883"/>
        <w:jc w:val="center"/>
        <w:rPr>
          <w:rFonts w:ascii="宋体"/>
          <w:b/>
          <w:color w:val="auto"/>
          <w:sz w:val="44"/>
          <w:szCs w:val="44"/>
          <w:highlight w:val="none"/>
        </w:rPr>
      </w:pPr>
      <w:r>
        <w:rPr>
          <w:rFonts w:hint="eastAsia" w:ascii="宋体"/>
          <w:b/>
          <w:color w:val="auto"/>
          <w:sz w:val="44"/>
          <w:szCs w:val="44"/>
          <w:highlight w:val="none"/>
        </w:rPr>
        <w:t>技术标</w:t>
      </w:r>
    </w:p>
    <w:p>
      <w:pPr>
        <w:ind w:firstLine="880"/>
        <w:jc w:val="center"/>
        <w:rPr>
          <w:rFonts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投标文件二）</w:t>
      </w:r>
    </w:p>
    <w:p>
      <w:pPr>
        <w:ind w:firstLine="720"/>
        <w:jc w:val="center"/>
        <w:rPr>
          <w:rFonts w:ascii="宋体"/>
          <w:color w:val="auto"/>
          <w:sz w:val="36"/>
          <w:szCs w:val="36"/>
          <w:highlight w:val="none"/>
        </w:rPr>
      </w:pPr>
    </w:p>
    <w:p>
      <w:pPr>
        <w:ind w:firstLine="640"/>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pPr>
        <w:ind w:firstLine="560"/>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pPr>
        <w:ind w:firstLine="560"/>
        <w:rPr>
          <w:rFonts w:ascii="宋体"/>
          <w:color w:val="auto"/>
          <w:sz w:val="28"/>
          <w:szCs w:val="28"/>
          <w:highlight w:val="none"/>
        </w:rPr>
      </w:pPr>
    </w:p>
    <w:p>
      <w:pPr>
        <w:ind w:firstLine="560"/>
        <w:rPr>
          <w:rFonts w:ascii="宋体"/>
          <w:color w:val="auto"/>
          <w:sz w:val="28"/>
          <w:szCs w:val="28"/>
          <w:highlight w:val="none"/>
        </w:rPr>
      </w:pPr>
    </w:p>
    <w:p>
      <w:pPr>
        <w:ind w:firstLine="560"/>
        <w:rPr>
          <w:rFonts w:ascii="宋体"/>
          <w:color w:val="auto"/>
          <w:sz w:val="28"/>
          <w:szCs w:val="28"/>
          <w:highlight w:val="none"/>
        </w:rPr>
      </w:pPr>
    </w:p>
    <w:p>
      <w:pPr>
        <w:ind w:firstLine="560"/>
        <w:rPr>
          <w:rFonts w:ascii="宋体"/>
          <w:color w:val="auto"/>
          <w:sz w:val="28"/>
          <w:szCs w:val="28"/>
          <w:highlight w:val="none"/>
        </w:rPr>
      </w:pPr>
    </w:p>
    <w:p>
      <w:pPr>
        <w:ind w:firstLine="560"/>
        <w:rPr>
          <w:rFonts w:ascii="宋体"/>
          <w:color w:val="auto"/>
          <w:sz w:val="28"/>
          <w:szCs w:val="28"/>
          <w:highlight w:val="none"/>
        </w:rPr>
      </w:pPr>
    </w:p>
    <w:p>
      <w:pPr>
        <w:ind w:firstLine="560"/>
        <w:rPr>
          <w:rFonts w:ascii="宋体"/>
          <w:color w:val="auto"/>
          <w:sz w:val="28"/>
          <w:szCs w:val="28"/>
          <w:highlight w:val="none"/>
        </w:rPr>
      </w:pPr>
    </w:p>
    <w:p>
      <w:pPr>
        <w:ind w:firstLine="560"/>
        <w:rPr>
          <w:rFonts w:ascii="宋体"/>
          <w:color w:val="auto"/>
          <w:sz w:val="28"/>
          <w:szCs w:val="28"/>
          <w:highlight w:val="none"/>
        </w:rPr>
      </w:pPr>
    </w:p>
    <w:p>
      <w:pPr>
        <w:ind w:firstLine="560"/>
        <w:jc w:val="center"/>
        <w:rPr>
          <w:rFonts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pPr>
        <w:ind w:firstLine="700" w:firstLineChars="250"/>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pPr>
        <w:ind w:firstLine="560"/>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pPr>
        <w:pStyle w:val="5"/>
        <w:ind w:firstLine="562"/>
        <w:rPr>
          <w:rFonts w:ascii="宋体"/>
          <w:color w:val="auto"/>
          <w:highlight w:val="none"/>
        </w:rPr>
      </w:pPr>
    </w:p>
    <w:p>
      <w:pPr>
        <w:ind w:firstLine="560"/>
        <w:rPr>
          <w:rFonts w:ascii="宋体"/>
          <w:color w:val="auto"/>
          <w:sz w:val="28"/>
          <w:szCs w:val="28"/>
          <w:highlight w:val="none"/>
        </w:rPr>
      </w:pPr>
    </w:p>
    <w:p>
      <w:pPr>
        <w:pStyle w:val="3"/>
        <w:ind w:firstLine="643"/>
        <w:rPr>
          <w:color w:val="auto"/>
          <w:sz w:val="32"/>
          <w:highlight w:val="none"/>
        </w:rPr>
      </w:pPr>
      <w:bookmarkStart w:id="705" w:name="_Toc95223539"/>
      <w:r>
        <w:rPr>
          <w:rFonts w:hint="eastAsia"/>
          <w:color w:val="auto"/>
          <w:sz w:val="32"/>
          <w:highlight w:val="none"/>
        </w:rPr>
        <w:t>投标文件二：技术标目录</w:t>
      </w:r>
      <w:bookmarkEnd w:id="705"/>
    </w:p>
    <w:p>
      <w:pPr>
        <w:adjustRightInd w:val="0"/>
        <w:snapToGrid w:val="0"/>
        <w:spacing w:line="560" w:lineRule="exact"/>
        <w:ind w:firstLine="420"/>
        <w:rPr>
          <w:rFonts w:ascii="宋体" w:hAnsi="宋体"/>
          <w:color w:val="auto"/>
          <w:szCs w:val="21"/>
          <w:highlight w:val="none"/>
        </w:rPr>
      </w:pPr>
      <w:r>
        <w:rPr>
          <w:rFonts w:ascii="宋体" w:hAnsi="宋体"/>
          <w:color w:val="auto"/>
          <w:szCs w:val="21"/>
          <w:highlight w:val="none"/>
        </w:rPr>
        <w:t>按评审要求提供</w:t>
      </w:r>
    </w:p>
    <w:p>
      <w:pPr>
        <w:pStyle w:val="5"/>
        <w:ind w:firstLine="562"/>
        <w:rPr>
          <w:color w:val="auto"/>
          <w:highlight w:val="none"/>
        </w:rPr>
      </w:pPr>
    </w:p>
    <w:p>
      <w:pPr>
        <w:ind w:firstLine="723"/>
        <w:jc w:val="center"/>
        <w:rPr>
          <w:b/>
          <w:color w:val="auto"/>
          <w:sz w:val="36"/>
          <w:szCs w:val="36"/>
          <w:highlight w:val="none"/>
        </w:rPr>
      </w:pPr>
    </w:p>
    <w:p>
      <w:pPr>
        <w:ind w:firstLine="723"/>
        <w:jc w:val="center"/>
        <w:rPr>
          <w:b/>
          <w:color w:val="auto"/>
          <w:sz w:val="36"/>
          <w:szCs w:val="36"/>
          <w:highlight w:val="none"/>
        </w:rPr>
      </w:pPr>
    </w:p>
    <w:bookmarkEnd w:id="703"/>
    <w:bookmarkEnd w:id="704"/>
    <w:p>
      <w:pPr>
        <w:wordWrap w:val="0"/>
        <w:spacing w:before="100" w:beforeAutospacing="1" w:after="100" w:afterAutospacing="1"/>
        <w:ind w:firstLine="562"/>
        <w:jc w:val="center"/>
        <w:rPr>
          <w:rFonts w:ascii="宋体" w:hAnsi="宋体"/>
          <w:b/>
          <w:color w:val="auto"/>
          <w:sz w:val="28"/>
          <w:szCs w:val="28"/>
          <w:highlight w:val="none"/>
        </w:rPr>
      </w:pPr>
    </w:p>
    <w:p>
      <w:pPr>
        <w:ind w:firstLine="562"/>
        <w:jc w:val="center"/>
        <w:rPr>
          <w:rFonts w:ascii="宋体" w:hAnsi="宋体"/>
          <w:b/>
          <w:color w:val="auto"/>
          <w:sz w:val="28"/>
          <w:szCs w:val="28"/>
          <w:highlight w:val="none"/>
        </w:rPr>
      </w:pPr>
    </w:p>
    <w:p>
      <w:pPr>
        <w:ind w:firstLine="562"/>
        <w:jc w:val="center"/>
        <w:rPr>
          <w:rFonts w:ascii="宋体" w:hAnsi="宋体"/>
          <w:b/>
          <w:color w:val="auto"/>
          <w:sz w:val="28"/>
          <w:szCs w:val="28"/>
          <w:highlight w:val="none"/>
        </w:rPr>
      </w:pPr>
    </w:p>
    <w:p>
      <w:pPr>
        <w:ind w:firstLine="562"/>
        <w:jc w:val="center"/>
        <w:rPr>
          <w:rFonts w:ascii="宋体" w:hAnsi="宋体"/>
          <w:b/>
          <w:color w:val="auto"/>
          <w:sz w:val="28"/>
          <w:szCs w:val="28"/>
          <w:highlight w:val="none"/>
        </w:rPr>
      </w:pPr>
    </w:p>
    <w:p>
      <w:pPr>
        <w:ind w:firstLine="562"/>
        <w:jc w:val="center"/>
        <w:rPr>
          <w:rFonts w:ascii="宋体" w:hAnsi="宋体"/>
          <w:b/>
          <w:color w:val="auto"/>
          <w:sz w:val="28"/>
          <w:szCs w:val="28"/>
          <w:highlight w:val="none"/>
        </w:rPr>
      </w:pPr>
    </w:p>
    <w:p>
      <w:pPr>
        <w:ind w:firstLine="562"/>
        <w:jc w:val="center"/>
        <w:rPr>
          <w:rFonts w:ascii="宋体" w:hAnsi="宋体"/>
          <w:b/>
          <w:color w:val="auto"/>
          <w:sz w:val="28"/>
          <w:szCs w:val="28"/>
          <w:highlight w:val="none"/>
        </w:rPr>
      </w:pPr>
    </w:p>
    <w:p>
      <w:pPr>
        <w:ind w:firstLine="562"/>
        <w:jc w:val="center"/>
        <w:rPr>
          <w:rFonts w:ascii="宋体" w:hAnsi="宋体"/>
          <w:b/>
          <w:color w:val="auto"/>
          <w:sz w:val="28"/>
          <w:szCs w:val="28"/>
          <w:highlight w:val="none"/>
        </w:rPr>
      </w:pPr>
    </w:p>
    <w:p>
      <w:pPr>
        <w:ind w:firstLine="562"/>
        <w:jc w:val="center"/>
        <w:rPr>
          <w:rFonts w:ascii="宋体" w:hAnsi="宋体"/>
          <w:b/>
          <w:color w:val="auto"/>
          <w:sz w:val="28"/>
          <w:szCs w:val="28"/>
          <w:highlight w:val="none"/>
        </w:rPr>
      </w:pPr>
    </w:p>
    <w:p>
      <w:pPr>
        <w:ind w:firstLine="562"/>
        <w:jc w:val="center"/>
        <w:rPr>
          <w:rFonts w:ascii="宋体" w:hAnsi="宋体"/>
          <w:b/>
          <w:color w:val="auto"/>
          <w:sz w:val="28"/>
          <w:szCs w:val="28"/>
          <w:highlight w:val="none"/>
        </w:rPr>
      </w:pPr>
    </w:p>
    <w:p>
      <w:pPr>
        <w:ind w:firstLine="562"/>
        <w:jc w:val="center"/>
        <w:rPr>
          <w:rFonts w:ascii="宋体" w:hAnsi="宋体"/>
          <w:b/>
          <w:color w:val="auto"/>
          <w:sz w:val="28"/>
          <w:szCs w:val="28"/>
          <w:highlight w:val="none"/>
        </w:rPr>
      </w:pPr>
    </w:p>
    <w:p>
      <w:pPr>
        <w:ind w:firstLine="562"/>
        <w:jc w:val="center"/>
        <w:rPr>
          <w:rFonts w:ascii="宋体" w:hAnsi="宋体"/>
          <w:b/>
          <w:color w:val="auto"/>
          <w:sz w:val="28"/>
          <w:szCs w:val="28"/>
          <w:highlight w:val="none"/>
        </w:rPr>
      </w:pPr>
    </w:p>
    <w:p>
      <w:pPr>
        <w:ind w:firstLine="562"/>
        <w:jc w:val="center"/>
        <w:rPr>
          <w:rFonts w:ascii="宋体" w:hAnsi="宋体"/>
          <w:b/>
          <w:color w:val="auto"/>
          <w:sz w:val="28"/>
          <w:szCs w:val="28"/>
          <w:highlight w:val="none"/>
        </w:rPr>
      </w:pPr>
    </w:p>
    <w:p>
      <w:pPr>
        <w:ind w:firstLine="562"/>
        <w:jc w:val="center"/>
        <w:rPr>
          <w:rFonts w:ascii="宋体" w:hAnsi="宋体"/>
          <w:b/>
          <w:color w:val="auto"/>
          <w:sz w:val="28"/>
          <w:szCs w:val="28"/>
          <w:highlight w:val="none"/>
        </w:rPr>
      </w:pPr>
    </w:p>
    <w:p>
      <w:pPr>
        <w:ind w:firstLine="562"/>
        <w:jc w:val="center"/>
        <w:rPr>
          <w:rFonts w:ascii="宋体" w:hAnsi="宋体"/>
          <w:b/>
          <w:color w:val="auto"/>
          <w:sz w:val="28"/>
          <w:szCs w:val="28"/>
          <w:highlight w:val="none"/>
        </w:rPr>
      </w:pPr>
    </w:p>
    <w:p>
      <w:pPr>
        <w:ind w:firstLine="562"/>
        <w:jc w:val="center"/>
        <w:rPr>
          <w:rFonts w:ascii="宋体" w:hAnsi="宋体"/>
          <w:b/>
          <w:color w:val="auto"/>
          <w:sz w:val="28"/>
          <w:szCs w:val="28"/>
          <w:highlight w:val="none"/>
        </w:rPr>
      </w:pPr>
    </w:p>
    <w:p>
      <w:pPr>
        <w:ind w:firstLine="562"/>
        <w:jc w:val="center"/>
        <w:rPr>
          <w:rFonts w:ascii="宋体"/>
          <w:color w:val="auto"/>
          <w:sz w:val="24"/>
          <w:highlight w:val="none"/>
        </w:rPr>
      </w:pPr>
      <w:r>
        <w:rPr>
          <w:rFonts w:hint="eastAsia" w:ascii="宋体" w:hAnsi="宋体"/>
          <w:b/>
          <w:color w:val="auto"/>
          <w:sz w:val="28"/>
          <w:szCs w:val="28"/>
          <w:highlight w:val="none"/>
        </w:rPr>
        <w:t>三、商务标格式文件</w:t>
      </w:r>
    </w:p>
    <w:p>
      <w:pPr>
        <w:ind w:firstLine="400"/>
        <w:jc w:val="center"/>
        <w:rPr>
          <w:rFonts w:eastAsia="黑体"/>
          <w:color w:val="auto"/>
          <w:sz w:val="20"/>
          <w:highlight w:val="none"/>
        </w:rPr>
      </w:pPr>
    </w:p>
    <w:p>
      <w:pPr>
        <w:ind w:firstLine="400"/>
        <w:rPr>
          <w:rFonts w:ascii="宋体"/>
          <w:color w:val="auto"/>
          <w:sz w:val="20"/>
          <w:highlight w:val="none"/>
        </w:rPr>
      </w:pPr>
    </w:p>
    <w:p>
      <w:pPr>
        <w:ind w:firstLine="400"/>
        <w:rPr>
          <w:rFonts w:ascii="宋体"/>
          <w:color w:val="auto"/>
          <w:sz w:val="20"/>
          <w:highlight w:val="none"/>
        </w:rPr>
      </w:pPr>
    </w:p>
    <w:p>
      <w:pPr>
        <w:pStyle w:val="49"/>
        <w:rPr>
          <w:color w:val="auto"/>
          <w:highlight w:val="none"/>
        </w:rPr>
      </w:pPr>
    </w:p>
    <w:p>
      <w:pPr>
        <w:ind w:firstLine="883"/>
        <w:jc w:val="center"/>
        <w:rPr>
          <w:rFonts w:ascii="宋体"/>
          <w:b/>
          <w:color w:val="auto"/>
          <w:sz w:val="44"/>
          <w:szCs w:val="44"/>
          <w:highlight w:val="none"/>
        </w:rPr>
      </w:pPr>
      <w:bookmarkStart w:id="706" w:name="_Toc449028954"/>
      <w:r>
        <w:rPr>
          <w:rFonts w:hint="eastAsia" w:ascii="宋体"/>
          <w:b/>
          <w:color w:val="auto"/>
          <w:sz w:val="44"/>
          <w:szCs w:val="44"/>
          <w:highlight w:val="none"/>
        </w:rPr>
        <w:t>商务标</w:t>
      </w:r>
      <w:bookmarkEnd w:id="706"/>
    </w:p>
    <w:p>
      <w:pPr>
        <w:ind w:firstLine="880"/>
        <w:jc w:val="center"/>
        <w:rPr>
          <w:rFonts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投标文件三）</w:t>
      </w:r>
    </w:p>
    <w:p>
      <w:pPr>
        <w:ind w:firstLine="720"/>
        <w:jc w:val="center"/>
        <w:rPr>
          <w:rFonts w:ascii="宋体"/>
          <w:color w:val="auto"/>
          <w:sz w:val="36"/>
          <w:szCs w:val="36"/>
          <w:highlight w:val="none"/>
        </w:rPr>
      </w:pPr>
    </w:p>
    <w:p>
      <w:pPr>
        <w:ind w:firstLine="640"/>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pPr>
        <w:ind w:firstLine="560"/>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pPr>
        <w:ind w:firstLine="560"/>
        <w:rPr>
          <w:rFonts w:ascii="宋体"/>
          <w:color w:val="auto"/>
          <w:sz w:val="28"/>
          <w:szCs w:val="28"/>
          <w:highlight w:val="none"/>
        </w:rPr>
      </w:pPr>
    </w:p>
    <w:p>
      <w:pPr>
        <w:ind w:firstLine="560"/>
        <w:rPr>
          <w:rFonts w:ascii="宋体"/>
          <w:color w:val="auto"/>
          <w:sz w:val="28"/>
          <w:szCs w:val="28"/>
          <w:highlight w:val="none"/>
        </w:rPr>
      </w:pPr>
    </w:p>
    <w:p>
      <w:pPr>
        <w:ind w:firstLine="560"/>
        <w:rPr>
          <w:rFonts w:ascii="宋体"/>
          <w:color w:val="auto"/>
          <w:sz w:val="28"/>
          <w:szCs w:val="28"/>
          <w:highlight w:val="none"/>
        </w:rPr>
      </w:pPr>
    </w:p>
    <w:p>
      <w:pPr>
        <w:ind w:firstLine="560"/>
        <w:rPr>
          <w:rFonts w:ascii="宋体"/>
          <w:color w:val="auto"/>
          <w:sz w:val="28"/>
          <w:szCs w:val="28"/>
          <w:highlight w:val="none"/>
        </w:rPr>
      </w:pPr>
    </w:p>
    <w:p>
      <w:pPr>
        <w:ind w:firstLine="560"/>
        <w:rPr>
          <w:rFonts w:ascii="宋体"/>
          <w:color w:val="auto"/>
          <w:sz w:val="28"/>
          <w:szCs w:val="28"/>
          <w:highlight w:val="none"/>
        </w:rPr>
      </w:pPr>
    </w:p>
    <w:p>
      <w:pPr>
        <w:ind w:firstLine="560"/>
        <w:rPr>
          <w:rFonts w:ascii="宋体"/>
          <w:color w:val="auto"/>
          <w:sz w:val="28"/>
          <w:szCs w:val="28"/>
          <w:highlight w:val="none"/>
        </w:rPr>
      </w:pPr>
    </w:p>
    <w:p>
      <w:pPr>
        <w:ind w:firstLine="560"/>
        <w:rPr>
          <w:rFonts w:ascii="宋体"/>
          <w:color w:val="auto"/>
          <w:sz w:val="28"/>
          <w:szCs w:val="28"/>
          <w:highlight w:val="none"/>
        </w:rPr>
      </w:pPr>
    </w:p>
    <w:p>
      <w:pPr>
        <w:ind w:firstLine="560"/>
        <w:jc w:val="center"/>
        <w:rPr>
          <w:rFonts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pPr>
        <w:ind w:firstLine="700" w:firstLineChars="250"/>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pPr>
        <w:ind w:firstLine="560"/>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pPr>
        <w:ind w:firstLine="723"/>
        <w:jc w:val="center"/>
        <w:rPr>
          <w:b/>
          <w:color w:val="auto"/>
          <w:sz w:val="36"/>
          <w:szCs w:val="36"/>
          <w:highlight w:val="none"/>
        </w:rPr>
      </w:pPr>
    </w:p>
    <w:p>
      <w:pPr>
        <w:ind w:firstLine="723"/>
        <w:jc w:val="center"/>
        <w:rPr>
          <w:b/>
          <w:color w:val="auto"/>
          <w:sz w:val="36"/>
          <w:szCs w:val="36"/>
          <w:highlight w:val="none"/>
        </w:rPr>
      </w:pPr>
    </w:p>
    <w:p>
      <w:pPr>
        <w:ind w:firstLine="723"/>
        <w:jc w:val="center"/>
        <w:rPr>
          <w:b/>
          <w:color w:val="auto"/>
          <w:sz w:val="36"/>
          <w:szCs w:val="36"/>
          <w:highlight w:val="none"/>
        </w:rPr>
      </w:pPr>
    </w:p>
    <w:p>
      <w:pPr>
        <w:ind w:firstLine="723"/>
        <w:jc w:val="center"/>
        <w:rPr>
          <w:b/>
          <w:color w:val="auto"/>
          <w:sz w:val="36"/>
          <w:szCs w:val="36"/>
          <w:highlight w:val="none"/>
        </w:rPr>
      </w:pPr>
    </w:p>
    <w:p>
      <w:pPr>
        <w:ind w:firstLine="723"/>
        <w:jc w:val="center"/>
        <w:rPr>
          <w:b/>
          <w:color w:val="auto"/>
          <w:sz w:val="44"/>
          <w:szCs w:val="44"/>
          <w:highlight w:val="none"/>
        </w:rPr>
      </w:pPr>
      <w:r>
        <w:rPr>
          <w:rFonts w:hint="eastAsia"/>
          <w:b/>
          <w:color w:val="auto"/>
          <w:sz w:val="36"/>
          <w:szCs w:val="36"/>
          <w:highlight w:val="none"/>
        </w:rPr>
        <w:t>目   录</w:t>
      </w:r>
    </w:p>
    <w:p>
      <w:pPr>
        <w:spacing w:line="400" w:lineRule="exact"/>
        <w:ind w:firstLine="562" w:firstLineChars="200"/>
        <w:rPr>
          <w:rFonts w:ascii="宋体" w:hAnsi="宋体" w:cs="宋体"/>
          <w:b/>
          <w:color w:val="auto"/>
          <w:sz w:val="28"/>
          <w:szCs w:val="28"/>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（1）开标一览表（格式见附件）；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（2）投标函（格式见附件）；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（3）招标文件中要求的资信评审和资信评分的支持资料；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（4）投标人认为需要提供的其他资信证明材料。</w:t>
      </w:r>
    </w:p>
    <w:p>
      <w:pPr>
        <w:ind w:firstLine="602"/>
        <w:jc w:val="center"/>
        <w:rPr>
          <w:rFonts w:ascii="宋体" w:hAnsi="宋体"/>
          <w:b/>
          <w:color w:val="auto"/>
          <w:sz w:val="30"/>
          <w:szCs w:val="30"/>
          <w:highlight w:val="none"/>
        </w:rPr>
      </w:pPr>
    </w:p>
    <w:p>
      <w:pPr>
        <w:ind w:firstLine="602"/>
        <w:jc w:val="center"/>
        <w:rPr>
          <w:rFonts w:ascii="宋体" w:hAnsi="宋体"/>
          <w:b/>
          <w:color w:val="auto"/>
          <w:sz w:val="30"/>
          <w:szCs w:val="30"/>
          <w:highlight w:val="none"/>
        </w:rPr>
      </w:pPr>
    </w:p>
    <w:p>
      <w:pPr>
        <w:ind w:firstLine="602"/>
        <w:jc w:val="center"/>
        <w:rPr>
          <w:rFonts w:ascii="宋体" w:hAnsi="宋体"/>
          <w:b/>
          <w:color w:val="auto"/>
          <w:sz w:val="30"/>
          <w:szCs w:val="30"/>
          <w:highlight w:val="none"/>
        </w:rPr>
      </w:pPr>
    </w:p>
    <w:p>
      <w:pPr>
        <w:ind w:firstLine="602"/>
        <w:jc w:val="center"/>
        <w:rPr>
          <w:rFonts w:ascii="宋体" w:hAnsi="宋体"/>
          <w:b/>
          <w:color w:val="auto"/>
          <w:sz w:val="30"/>
          <w:szCs w:val="30"/>
          <w:highlight w:val="none"/>
        </w:rPr>
      </w:pPr>
    </w:p>
    <w:p>
      <w:pPr>
        <w:ind w:firstLine="602"/>
        <w:jc w:val="center"/>
        <w:rPr>
          <w:rFonts w:ascii="宋体" w:hAnsi="宋体"/>
          <w:b/>
          <w:color w:val="auto"/>
          <w:sz w:val="30"/>
          <w:szCs w:val="30"/>
          <w:highlight w:val="none"/>
        </w:rPr>
      </w:pPr>
    </w:p>
    <w:p>
      <w:pPr>
        <w:ind w:firstLine="602"/>
        <w:jc w:val="center"/>
        <w:rPr>
          <w:rFonts w:ascii="宋体" w:hAnsi="宋体"/>
          <w:b/>
          <w:color w:val="auto"/>
          <w:sz w:val="30"/>
          <w:szCs w:val="30"/>
          <w:highlight w:val="none"/>
        </w:rPr>
      </w:pPr>
    </w:p>
    <w:p>
      <w:pPr>
        <w:ind w:firstLine="602"/>
        <w:jc w:val="center"/>
        <w:rPr>
          <w:rFonts w:ascii="宋体" w:hAnsi="宋体"/>
          <w:b/>
          <w:color w:val="auto"/>
          <w:sz w:val="30"/>
          <w:szCs w:val="30"/>
          <w:highlight w:val="none"/>
        </w:rPr>
      </w:pPr>
    </w:p>
    <w:p>
      <w:pPr>
        <w:ind w:firstLine="602"/>
        <w:jc w:val="center"/>
        <w:rPr>
          <w:rFonts w:ascii="宋体" w:hAnsi="宋体"/>
          <w:b/>
          <w:color w:val="auto"/>
          <w:sz w:val="30"/>
          <w:szCs w:val="30"/>
          <w:highlight w:val="none"/>
        </w:rPr>
      </w:pPr>
    </w:p>
    <w:p>
      <w:pPr>
        <w:ind w:firstLine="602"/>
        <w:jc w:val="center"/>
        <w:rPr>
          <w:rFonts w:ascii="宋体" w:hAnsi="宋体"/>
          <w:b/>
          <w:color w:val="auto"/>
          <w:sz w:val="30"/>
          <w:szCs w:val="30"/>
          <w:highlight w:val="none"/>
        </w:rPr>
      </w:pPr>
    </w:p>
    <w:p>
      <w:pPr>
        <w:ind w:firstLine="602"/>
        <w:jc w:val="center"/>
        <w:rPr>
          <w:rFonts w:ascii="宋体" w:hAnsi="宋体"/>
          <w:b/>
          <w:color w:val="auto"/>
          <w:sz w:val="30"/>
          <w:szCs w:val="30"/>
          <w:highlight w:val="none"/>
        </w:rPr>
      </w:pPr>
    </w:p>
    <w:p>
      <w:pPr>
        <w:ind w:firstLine="602"/>
        <w:jc w:val="center"/>
        <w:rPr>
          <w:rFonts w:ascii="宋体" w:hAnsi="宋体"/>
          <w:b/>
          <w:color w:val="auto"/>
          <w:sz w:val="30"/>
          <w:szCs w:val="30"/>
          <w:highlight w:val="none"/>
        </w:rPr>
      </w:pPr>
    </w:p>
    <w:p>
      <w:pPr>
        <w:ind w:firstLine="602"/>
        <w:jc w:val="center"/>
        <w:rPr>
          <w:rFonts w:ascii="宋体" w:hAnsi="宋体"/>
          <w:b/>
          <w:color w:val="auto"/>
          <w:sz w:val="30"/>
          <w:szCs w:val="30"/>
          <w:highlight w:val="none"/>
        </w:rPr>
      </w:pPr>
    </w:p>
    <w:p>
      <w:pPr>
        <w:ind w:firstLine="602"/>
        <w:jc w:val="center"/>
        <w:rPr>
          <w:rFonts w:ascii="宋体" w:hAnsi="宋体"/>
          <w:b/>
          <w:color w:val="auto"/>
          <w:sz w:val="30"/>
          <w:szCs w:val="30"/>
          <w:highlight w:val="none"/>
        </w:rPr>
      </w:pPr>
    </w:p>
    <w:p>
      <w:pPr>
        <w:ind w:firstLine="602"/>
        <w:jc w:val="center"/>
        <w:rPr>
          <w:rFonts w:ascii="宋体" w:hAnsi="宋体"/>
          <w:b/>
          <w:color w:val="auto"/>
          <w:sz w:val="30"/>
          <w:szCs w:val="30"/>
          <w:highlight w:val="none"/>
        </w:rPr>
      </w:pPr>
    </w:p>
    <w:p>
      <w:pPr>
        <w:ind w:firstLine="602"/>
        <w:jc w:val="center"/>
        <w:rPr>
          <w:rFonts w:ascii="宋体" w:hAnsi="宋体"/>
          <w:b/>
          <w:color w:val="auto"/>
          <w:sz w:val="30"/>
          <w:szCs w:val="30"/>
          <w:highlight w:val="none"/>
        </w:rPr>
      </w:pPr>
    </w:p>
    <w:p>
      <w:pPr>
        <w:ind w:firstLine="602"/>
        <w:jc w:val="center"/>
        <w:rPr>
          <w:rFonts w:ascii="宋体" w:hAnsi="宋体"/>
          <w:b/>
          <w:color w:val="auto"/>
          <w:sz w:val="30"/>
          <w:szCs w:val="30"/>
          <w:highlight w:val="none"/>
        </w:rPr>
      </w:pPr>
    </w:p>
    <w:p>
      <w:pPr>
        <w:ind w:firstLine="602"/>
        <w:jc w:val="center"/>
        <w:rPr>
          <w:rFonts w:ascii="宋体" w:hAnsi="宋体"/>
          <w:b/>
          <w:color w:val="auto"/>
          <w:sz w:val="30"/>
          <w:szCs w:val="30"/>
          <w:highlight w:val="none"/>
        </w:rPr>
      </w:pPr>
    </w:p>
    <w:p>
      <w:pPr>
        <w:spacing w:line="400" w:lineRule="exact"/>
        <w:ind w:firstLine="4130" w:firstLineChars="935"/>
        <w:rPr>
          <w:b/>
          <w:color w:val="auto"/>
          <w:sz w:val="44"/>
          <w:szCs w:val="44"/>
          <w:highlight w:val="none"/>
        </w:rPr>
      </w:pPr>
    </w:p>
    <w:p>
      <w:pPr>
        <w:spacing w:line="360" w:lineRule="exact"/>
        <w:ind w:firstLine="531" w:firstLineChars="147"/>
        <w:jc w:val="center"/>
        <w:rPr>
          <w:rFonts w:ascii="宋体"/>
          <w:b/>
          <w:color w:val="auto"/>
          <w:sz w:val="36"/>
          <w:szCs w:val="36"/>
          <w:highlight w:val="none"/>
        </w:rPr>
      </w:pPr>
      <w:r>
        <w:rPr>
          <w:rFonts w:hint="eastAsia" w:ascii="宋体"/>
          <w:b/>
          <w:color w:val="auto"/>
          <w:sz w:val="36"/>
          <w:szCs w:val="36"/>
          <w:highlight w:val="none"/>
        </w:rPr>
        <w:t>开标一览表</w:t>
      </w:r>
    </w:p>
    <w:p>
      <w:pPr>
        <w:spacing w:line="360" w:lineRule="exact"/>
        <w:ind w:firstLine="354" w:firstLineChars="147"/>
        <w:rPr>
          <w:rFonts w:ascii="宋体"/>
          <w:b/>
          <w:color w:val="auto"/>
          <w:sz w:val="24"/>
          <w:highlight w:val="none"/>
        </w:rPr>
      </w:pPr>
    </w:p>
    <w:tbl>
      <w:tblPr>
        <w:tblStyle w:val="50"/>
        <w:tblW w:w="87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66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0" w:hRule="exact"/>
          <w:jc w:val="center"/>
        </w:trPr>
        <w:tc>
          <w:tcPr>
            <w:tcW w:w="2146" w:type="dxa"/>
            <w:tcBorders>
              <w:top w:val="single" w:color="auto" w:sz="12" w:space="0"/>
              <w:bottom w:val="single" w:color="auto" w:sz="12" w:space="0"/>
              <w:right w:val="single" w:color="auto" w:sz="12" w:space="0"/>
            </w:tcBorders>
            <w:vAlign w:val="center"/>
          </w:tcPr>
          <w:p>
            <w:pPr>
              <w:spacing w:line="700" w:lineRule="exact"/>
              <w:jc w:val="center"/>
              <w:rPr>
                <w:rFonts w:ascii="宋体"/>
                <w:color w:val="auto"/>
                <w:sz w:val="24"/>
                <w:highlight w:val="none"/>
              </w:rPr>
            </w:pPr>
            <w:r>
              <w:rPr>
                <w:rFonts w:hint="eastAsia" w:ascii="宋体"/>
                <w:color w:val="auto"/>
                <w:sz w:val="24"/>
                <w:highlight w:val="none"/>
              </w:rPr>
              <w:t>项目名称</w:t>
            </w:r>
          </w:p>
        </w:tc>
        <w:tc>
          <w:tcPr>
            <w:tcW w:w="6609" w:type="dxa"/>
            <w:tcBorders>
              <w:top w:val="single" w:color="auto" w:sz="12" w:space="0"/>
              <w:left w:val="single" w:color="auto" w:sz="12" w:space="0"/>
              <w:bottom w:val="single" w:color="auto" w:sz="12" w:space="0"/>
            </w:tcBorders>
            <w:vAlign w:val="center"/>
          </w:tcPr>
          <w:p>
            <w:pPr>
              <w:spacing w:line="700" w:lineRule="exact"/>
              <w:jc w:val="left"/>
              <w:rPr>
                <w:color w:val="auto"/>
                <w:sz w:val="24"/>
                <w:highlight w:val="none"/>
              </w:rPr>
            </w:pPr>
            <w:r>
              <w:rPr>
                <w:rFonts w:hint="eastAsia"/>
                <w:color w:val="auto"/>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jc w:val="center"/>
        </w:trPr>
        <w:tc>
          <w:tcPr>
            <w:tcW w:w="2146" w:type="dxa"/>
            <w:tcBorders>
              <w:top w:val="single" w:color="auto" w:sz="12" w:space="0"/>
              <w:right w:val="single" w:color="auto" w:sz="12" w:space="0"/>
            </w:tcBorders>
            <w:vAlign w:val="center"/>
          </w:tcPr>
          <w:p>
            <w:pPr>
              <w:spacing w:line="700" w:lineRule="exact"/>
              <w:jc w:val="center"/>
              <w:rPr>
                <w:rFonts w:ascii="宋体"/>
                <w:color w:val="auto"/>
                <w:sz w:val="24"/>
                <w:highlight w:val="none"/>
              </w:rPr>
            </w:pPr>
            <w:r>
              <w:rPr>
                <w:rFonts w:hint="eastAsia" w:ascii="宋体"/>
                <w:color w:val="auto"/>
                <w:sz w:val="24"/>
                <w:highlight w:val="none"/>
              </w:rPr>
              <w:t>项目编号</w:t>
            </w:r>
          </w:p>
        </w:tc>
        <w:tc>
          <w:tcPr>
            <w:tcW w:w="6609" w:type="dxa"/>
            <w:tcBorders>
              <w:top w:val="single" w:color="auto" w:sz="12" w:space="0"/>
              <w:left w:val="single" w:color="auto" w:sz="12" w:space="0"/>
            </w:tcBorders>
            <w:vAlign w:val="center"/>
          </w:tcPr>
          <w:p>
            <w:pPr>
              <w:spacing w:line="700" w:lineRule="exact"/>
              <w:rPr>
                <w:rFonts w:asci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jc w:val="center"/>
        </w:trPr>
        <w:tc>
          <w:tcPr>
            <w:tcW w:w="2146" w:type="dxa"/>
            <w:tcBorders>
              <w:right w:val="single" w:color="auto" w:sz="12" w:space="0"/>
            </w:tcBorders>
            <w:vAlign w:val="center"/>
          </w:tcPr>
          <w:p>
            <w:pPr>
              <w:spacing w:line="700" w:lineRule="exact"/>
              <w:ind w:firstLine="120" w:firstLineChars="50"/>
              <w:rPr>
                <w:rFonts w:ascii="宋体"/>
                <w:color w:val="auto"/>
                <w:sz w:val="24"/>
                <w:highlight w:val="none"/>
              </w:rPr>
            </w:pPr>
            <w:r>
              <w:rPr>
                <w:rFonts w:hint="eastAsia" w:ascii="宋体"/>
                <w:color w:val="auto"/>
                <w:sz w:val="24"/>
                <w:highlight w:val="none"/>
              </w:rPr>
              <w:t>投标人名称</w:t>
            </w:r>
          </w:p>
        </w:tc>
        <w:tc>
          <w:tcPr>
            <w:tcW w:w="6609" w:type="dxa"/>
            <w:tcBorders>
              <w:left w:val="single" w:color="auto" w:sz="12" w:space="0"/>
            </w:tcBorders>
          </w:tcPr>
          <w:p>
            <w:pPr>
              <w:pStyle w:val="25"/>
              <w:spacing w:line="700" w:lineRule="exact"/>
              <w:ind w:left="86" w:leftChars="41"/>
              <w:rPr>
                <w:rFonts w:ascii="宋体"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86" w:hRule="exact"/>
          <w:jc w:val="center"/>
        </w:trPr>
        <w:tc>
          <w:tcPr>
            <w:tcW w:w="2146" w:type="dxa"/>
            <w:tcBorders>
              <w:right w:val="single" w:color="auto" w:sz="12" w:space="0"/>
            </w:tcBorders>
            <w:vAlign w:val="center"/>
          </w:tcPr>
          <w:p>
            <w:pPr>
              <w:spacing w:line="700" w:lineRule="exact"/>
              <w:jc w:val="center"/>
              <w:rPr>
                <w:rFonts w:ascii="宋体"/>
                <w:color w:val="auto"/>
                <w:sz w:val="24"/>
                <w:highlight w:val="none"/>
              </w:rPr>
            </w:pPr>
            <w:r>
              <w:rPr>
                <w:rFonts w:hint="eastAsia" w:ascii="宋体"/>
                <w:color w:val="auto"/>
                <w:sz w:val="24"/>
                <w:highlight w:val="none"/>
              </w:rPr>
              <w:t>投标报价/服务期</w:t>
            </w:r>
          </w:p>
        </w:tc>
        <w:tc>
          <w:tcPr>
            <w:tcW w:w="6609" w:type="dxa"/>
            <w:tcBorders>
              <w:left w:val="single" w:color="auto" w:sz="12" w:space="0"/>
            </w:tcBorders>
            <w:vAlign w:val="center"/>
          </w:tcPr>
          <w:p>
            <w:pPr>
              <w:spacing w:line="360" w:lineRule="auto"/>
              <w:rPr>
                <w:rFonts w:ascii="宋体"/>
                <w:color w:val="auto"/>
                <w:sz w:val="24"/>
                <w:highlight w:val="none"/>
              </w:rPr>
            </w:pPr>
            <w:r>
              <w:rPr>
                <w:rFonts w:hint="eastAsia" w:ascii="宋体"/>
                <w:color w:val="auto"/>
                <w:sz w:val="24"/>
                <w:highlight w:val="none"/>
              </w:rPr>
              <w:t>投标报价 （大写）：</w:t>
            </w:r>
            <w:r>
              <w:rPr>
                <w:rFonts w:hint="eastAsia" w:ascii="宋体"/>
                <w:color w:val="auto"/>
                <w:sz w:val="24"/>
                <w:highlight w:val="none"/>
                <w:u w:val="single"/>
              </w:rPr>
              <w:t xml:space="preserve">                   </w:t>
            </w:r>
            <w:r>
              <w:rPr>
                <w:rFonts w:hint="eastAsia" w:ascii="宋体"/>
                <w:color w:val="auto"/>
                <w:sz w:val="24"/>
                <w:highlight w:val="none"/>
              </w:rPr>
              <w:t>元</w:t>
            </w:r>
          </w:p>
          <w:p>
            <w:pPr>
              <w:spacing w:line="360" w:lineRule="auto"/>
              <w:ind w:firstLine="1080" w:firstLineChars="450"/>
              <w:rPr>
                <w:rFonts w:ascii="宋体"/>
                <w:color w:val="auto"/>
                <w:sz w:val="24"/>
                <w:highlight w:val="none"/>
              </w:rPr>
            </w:pPr>
            <w:r>
              <w:rPr>
                <w:rFonts w:hint="eastAsia" w:ascii="宋体"/>
                <w:color w:val="auto"/>
                <w:sz w:val="24"/>
                <w:highlight w:val="none"/>
              </w:rPr>
              <w:t>(小写) ：</w:t>
            </w:r>
            <w:r>
              <w:rPr>
                <w:rFonts w:hint="eastAsia" w:ascii="宋体"/>
                <w:color w:val="auto"/>
                <w:sz w:val="24"/>
                <w:highlight w:val="none"/>
                <w:u w:val="single"/>
              </w:rPr>
              <w:t xml:space="preserve">                    </w:t>
            </w:r>
            <w:r>
              <w:rPr>
                <w:rFonts w:hint="eastAsia" w:ascii="宋体"/>
                <w:color w:val="auto"/>
                <w:sz w:val="24"/>
                <w:highlight w:val="none"/>
              </w:rPr>
              <w:t>元</w:t>
            </w:r>
          </w:p>
          <w:p>
            <w:pPr>
              <w:spacing w:line="360" w:lineRule="auto"/>
              <w:ind w:firstLine="1080" w:firstLineChars="450"/>
              <w:rPr>
                <w:rFonts w:ascii="宋体"/>
                <w:color w:val="auto"/>
                <w:sz w:val="24"/>
                <w:highlight w:val="none"/>
              </w:rPr>
            </w:pPr>
          </w:p>
          <w:p>
            <w:pPr>
              <w:pStyle w:val="18"/>
              <w:ind w:firstLine="480"/>
              <w:rPr>
                <w:color w:val="auto"/>
                <w:highlight w:val="none"/>
              </w:rPr>
            </w:pPr>
            <w:r>
              <w:rPr>
                <w:rFonts w:hint="eastAsia" w:ascii="宋体"/>
                <w:color w:val="auto"/>
                <w:sz w:val="24"/>
                <w:highlight w:val="none"/>
              </w:rPr>
              <w:t>服务期：</w:t>
            </w:r>
            <w:r>
              <w:rPr>
                <w:rFonts w:hint="eastAsia" w:ascii="宋体"/>
                <w:color w:val="auto"/>
                <w:sz w:val="24"/>
                <w:highlight w:val="none"/>
                <w:u w:val="single"/>
              </w:rPr>
              <w:t xml:space="preserve">                   。</w:t>
            </w:r>
          </w:p>
        </w:tc>
      </w:tr>
    </w:tbl>
    <w:p>
      <w:pPr>
        <w:snapToGrid w:val="0"/>
        <w:spacing w:line="460" w:lineRule="exact"/>
        <w:ind w:left="2940" w:leftChars="1400" w:firstLine="723" w:firstLineChars="300"/>
        <w:rPr>
          <w:rFonts w:ascii="宋体"/>
          <w:b/>
          <w:color w:val="auto"/>
          <w:sz w:val="24"/>
          <w:highlight w:val="none"/>
        </w:rPr>
      </w:pPr>
    </w:p>
    <w:p>
      <w:pPr>
        <w:ind w:firstLine="720" w:firstLineChars="300"/>
        <w:rPr>
          <w:rFonts w:ascii="宋体"/>
          <w:color w:val="auto"/>
          <w:sz w:val="24"/>
          <w:highlight w:val="none"/>
        </w:rPr>
      </w:pPr>
      <w:r>
        <w:rPr>
          <w:rFonts w:hint="eastAsia" w:ascii="宋体"/>
          <w:color w:val="auto"/>
          <w:sz w:val="24"/>
          <w:highlight w:val="none"/>
        </w:rPr>
        <w:t>法定代表人（签字或盖章）：         投标人（签字或盖章）：</w:t>
      </w:r>
    </w:p>
    <w:p>
      <w:pPr>
        <w:snapToGrid w:val="0"/>
        <w:spacing w:before="312" w:beforeLines="100" w:after="312" w:afterLines="100" w:line="360" w:lineRule="auto"/>
        <w:jc w:val="center"/>
        <w:rPr>
          <w:rFonts w:cs="Arial"/>
          <w:b/>
          <w:bCs/>
          <w:color w:val="auto"/>
          <w:sz w:val="30"/>
          <w:szCs w:val="30"/>
          <w:highlight w:val="none"/>
        </w:rPr>
        <w:sectPr>
          <w:pgSz w:w="11906" w:h="16838"/>
          <w:pgMar w:top="1440" w:right="1080" w:bottom="1440" w:left="1080" w:header="851" w:footer="992" w:gutter="0"/>
          <w:pgNumType w:fmt="numberInDash"/>
          <w:cols w:space="720" w:num="1"/>
          <w:docGrid w:type="lines" w:linePitch="312" w:charSpace="0"/>
        </w:sectPr>
      </w:pPr>
      <w:r>
        <w:rPr>
          <w:rFonts w:hint="eastAsia" w:asci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color w:val="auto"/>
          <w:sz w:val="24"/>
          <w:highlight w:val="none"/>
        </w:rPr>
        <w:t>年</w:t>
      </w:r>
      <w:r>
        <w:rPr>
          <w:rFonts w:hint="eastAsia" w:ascii="宋体" w:hAnsi="宋体"/>
          <w:color w:val="auto"/>
          <w:sz w:val="24"/>
          <w:highlight w:val="none"/>
          <w:u w:val="single"/>
        </w:rPr>
        <w:t xml:space="preserve">   </w:t>
      </w:r>
      <w:r>
        <w:rPr>
          <w:rFonts w:hint="eastAsia" w:ascii="宋体"/>
          <w:color w:val="auto"/>
          <w:sz w:val="24"/>
          <w:highlight w:val="none"/>
        </w:rPr>
        <w:t>月</w:t>
      </w:r>
      <w:r>
        <w:rPr>
          <w:rFonts w:hint="eastAsia" w:ascii="宋体" w:hAnsi="宋体"/>
          <w:color w:val="auto"/>
          <w:sz w:val="24"/>
          <w:highlight w:val="none"/>
          <w:u w:val="single"/>
        </w:rPr>
        <w:t xml:space="preserve">   </w:t>
      </w:r>
      <w:r>
        <w:rPr>
          <w:rFonts w:hint="eastAsia" w:ascii="宋体"/>
          <w:color w:val="auto"/>
          <w:sz w:val="24"/>
          <w:highlight w:val="none"/>
        </w:rPr>
        <w:t xml:space="preserve">日 </w:t>
      </w:r>
    </w:p>
    <w:p>
      <w:pPr>
        <w:spacing w:line="360" w:lineRule="exact"/>
        <w:ind w:firstLine="443" w:firstLineChars="147"/>
        <w:rPr>
          <w:rFonts w:ascii="宋体" w:hAnsi="宋体"/>
          <w:b/>
          <w:color w:val="auto"/>
          <w:sz w:val="30"/>
          <w:szCs w:val="30"/>
          <w:highlight w:val="none"/>
        </w:rPr>
      </w:pPr>
    </w:p>
    <w:p>
      <w:pPr>
        <w:spacing w:line="360" w:lineRule="exact"/>
        <w:ind w:firstLine="723"/>
        <w:jc w:val="center"/>
        <w:rPr>
          <w:rFonts w:ascii="宋体"/>
          <w:b/>
          <w:color w:val="auto"/>
          <w:sz w:val="36"/>
          <w:szCs w:val="36"/>
          <w:highlight w:val="none"/>
        </w:rPr>
      </w:pPr>
      <w:r>
        <w:rPr>
          <w:rFonts w:hint="eastAsia" w:ascii="宋体"/>
          <w:b/>
          <w:color w:val="auto"/>
          <w:sz w:val="36"/>
          <w:szCs w:val="36"/>
          <w:highlight w:val="none"/>
        </w:rPr>
        <w:t>投  标  函</w:t>
      </w:r>
    </w:p>
    <w:p>
      <w:pPr>
        <w:spacing w:line="440" w:lineRule="exact"/>
        <w:rPr>
          <w:rFonts w:ascii="宋体"/>
          <w:color w:val="auto"/>
          <w:sz w:val="24"/>
          <w:highlight w:val="none"/>
        </w:rPr>
      </w:pPr>
    </w:p>
    <w:p>
      <w:pPr>
        <w:spacing w:line="440" w:lineRule="exact"/>
        <w:rPr>
          <w:rFonts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(采购人)       </w:t>
      </w:r>
      <w:r>
        <w:rPr>
          <w:rFonts w:hint="eastAsia" w:ascii="宋体"/>
          <w:color w:val="auto"/>
          <w:sz w:val="24"/>
          <w:highlight w:val="none"/>
        </w:rPr>
        <w:t xml:space="preserve"> </w:t>
      </w:r>
    </w:p>
    <w:p>
      <w:pPr>
        <w:spacing w:line="440" w:lineRule="exact"/>
        <w:ind w:firstLine="480" w:firstLineChars="200"/>
        <w:rPr>
          <w:rFonts w:ascii="宋体"/>
          <w:color w:val="auto"/>
          <w:sz w:val="24"/>
          <w:highlight w:val="none"/>
        </w:rPr>
      </w:pPr>
      <w:r>
        <w:rPr>
          <w:rFonts w:hint="eastAsia" w:ascii="宋体"/>
          <w:color w:val="auto"/>
          <w:sz w:val="24"/>
          <w:highlight w:val="none"/>
        </w:rPr>
        <w:t>1.我们决定参加贵单位组织的“</w:t>
      </w:r>
      <w:r>
        <w:rPr>
          <w:rFonts w:hint="eastAsia" w:ascii="宋体"/>
          <w:color w:val="auto"/>
          <w:sz w:val="24"/>
          <w:highlight w:val="none"/>
          <w:u w:val="single"/>
        </w:rPr>
        <w:t xml:space="preserve"> （项目名称）    </w:t>
      </w:r>
      <w:r>
        <w:rPr>
          <w:rFonts w:hint="eastAsia" w:ascii="宋体"/>
          <w:color w:val="auto"/>
          <w:sz w:val="24"/>
          <w:highlight w:val="none"/>
        </w:rPr>
        <w:t>（编号：</w:t>
      </w:r>
      <w:r>
        <w:rPr>
          <w:rFonts w:hint="eastAsia" w:ascii="宋体"/>
          <w:color w:val="auto"/>
          <w:sz w:val="24"/>
          <w:highlight w:val="none"/>
          <w:u w:val="single"/>
        </w:rPr>
        <w:t xml:space="preserve">             </w:t>
      </w:r>
      <w:r>
        <w:rPr>
          <w:rFonts w:hint="eastAsia" w:ascii="宋体"/>
          <w:color w:val="auto"/>
          <w:sz w:val="24"/>
          <w:highlight w:val="none"/>
        </w:rPr>
        <w:t xml:space="preserve">）”的采购。我方授权 </w:t>
      </w:r>
      <w:r>
        <w:rPr>
          <w:rFonts w:hint="eastAsia" w:ascii="宋体"/>
          <w:color w:val="auto"/>
          <w:sz w:val="24"/>
          <w:highlight w:val="none"/>
          <w:u w:val="single"/>
        </w:rPr>
        <w:t xml:space="preserve">              </w:t>
      </w:r>
      <w:r>
        <w:rPr>
          <w:rFonts w:hint="eastAsia" w:ascii="宋体"/>
          <w:color w:val="auto"/>
          <w:sz w:val="24"/>
          <w:highlight w:val="none"/>
        </w:rPr>
        <w:t>(姓名和职务)代表我方</w:t>
      </w:r>
      <w:r>
        <w:rPr>
          <w:rFonts w:hint="eastAsia" w:ascii="宋体"/>
          <w:color w:val="auto"/>
          <w:sz w:val="24"/>
          <w:highlight w:val="none"/>
          <w:u w:val="single"/>
        </w:rPr>
        <w:t xml:space="preserve">               </w:t>
      </w:r>
      <w:r>
        <w:rPr>
          <w:rFonts w:hint="eastAsia" w:ascii="宋体"/>
          <w:color w:val="auto"/>
          <w:sz w:val="24"/>
          <w:highlight w:val="none"/>
        </w:rPr>
        <w:t>（投标人的名称）全权处理本项目投标的有关事宜。</w:t>
      </w:r>
    </w:p>
    <w:p>
      <w:pPr>
        <w:spacing w:line="440" w:lineRule="exact"/>
        <w:ind w:firstLine="480" w:firstLineChars="200"/>
        <w:rPr>
          <w:rFonts w:ascii="宋体"/>
          <w:color w:val="auto"/>
          <w:sz w:val="24"/>
          <w:highlight w:val="none"/>
        </w:rPr>
      </w:pPr>
      <w:r>
        <w:rPr>
          <w:rFonts w:hint="eastAsia" w:ascii="宋体"/>
          <w:color w:val="auto"/>
          <w:sz w:val="24"/>
          <w:highlight w:val="none"/>
        </w:rPr>
        <w:t xml:space="preserve">2.我方愿意按照招标文件规定的各项要求，向采购人提供“ </w:t>
      </w:r>
      <w:r>
        <w:rPr>
          <w:rFonts w:hint="eastAsia" w:ascii="宋体"/>
          <w:color w:val="auto"/>
          <w:sz w:val="24"/>
          <w:highlight w:val="none"/>
          <w:u w:val="single"/>
        </w:rPr>
        <w:t xml:space="preserve">     </w:t>
      </w:r>
      <w:r>
        <w:rPr>
          <w:rFonts w:hint="eastAsia" w:ascii="宋体"/>
          <w:color w:val="auto"/>
          <w:sz w:val="24"/>
          <w:highlight w:val="none"/>
        </w:rPr>
        <w:t>（项目编号）”项目的服务，总投标价为</w:t>
      </w:r>
      <w:r>
        <w:rPr>
          <w:rFonts w:hint="eastAsia" w:ascii="宋体"/>
          <w:color w:val="auto"/>
          <w:sz w:val="24"/>
          <w:highlight w:val="none"/>
          <w:u w:val="single"/>
        </w:rPr>
        <w:t xml:space="preserve">人民币（大写）      （小写）         </w:t>
      </w:r>
      <w:r>
        <w:rPr>
          <w:rFonts w:hint="eastAsia" w:ascii="宋体"/>
          <w:color w:val="auto"/>
          <w:sz w:val="24"/>
          <w:highlight w:val="none"/>
        </w:rPr>
        <w:t xml:space="preserve"> ；服务期 ：</w:t>
      </w:r>
      <w:r>
        <w:rPr>
          <w:rFonts w:hint="eastAsia" w:ascii="宋体"/>
          <w:color w:val="auto"/>
          <w:sz w:val="24"/>
          <w:highlight w:val="none"/>
          <w:u w:val="single"/>
        </w:rPr>
        <w:t xml:space="preserve">     </w:t>
      </w:r>
      <w:r>
        <w:rPr>
          <w:rFonts w:hint="eastAsia" w:ascii="宋体"/>
          <w:color w:val="auto"/>
          <w:sz w:val="24"/>
          <w:highlight w:val="none"/>
        </w:rPr>
        <w:t>。</w:t>
      </w:r>
    </w:p>
    <w:p>
      <w:pPr>
        <w:spacing w:line="440" w:lineRule="exact"/>
        <w:ind w:firstLine="480" w:firstLineChars="200"/>
        <w:rPr>
          <w:rFonts w:ascii="宋体"/>
          <w:color w:val="auto"/>
          <w:sz w:val="24"/>
          <w:highlight w:val="none"/>
        </w:rPr>
      </w:pPr>
      <w:r>
        <w:rPr>
          <w:rFonts w:hint="eastAsia" w:ascii="宋体"/>
          <w:color w:val="auto"/>
          <w:sz w:val="24"/>
          <w:highlight w:val="none"/>
        </w:rPr>
        <w:t>3.一旦我方成为合同签字人，我方将严格履行合同规定的责任和义务。</w:t>
      </w:r>
    </w:p>
    <w:p>
      <w:pPr>
        <w:spacing w:line="440" w:lineRule="exact"/>
        <w:ind w:firstLine="480" w:firstLineChars="200"/>
        <w:rPr>
          <w:rFonts w:ascii="宋体"/>
          <w:color w:val="auto"/>
          <w:sz w:val="24"/>
          <w:highlight w:val="none"/>
        </w:rPr>
      </w:pPr>
      <w:r>
        <w:rPr>
          <w:rFonts w:hint="eastAsia" w:ascii="宋体"/>
          <w:color w:val="auto"/>
          <w:sz w:val="24"/>
          <w:highlight w:val="none"/>
        </w:rPr>
        <w:t>4.我方愿意提供可能另外要求的、与采购投标有关的文件资料，并保证我方已提供和将要提供的文件是真实的、准确的。</w:t>
      </w:r>
    </w:p>
    <w:p>
      <w:pPr>
        <w:spacing w:line="440" w:lineRule="exact"/>
        <w:ind w:firstLine="480" w:firstLineChars="200"/>
        <w:rPr>
          <w:rFonts w:ascii="宋体"/>
          <w:color w:val="auto"/>
          <w:sz w:val="24"/>
          <w:highlight w:val="none"/>
        </w:rPr>
      </w:pPr>
      <w:r>
        <w:rPr>
          <w:rFonts w:hint="eastAsia" w:ascii="宋体"/>
          <w:color w:val="auto"/>
          <w:sz w:val="24"/>
          <w:highlight w:val="none"/>
        </w:rPr>
        <w:t>5、我单位提供如下通讯地址：</w:t>
      </w:r>
      <w:r>
        <w:rPr>
          <w:rFonts w:hint="eastAsia" w:ascii="宋体"/>
          <w:color w:val="auto"/>
          <w:sz w:val="24"/>
          <w:highlight w:val="none"/>
          <w:u w:val="single"/>
        </w:rPr>
        <w:t xml:space="preserve">              </w:t>
      </w:r>
      <w:r>
        <w:rPr>
          <w:rFonts w:hint="eastAsia" w:ascii="宋体"/>
          <w:color w:val="auto"/>
          <w:sz w:val="24"/>
          <w:highlight w:val="none"/>
        </w:rPr>
        <w:t xml:space="preserve">  电子邮箱（地址），确认本项目相关法律文书均通过提供的以上地址送达，相关文书只要发送至以上电子邮箱（地址）即视为送达，投标人愿意承担一切法律后果。</w:t>
      </w:r>
    </w:p>
    <w:p>
      <w:pPr>
        <w:spacing w:line="440" w:lineRule="exact"/>
        <w:rPr>
          <w:rFonts w:ascii="宋体"/>
          <w:color w:val="auto"/>
          <w:sz w:val="24"/>
          <w:highlight w:val="none"/>
        </w:rPr>
      </w:pPr>
      <w:r>
        <w:rPr>
          <w:rFonts w:hint="eastAsia" w:ascii="宋体"/>
          <w:color w:val="auto"/>
          <w:sz w:val="24"/>
          <w:highlight w:val="none"/>
        </w:rPr>
        <w:t> </w:t>
      </w:r>
    </w:p>
    <w:p>
      <w:pPr>
        <w:spacing w:line="440" w:lineRule="exact"/>
        <w:jc w:val="right"/>
        <w:rPr>
          <w:rFonts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（盖单位章）</w:t>
      </w:r>
    </w:p>
    <w:p>
      <w:pPr>
        <w:spacing w:line="440" w:lineRule="exact"/>
        <w:jc w:val="right"/>
        <w:rPr>
          <w:rFonts w:ascii="宋体"/>
          <w:color w:val="auto"/>
          <w:sz w:val="24"/>
          <w:highlight w:val="none"/>
        </w:rPr>
      </w:pPr>
    </w:p>
    <w:p>
      <w:pPr>
        <w:spacing w:line="440" w:lineRule="exact"/>
        <w:jc w:val="right"/>
        <w:rPr>
          <w:rFonts w:ascii="宋体"/>
          <w:color w:val="auto"/>
          <w:sz w:val="24"/>
          <w:highlight w:val="none"/>
        </w:rPr>
      </w:pPr>
      <w:r>
        <w:rPr>
          <w:rFonts w:hint="eastAsia" w:ascii="宋体"/>
          <w:color w:val="auto"/>
          <w:sz w:val="24"/>
          <w:highlight w:val="none"/>
        </w:rPr>
        <w:t>投标人法定代表人：</w:t>
      </w:r>
      <w:r>
        <w:rPr>
          <w:rFonts w:hint="eastAsia" w:ascii="宋体"/>
          <w:color w:val="auto"/>
          <w:sz w:val="24"/>
          <w:highlight w:val="none"/>
          <w:u w:val="single"/>
        </w:rPr>
        <w:t xml:space="preserve">                      </w:t>
      </w:r>
      <w:r>
        <w:rPr>
          <w:rFonts w:hint="eastAsia" w:ascii="宋体"/>
          <w:color w:val="auto"/>
          <w:sz w:val="24"/>
          <w:highlight w:val="none"/>
        </w:rPr>
        <w:t>（签字或盖章）</w:t>
      </w:r>
    </w:p>
    <w:p>
      <w:pPr>
        <w:spacing w:line="440" w:lineRule="exact"/>
        <w:ind w:firstLine="3240" w:firstLineChars="1350"/>
        <w:rPr>
          <w:rFonts w:ascii="宋体"/>
          <w:color w:val="auto"/>
          <w:sz w:val="24"/>
          <w:highlight w:val="none"/>
        </w:rPr>
      </w:pPr>
      <w:r>
        <w:rPr>
          <w:rFonts w:hint="eastAsia" w:ascii="宋体"/>
          <w:color w:val="auto"/>
          <w:sz w:val="24"/>
          <w:highlight w:val="none"/>
        </w:rPr>
        <w:t>日    期：</w:t>
      </w:r>
      <w:r>
        <w:rPr>
          <w:rFonts w:hint="eastAsia" w:ascii="宋体"/>
          <w:color w:val="auto"/>
          <w:sz w:val="24"/>
          <w:highlight w:val="none"/>
          <w:u w:val="single"/>
        </w:rPr>
        <w:t xml:space="preserve">                 </w:t>
      </w:r>
    </w:p>
    <w:p>
      <w:pPr>
        <w:spacing w:line="440" w:lineRule="exact"/>
        <w:ind w:firstLine="3240" w:firstLineChars="1350"/>
        <w:rPr>
          <w:rFonts w:ascii="宋体"/>
          <w:color w:val="auto"/>
          <w:sz w:val="24"/>
          <w:highlight w:val="none"/>
        </w:rPr>
      </w:pPr>
      <w:r>
        <w:rPr>
          <w:rFonts w:hint="eastAsia" w:ascii="宋体"/>
          <w:color w:val="auto"/>
          <w:sz w:val="24"/>
          <w:highlight w:val="none"/>
        </w:rPr>
        <w:t>通讯地址：</w:t>
      </w:r>
      <w:r>
        <w:rPr>
          <w:rFonts w:hint="eastAsia" w:ascii="宋体"/>
          <w:color w:val="auto"/>
          <w:sz w:val="24"/>
          <w:highlight w:val="none"/>
          <w:u w:val="single"/>
        </w:rPr>
        <w:t xml:space="preserve">                 </w:t>
      </w:r>
    </w:p>
    <w:p>
      <w:pPr>
        <w:spacing w:line="440" w:lineRule="exact"/>
        <w:ind w:firstLine="3240" w:firstLineChars="1350"/>
        <w:rPr>
          <w:rFonts w:ascii="宋体"/>
          <w:color w:val="auto"/>
          <w:sz w:val="24"/>
          <w:highlight w:val="none"/>
        </w:rPr>
      </w:pPr>
      <w:r>
        <w:rPr>
          <w:rFonts w:hint="eastAsia" w:ascii="宋体"/>
          <w:color w:val="auto"/>
          <w:sz w:val="24"/>
          <w:highlight w:val="none"/>
        </w:rPr>
        <w:t>电    话：</w:t>
      </w:r>
      <w:r>
        <w:rPr>
          <w:rFonts w:hint="eastAsia" w:ascii="宋体"/>
          <w:color w:val="auto"/>
          <w:sz w:val="24"/>
          <w:highlight w:val="none"/>
          <w:u w:val="single"/>
        </w:rPr>
        <w:t xml:space="preserve">                 </w:t>
      </w:r>
    </w:p>
    <w:p>
      <w:pPr>
        <w:spacing w:line="360" w:lineRule="exact"/>
        <w:ind w:firstLine="562"/>
        <w:rPr>
          <w:rFonts w:ascii="宋体"/>
          <w:b/>
          <w:color w:val="auto"/>
          <w:sz w:val="28"/>
          <w:szCs w:val="28"/>
          <w:highlight w:val="none"/>
        </w:rPr>
      </w:pPr>
    </w:p>
    <w:p>
      <w:pPr>
        <w:snapToGrid w:val="0"/>
        <w:spacing w:before="156" w:beforeLines="50" w:after="156" w:afterLines="50" w:line="440" w:lineRule="exact"/>
        <w:ind w:firstLine="562"/>
        <w:jc w:val="center"/>
        <w:rPr>
          <w:rFonts w:ascii="宋体" w:cs="宋体"/>
          <w:b/>
          <w:bCs/>
          <w:color w:val="auto"/>
          <w:sz w:val="28"/>
          <w:szCs w:val="28"/>
          <w:highlight w:val="none"/>
        </w:rPr>
      </w:pPr>
    </w:p>
    <w:p>
      <w:pPr>
        <w:snapToGrid w:val="0"/>
        <w:spacing w:before="156" w:beforeLines="50" w:after="156" w:afterLines="50" w:line="440" w:lineRule="exact"/>
        <w:ind w:firstLine="562"/>
        <w:jc w:val="center"/>
        <w:rPr>
          <w:rFonts w:ascii="宋体" w:cs="宋体"/>
          <w:b/>
          <w:bCs/>
          <w:color w:val="auto"/>
          <w:sz w:val="28"/>
          <w:szCs w:val="28"/>
          <w:highlight w:val="none"/>
        </w:rPr>
      </w:pPr>
    </w:p>
    <w:p>
      <w:pPr>
        <w:spacing w:line="500" w:lineRule="exact"/>
        <w:ind w:firstLine="723"/>
        <w:jc w:val="center"/>
        <w:rPr>
          <w:rFonts w:ascii="宋体"/>
          <w:b/>
          <w:color w:val="auto"/>
          <w:sz w:val="36"/>
          <w:szCs w:val="36"/>
          <w:highlight w:val="none"/>
        </w:rPr>
      </w:pPr>
    </w:p>
    <w:p>
      <w:pPr>
        <w:spacing w:line="500" w:lineRule="exact"/>
        <w:ind w:firstLine="723"/>
        <w:jc w:val="center"/>
        <w:rPr>
          <w:rFonts w:ascii="宋体"/>
          <w:b/>
          <w:color w:val="auto"/>
          <w:sz w:val="36"/>
          <w:szCs w:val="36"/>
          <w:highlight w:val="none"/>
        </w:rPr>
      </w:pPr>
    </w:p>
    <w:p>
      <w:pPr>
        <w:spacing w:line="500" w:lineRule="exact"/>
        <w:ind w:firstLine="723"/>
        <w:jc w:val="center"/>
        <w:rPr>
          <w:rFonts w:ascii="宋体"/>
          <w:b/>
          <w:color w:val="auto"/>
          <w:sz w:val="36"/>
          <w:szCs w:val="36"/>
          <w:highlight w:val="none"/>
        </w:rPr>
      </w:pPr>
      <w:r>
        <w:rPr>
          <w:rFonts w:hint="eastAsia" w:ascii="宋体"/>
          <w:b/>
          <w:color w:val="auto"/>
          <w:sz w:val="36"/>
          <w:szCs w:val="36"/>
          <w:highlight w:val="none"/>
        </w:rPr>
        <w:t>投标人认为需要提供的其他材料（如有）</w:t>
      </w:r>
    </w:p>
    <w:bookmarkEnd w:id="560"/>
    <w:bookmarkEnd w:id="561"/>
    <w:bookmarkEnd w:id="562"/>
    <w:bookmarkEnd w:id="563"/>
    <w:bookmarkEnd w:id="564"/>
    <w:bookmarkEnd w:id="565"/>
    <w:bookmarkEnd w:id="566"/>
    <w:bookmarkEnd w:id="567"/>
    <w:p>
      <w:pPr>
        <w:pStyle w:val="2"/>
        <w:ind w:firstLine="602"/>
        <w:rPr>
          <w:color w:val="auto"/>
          <w:sz w:val="30"/>
          <w:szCs w:val="30"/>
          <w:highlight w:val="none"/>
        </w:rPr>
      </w:pPr>
      <w:bookmarkStart w:id="707" w:name="_Toc29328_WPSOffice_Level1"/>
      <w:bookmarkStart w:id="708" w:name="_Toc14229"/>
      <w:bookmarkStart w:id="709" w:name="_Toc150"/>
      <w:bookmarkStart w:id="710" w:name="_Toc7702"/>
      <w:bookmarkStart w:id="711" w:name="_Toc19487_WPSOffice_Level1"/>
      <w:bookmarkStart w:id="712" w:name="_Toc35864597"/>
      <w:bookmarkStart w:id="713" w:name="_Toc11858"/>
      <w:r>
        <w:rPr>
          <w:rFonts w:hint="eastAsia"/>
          <w:color w:val="auto"/>
          <w:sz w:val="30"/>
          <w:szCs w:val="30"/>
          <w:highlight w:val="none"/>
        </w:rPr>
        <w:t>第七章 招标单位、代理机构对本招标文件的确认</w:t>
      </w:r>
      <w:bookmarkEnd w:id="707"/>
      <w:bookmarkEnd w:id="708"/>
      <w:bookmarkEnd w:id="709"/>
      <w:bookmarkEnd w:id="710"/>
      <w:bookmarkEnd w:id="711"/>
      <w:bookmarkEnd w:id="712"/>
      <w:bookmarkEnd w:id="713"/>
    </w:p>
    <w:tbl>
      <w:tblPr>
        <w:tblStyle w:val="50"/>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9" w:hRule="atLeast"/>
          <w:jc w:val="center"/>
        </w:trPr>
        <w:tc>
          <w:tcPr>
            <w:tcW w:w="9880" w:type="dxa"/>
          </w:tcPr>
          <w:p>
            <w:pPr>
              <w:adjustRightInd w:val="0"/>
              <w:snapToGrid w:val="0"/>
              <w:spacing w:line="560" w:lineRule="exact"/>
              <w:ind w:firstLine="560"/>
              <w:rPr>
                <w:rFonts w:ascii="宋体" w:cs="宋体"/>
                <w:color w:val="auto"/>
                <w:sz w:val="28"/>
                <w:szCs w:val="28"/>
                <w:highlight w:val="none"/>
              </w:rPr>
            </w:pPr>
          </w:p>
          <w:p>
            <w:pPr>
              <w:widowControl/>
              <w:spacing w:line="360" w:lineRule="auto"/>
              <w:ind w:firstLine="560"/>
              <w:jc w:val="left"/>
              <w:rPr>
                <w:rFonts w:ascii="宋体" w:cs="宋体"/>
                <w:color w:val="auto"/>
                <w:sz w:val="28"/>
                <w:szCs w:val="28"/>
                <w:highlight w:val="none"/>
              </w:rPr>
            </w:pPr>
            <w:r>
              <w:rPr>
                <w:rFonts w:hint="eastAsia" w:ascii="宋体" w:hAnsi="宋体" w:cs="宋体"/>
                <w:color w:val="auto"/>
                <w:sz w:val="28"/>
                <w:szCs w:val="28"/>
                <w:highlight w:val="none"/>
              </w:rPr>
              <w:t>我单位对</w:t>
            </w:r>
            <w:r>
              <w:rPr>
                <w:rFonts w:hint="eastAsia" w:ascii="宋体" w:hAnsi="宋体" w:cs="宋体"/>
                <w:color w:val="auto"/>
                <w:sz w:val="28"/>
                <w:szCs w:val="28"/>
                <w:highlight w:val="none"/>
                <w:u w:val="single"/>
              </w:rPr>
              <w:t xml:space="preserve">  滁州市第二人民医院精神病院区智能化工程第三方检测项目  </w:t>
            </w:r>
            <w:r>
              <w:rPr>
                <w:rFonts w:hint="eastAsia" w:ascii="宋体" w:hAnsi="宋体" w:cs="宋体"/>
                <w:color w:val="auto"/>
                <w:sz w:val="28"/>
                <w:szCs w:val="28"/>
                <w:highlight w:val="none"/>
              </w:rPr>
              <w:t>的招标文件进行确认。</w:t>
            </w:r>
          </w:p>
          <w:p>
            <w:pPr>
              <w:adjustRightInd w:val="0"/>
              <w:snapToGrid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招标人：</w:t>
            </w:r>
            <w:r>
              <w:rPr>
                <w:rFonts w:hint="eastAsia" w:hAnsi="宋体" w:cs="宋体"/>
                <w:color w:val="auto"/>
                <w:sz w:val="28"/>
                <w:szCs w:val="28"/>
                <w:highlight w:val="none"/>
                <w:shd w:val="clear" w:color="auto" w:fill="FFFFFF"/>
              </w:rPr>
              <w:t>滁州市第二人民医院（市传染病医院、市精神病医院）</w:t>
            </w:r>
            <w:r>
              <w:rPr>
                <w:rFonts w:hint="eastAsia" w:ascii="宋体" w:hAnsi="宋体"/>
                <w:color w:val="auto"/>
                <w:sz w:val="28"/>
                <w:szCs w:val="28"/>
                <w:highlight w:val="none"/>
              </w:rPr>
              <w:t xml:space="preserve"> </w:t>
            </w:r>
          </w:p>
          <w:p>
            <w:pPr>
              <w:adjustRightInd w:val="0"/>
              <w:snapToGrid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联系</w:t>
            </w:r>
            <w:r>
              <w:rPr>
                <w:rFonts w:hint="eastAsia" w:ascii="宋体" w:hAnsi="宋体" w:cs="宋体"/>
                <w:color w:val="auto"/>
                <w:sz w:val="28"/>
                <w:szCs w:val="28"/>
                <w:highlight w:val="none"/>
                <w:shd w:val="clear" w:color="auto" w:fill="FFFFFF"/>
              </w:rPr>
              <w:t xml:space="preserve">人：招标办 </w:t>
            </w:r>
          </w:p>
          <w:p>
            <w:pPr>
              <w:adjustRightInd w:val="0"/>
              <w:snapToGrid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联系电话：</w:t>
            </w:r>
            <w:r>
              <w:rPr>
                <w:rFonts w:hint="eastAsia" w:hAnsi="宋体" w:cs="宋体"/>
                <w:color w:val="auto"/>
                <w:sz w:val="28"/>
                <w:szCs w:val="28"/>
                <w:highlight w:val="none"/>
                <w:shd w:val="clear" w:color="auto" w:fill="FFFFFF"/>
              </w:rPr>
              <w:t xml:space="preserve">0550-3523822 </w:t>
            </w:r>
          </w:p>
          <w:p>
            <w:pPr>
              <w:adjustRightInd w:val="0"/>
              <w:snapToGrid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                              </w:t>
            </w:r>
          </w:p>
          <w:p>
            <w:pPr>
              <w:pStyle w:val="49"/>
              <w:ind w:left="0" w:leftChars="0" w:firstLine="0" w:firstLineChars="0"/>
              <w:rPr>
                <w:color w:val="auto"/>
                <w:sz w:val="28"/>
                <w:szCs w:val="28"/>
                <w:highlight w:val="none"/>
              </w:rPr>
            </w:pPr>
          </w:p>
          <w:p>
            <w:pPr>
              <w:adjustRightInd w:val="0"/>
              <w:snapToGrid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                                        </w:t>
            </w:r>
          </w:p>
          <w:p>
            <w:pPr>
              <w:spacing w:line="560" w:lineRule="exact"/>
              <w:ind w:firstLine="280" w:firstLineChars="100"/>
              <w:jc w:val="right"/>
              <w:rPr>
                <w:rFonts w:ascii="宋体" w:hAnsi="宋体" w:cs="宋体"/>
                <w:color w:val="auto"/>
                <w:sz w:val="28"/>
                <w:szCs w:val="28"/>
                <w:highlight w:val="none"/>
              </w:rPr>
            </w:pPr>
            <w:r>
              <w:rPr>
                <w:rFonts w:hint="eastAsia" w:ascii="宋体" w:hAnsi="宋体" w:cs="宋体"/>
                <w:color w:val="auto"/>
                <w:sz w:val="28"/>
                <w:szCs w:val="28"/>
                <w:highlight w:val="none"/>
              </w:rPr>
              <w:t>（盖章）</w:t>
            </w:r>
          </w:p>
          <w:p>
            <w:pPr>
              <w:spacing w:line="560" w:lineRule="exact"/>
              <w:ind w:firstLine="280" w:firstLineChars="100"/>
              <w:jc w:val="right"/>
              <w:rPr>
                <w:color w:val="auto"/>
                <w:sz w:val="28"/>
                <w:szCs w:val="28"/>
                <w:highlight w:val="none"/>
              </w:rPr>
            </w:pPr>
            <w:r>
              <w:rPr>
                <w:rFonts w:hint="eastAsia" w:ascii="宋体" w:hAnsi="宋体" w:cs="宋体"/>
                <w:color w:val="auto"/>
                <w:sz w:val="28"/>
                <w:szCs w:val="28"/>
                <w:highlight w:val="none"/>
              </w:rPr>
              <w:t xml:space="preserve">          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jc w:val="center"/>
        </w:trPr>
        <w:tc>
          <w:tcPr>
            <w:tcW w:w="9880" w:type="dxa"/>
          </w:tcPr>
          <w:p>
            <w:pPr>
              <w:spacing w:line="560" w:lineRule="exact"/>
              <w:ind w:firstLine="560" w:firstLineChars="200"/>
              <w:rPr>
                <w:rFonts w:ascii="宋体" w:cs="宋体"/>
                <w:color w:val="auto"/>
                <w:sz w:val="28"/>
                <w:szCs w:val="28"/>
                <w:highlight w:val="none"/>
              </w:rPr>
            </w:pPr>
          </w:p>
          <w:p>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招标代理机构：江苏川页工程项目管理有限公司   </w:t>
            </w:r>
          </w:p>
          <w:p>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经办人：赵建飞</w:t>
            </w:r>
          </w:p>
          <w:p>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联系电话：18755018236</w:t>
            </w:r>
          </w:p>
          <w:p>
            <w:pPr>
              <w:spacing w:line="560" w:lineRule="exact"/>
              <w:ind w:firstLine="280" w:firstLineChars="100"/>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pPr>
              <w:spacing w:line="560" w:lineRule="exact"/>
              <w:ind w:firstLine="280" w:firstLineChars="100"/>
              <w:rPr>
                <w:rFonts w:ascii="宋体" w:hAnsi="宋体" w:cs="宋体"/>
                <w:color w:val="auto"/>
                <w:sz w:val="28"/>
                <w:szCs w:val="28"/>
                <w:highlight w:val="none"/>
              </w:rPr>
            </w:pPr>
          </w:p>
          <w:p>
            <w:pPr>
              <w:pStyle w:val="3"/>
              <w:ind w:firstLine="482"/>
              <w:rPr>
                <w:color w:val="auto"/>
                <w:highlight w:val="none"/>
              </w:rPr>
            </w:pPr>
          </w:p>
          <w:p>
            <w:pPr>
              <w:spacing w:line="560" w:lineRule="exact"/>
              <w:ind w:firstLine="280" w:firstLineChars="100"/>
              <w:jc w:val="right"/>
              <w:rPr>
                <w:rFonts w:ascii="宋体" w:hAnsi="宋体" w:cs="宋体"/>
                <w:color w:val="auto"/>
                <w:sz w:val="28"/>
                <w:szCs w:val="28"/>
                <w:highlight w:val="none"/>
              </w:rPr>
            </w:pPr>
            <w:r>
              <w:rPr>
                <w:rFonts w:hint="eastAsia" w:ascii="宋体" w:hAnsi="宋体" w:cs="宋体"/>
                <w:color w:val="auto"/>
                <w:sz w:val="28"/>
                <w:szCs w:val="28"/>
                <w:highlight w:val="none"/>
              </w:rPr>
              <w:t xml:space="preserve">                                          （单位盖章）</w:t>
            </w:r>
          </w:p>
          <w:p>
            <w:pPr>
              <w:spacing w:line="560" w:lineRule="exact"/>
              <w:ind w:firstLine="6300" w:firstLineChars="2250"/>
              <w:jc w:val="right"/>
              <w:rPr>
                <w:color w:val="auto"/>
                <w:sz w:val="28"/>
                <w:szCs w:val="28"/>
                <w:highlight w:val="none"/>
              </w:rPr>
            </w:pPr>
            <w:r>
              <w:rPr>
                <w:rFonts w:hint="eastAsia" w:ascii="宋体" w:hAnsi="宋体" w:cs="宋体"/>
                <w:color w:val="auto"/>
                <w:sz w:val="28"/>
                <w:szCs w:val="28"/>
                <w:highlight w:val="none"/>
              </w:rPr>
              <w:t xml:space="preserve">       2024年6月</w:t>
            </w:r>
          </w:p>
        </w:tc>
      </w:tr>
    </w:tbl>
    <w:p>
      <w:pPr>
        <w:ind w:firstLine="560"/>
        <w:jc w:val="left"/>
        <w:rPr>
          <w:rFonts w:ascii="宋体" w:hAnsi="宋体" w:cs="宋体"/>
          <w:color w:val="auto"/>
          <w:sz w:val="28"/>
          <w:szCs w:val="28"/>
          <w:highlight w:val="none"/>
        </w:rPr>
      </w:pPr>
    </w:p>
    <w:sectPr>
      <w:headerReference r:id="rId8" w:type="default"/>
      <w:footerReference r:id="rId9" w:type="default"/>
      <w:pgSz w:w="11906" w:h="16838"/>
      <w:pgMar w:top="1134" w:right="1361" w:bottom="1077" w:left="1361"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0000000000000000000"/>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Style w:val="5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p>
    <w:pPr>
      <w:pStyle w:val="28"/>
      <w:jc w:val="center"/>
      <w:rPr>
        <w:rFonts w:ascii="黑体" w:eastAsia="黑体"/>
        <w:b/>
        <w:bCs/>
        <w:kern w:val="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黑体" w:eastAsia="黑体"/>
        <w:b/>
        <w:bCs/>
        <w:kern w:val="0"/>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rPr>
        <w:kern w:val="0"/>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45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WcUuzAEAAJwDAAAOAAAAAAAAAAEAIAAAAB4BAABkcnMvZTJv&#10;RG9jLnhtbFBLBQYAAAAABgAGAFkBAABc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right"/>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2D172"/>
    <w:multiLevelType w:val="singleLevel"/>
    <w:tmpl w:val="07A2D172"/>
    <w:lvl w:ilvl="0" w:tentative="0">
      <w:start w:val="1"/>
      <w:numFmt w:val="decimal"/>
      <w:lvlText w:val="%1."/>
      <w:lvlJc w:val="left"/>
      <w:pPr>
        <w:ind w:left="425" w:hanging="425"/>
      </w:pPr>
      <w:rPr>
        <w:rFonts w:hint="default"/>
      </w:rPr>
    </w:lvl>
  </w:abstractNum>
  <w:abstractNum w:abstractNumId="1">
    <w:nsid w:val="617FFA09"/>
    <w:multiLevelType w:val="singleLevel"/>
    <w:tmpl w:val="617FFA09"/>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NmI4YmI4ODA2MWE2ZmNkMjg3Zjk0MGJmYmY0ZGYifQ=="/>
    <w:docVar w:name="KSO_WPS_MARK_KEY" w:val="271179cf-a07a-4519-8064-711ee7006a07"/>
  </w:docVars>
  <w:rsids>
    <w:rsidRoot w:val="00172A27"/>
    <w:rsid w:val="00000F03"/>
    <w:rsid w:val="0000102C"/>
    <w:rsid w:val="00002296"/>
    <w:rsid w:val="00003341"/>
    <w:rsid w:val="00006820"/>
    <w:rsid w:val="0000765B"/>
    <w:rsid w:val="000133FD"/>
    <w:rsid w:val="00013CDB"/>
    <w:rsid w:val="000149CE"/>
    <w:rsid w:val="00014BE3"/>
    <w:rsid w:val="000152EF"/>
    <w:rsid w:val="00015E33"/>
    <w:rsid w:val="000163F2"/>
    <w:rsid w:val="0002000D"/>
    <w:rsid w:val="000210A3"/>
    <w:rsid w:val="00021731"/>
    <w:rsid w:val="0002303F"/>
    <w:rsid w:val="00024BEA"/>
    <w:rsid w:val="00025652"/>
    <w:rsid w:val="00027350"/>
    <w:rsid w:val="000275A3"/>
    <w:rsid w:val="00027B66"/>
    <w:rsid w:val="000301A2"/>
    <w:rsid w:val="0003022F"/>
    <w:rsid w:val="00030431"/>
    <w:rsid w:val="00031287"/>
    <w:rsid w:val="0003176B"/>
    <w:rsid w:val="000346D8"/>
    <w:rsid w:val="00034D00"/>
    <w:rsid w:val="000369B9"/>
    <w:rsid w:val="00036E1B"/>
    <w:rsid w:val="00037222"/>
    <w:rsid w:val="00041DC0"/>
    <w:rsid w:val="00043152"/>
    <w:rsid w:val="000455A4"/>
    <w:rsid w:val="00045A6A"/>
    <w:rsid w:val="000466F8"/>
    <w:rsid w:val="0004671B"/>
    <w:rsid w:val="00047776"/>
    <w:rsid w:val="000520E9"/>
    <w:rsid w:val="000534C0"/>
    <w:rsid w:val="00055AD6"/>
    <w:rsid w:val="0005658A"/>
    <w:rsid w:val="00056830"/>
    <w:rsid w:val="00056A2D"/>
    <w:rsid w:val="00056E3D"/>
    <w:rsid w:val="00061677"/>
    <w:rsid w:val="00063BED"/>
    <w:rsid w:val="00063C44"/>
    <w:rsid w:val="0006566F"/>
    <w:rsid w:val="0006584B"/>
    <w:rsid w:val="00065940"/>
    <w:rsid w:val="00065AAB"/>
    <w:rsid w:val="00070B50"/>
    <w:rsid w:val="00071845"/>
    <w:rsid w:val="000738CE"/>
    <w:rsid w:val="00077AAD"/>
    <w:rsid w:val="00080440"/>
    <w:rsid w:val="00080971"/>
    <w:rsid w:val="000818D5"/>
    <w:rsid w:val="000826E7"/>
    <w:rsid w:val="0008469B"/>
    <w:rsid w:val="0008521D"/>
    <w:rsid w:val="00085D26"/>
    <w:rsid w:val="00086AF9"/>
    <w:rsid w:val="00087577"/>
    <w:rsid w:val="00090F13"/>
    <w:rsid w:val="0009199E"/>
    <w:rsid w:val="00091D2B"/>
    <w:rsid w:val="0009306E"/>
    <w:rsid w:val="000944D8"/>
    <w:rsid w:val="00094759"/>
    <w:rsid w:val="00096398"/>
    <w:rsid w:val="00096946"/>
    <w:rsid w:val="000A0086"/>
    <w:rsid w:val="000A1B93"/>
    <w:rsid w:val="000A2A89"/>
    <w:rsid w:val="000A318B"/>
    <w:rsid w:val="000A3A88"/>
    <w:rsid w:val="000A4579"/>
    <w:rsid w:val="000A48D0"/>
    <w:rsid w:val="000A7358"/>
    <w:rsid w:val="000A77AA"/>
    <w:rsid w:val="000B026F"/>
    <w:rsid w:val="000B02B3"/>
    <w:rsid w:val="000B41C7"/>
    <w:rsid w:val="000B4E0B"/>
    <w:rsid w:val="000B5789"/>
    <w:rsid w:val="000B5D69"/>
    <w:rsid w:val="000B609D"/>
    <w:rsid w:val="000B734D"/>
    <w:rsid w:val="000B767F"/>
    <w:rsid w:val="000B7C36"/>
    <w:rsid w:val="000C2ACE"/>
    <w:rsid w:val="000C3844"/>
    <w:rsid w:val="000C423F"/>
    <w:rsid w:val="000C4FA9"/>
    <w:rsid w:val="000C5DC5"/>
    <w:rsid w:val="000C7A2C"/>
    <w:rsid w:val="000D069B"/>
    <w:rsid w:val="000D15D2"/>
    <w:rsid w:val="000D18C0"/>
    <w:rsid w:val="000D1BC7"/>
    <w:rsid w:val="000D2370"/>
    <w:rsid w:val="000D2998"/>
    <w:rsid w:val="000D2DEB"/>
    <w:rsid w:val="000D4F76"/>
    <w:rsid w:val="000D5B18"/>
    <w:rsid w:val="000E1E50"/>
    <w:rsid w:val="000E47C8"/>
    <w:rsid w:val="000E521D"/>
    <w:rsid w:val="000E6FF8"/>
    <w:rsid w:val="000F069A"/>
    <w:rsid w:val="000F0C54"/>
    <w:rsid w:val="000F1705"/>
    <w:rsid w:val="000F195C"/>
    <w:rsid w:val="000F1B02"/>
    <w:rsid w:val="000F294F"/>
    <w:rsid w:val="000F2FFA"/>
    <w:rsid w:val="000F309A"/>
    <w:rsid w:val="000F3685"/>
    <w:rsid w:val="000F36ED"/>
    <w:rsid w:val="000F3D46"/>
    <w:rsid w:val="000F5817"/>
    <w:rsid w:val="000F6B36"/>
    <w:rsid w:val="000F6D52"/>
    <w:rsid w:val="0010017C"/>
    <w:rsid w:val="00102075"/>
    <w:rsid w:val="00102231"/>
    <w:rsid w:val="00102B71"/>
    <w:rsid w:val="0010493B"/>
    <w:rsid w:val="00104F30"/>
    <w:rsid w:val="0010777D"/>
    <w:rsid w:val="001106F4"/>
    <w:rsid w:val="00113041"/>
    <w:rsid w:val="0011328D"/>
    <w:rsid w:val="0011593A"/>
    <w:rsid w:val="00116B46"/>
    <w:rsid w:val="00117639"/>
    <w:rsid w:val="001204FF"/>
    <w:rsid w:val="001205BC"/>
    <w:rsid w:val="00120BCE"/>
    <w:rsid w:val="00121F96"/>
    <w:rsid w:val="00124902"/>
    <w:rsid w:val="00124A35"/>
    <w:rsid w:val="001262D5"/>
    <w:rsid w:val="00126B13"/>
    <w:rsid w:val="00132AAF"/>
    <w:rsid w:val="0013331F"/>
    <w:rsid w:val="0013358F"/>
    <w:rsid w:val="001335D9"/>
    <w:rsid w:val="00133BE1"/>
    <w:rsid w:val="001347A9"/>
    <w:rsid w:val="00135313"/>
    <w:rsid w:val="00136C6C"/>
    <w:rsid w:val="001377FE"/>
    <w:rsid w:val="00140703"/>
    <w:rsid w:val="0014118D"/>
    <w:rsid w:val="001423BD"/>
    <w:rsid w:val="0014526A"/>
    <w:rsid w:val="00146FE8"/>
    <w:rsid w:val="00147D4A"/>
    <w:rsid w:val="00152C59"/>
    <w:rsid w:val="00153023"/>
    <w:rsid w:val="00153877"/>
    <w:rsid w:val="00153D68"/>
    <w:rsid w:val="00154767"/>
    <w:rsid w:val="00155483"/>
    <w:rsid w:val="0015793D"/>
    <w:rsid w:val="00161FAA"/>
    <w:rsid w:val="00164B9C"/>
    <w:rsid w:val="001653B4"/>
    <w:rsid w:val="001669A2"/>
    <w:rsid w:val="00166E69"/>
    <w:rsid w:val="00167272"/>
    <w:rsid w:val="00167E01"/>
    <w:rsid w:val="00167FF5"/>
    <w:rsid w:val="00170CC2"/>
    <w:rsid w:val="0017116A"/>
    <w:rsid w:val="00171479"/>
    <w:rsid w:val="00171A33"/>
    <w:rsid w:val="00172644"/>
    <w:rsid w:val="00172A27"/>
    <w:rsid w:val="00176EEA"/>
    <w:rsid w:val="00177929"/>
    <w:rsid w:val="00177A7A"/>
    <w:rsid w:val="00177B8F"/>
    <w:rsid w:val="00181EE1"/>
    <w:rsid w:val="00182E57"/>
    <w:rsid w:val="00184289"/>
    <w:rsid w:val="00184ABA"/>
    <w:rsid w:val="001858BE"/>
    <w:rsid w:val="00185A56"/>
    <w:rsid w:val="001864BC"/>
    <w:rsid w:val="00187590"/>
    <w:rsid w:val="00190C31"/>
    <w:rsid w:val="00191140"/>
    <w:rsid w:val="0019139D"/>
    <w:rsid w:val="001918E9"/>
    <w:rsid w:val="00192BDE"/>
    <w:rsid w:val="00193CE6"/>
    <w:rsid w:val="00194B8E"/>
    <w:rsid w:val="00195E66"/>
    <w:rsid w:val="001961BA"/>
    <w:rsid w:val="001975C9"/>
    <w:rsid w:val="001A0716"/>
    <w:rsid w:val="001A343D"/>
    <w:rsid w:val="001A435B"/>
    <w:rsid w:val="001A4465"/>
    <w:rsid w:val="001A5FB8"/>
    <w:rsid w:val="001A6F91"/>
    <w:rsid w:val="001B1526"/>
    <w:rsid w:val="001B1BD2"/>
    <w:rsid w:val="001B3012"/>
    <w:rsid w:val="001B520E"/>
    <w:rsid w:val="001B5BEF"/>
    <w:rsid w:val="001B6816"/>
    <w:rsid w:val="001B7766"/>
    <w:rsid w:val="001C22BC"/>
    <w:rsid w:val="001C5534"/>
    <w:rsid w:val="001C6CAF"/>
    <w:rsid w:val="001C7C71"/>
    <w:rsid w:val="001D06AD"/>
    <w:rsid w:val="001D2114"/>
    <w:rsid w:val="001D318D"/>
    <w:rsid w:val="001D5590"/>
    <w:rsid w:val="001D693B"/>
    <w:rsid w:val="001D70EE"/>
    <w:rsid w:val="001D7320"/>
    <w:rsid w:val="001D73C1"/>
    <w:rsid w:val="001D7424"/>
    <w:rsid w:val="001D750D"/>
    <w:rsid w:val="001E00E0"/>
    <w:rsid w:val="001E0EF7"/>
    <w:rsid w:val="001E191A"/>
    <w:rsid w:val="001E33F3"/>
    <w:rsid w:val="001E3C44"/>
    <w:rsid w:val="001E3DE5"/>
    <w:rsid w:val="001E452F"/>
    <w:rsid w:val="001E4B4F"/>
    <w:rsid w:val="001E535B"/>
    <w:rsid w:val="001E56A2"/>
    <w:rsid w:val="001E6B1C"/>
    <w:rsid w:val="001E6CD4"/>
    <w:rsid w:val="001E6FE6"/>
    <w:rsid w:val="001E6FFF"/>
    <w:rsid w:val="001F0084"/>
    <w:rsid w:val="001F064B"/>
    <w:rsid w:val="001F1335"/>
    <w:rsid w:val="001F16F3"/>
    <w:rsid w:val="001F1743"/>
    <w:rsid w:val="001F1CE0"/>
    <w:rsid w:val="001F2980"/>
    <w:rsid w:val="001F3B7C"/>
    <w:rsid w:val="001F403F"/>
    <w:rsid w:val="001F4495"/>
    <w:rsid w:val="001F471C"/>
    <w:rsid w:val="001F5059"/>
    <w:rsid w:val="001F50BB"/>
    <w:rsid w:val="001F7A46"/>
    <w:rsid w:val="0020030D"/>
    <w:rsid w:val="00200A9A"/>
    <w:rsid w:val="00202078"/>
    <w:rsid w:val="00202131"/>
    <w:rsid w:val="0020229E"/>
    <w:rsid w:val="002026A6"/>
    <w:rsid w:val="00203622"/>
    <w:rsid w:val="00203E74"/>
    <w:rsid w:val="002069FA"/>
    <w:rsid w:val="00207055"/>
    <w:rsid w:val="002075D4"/>
    <w:rsid w:val="00207958"/>
    <w:rsid w:val="002103CB"/>
    <w:rsid w:val="00210CEC"/>
    <w:rsid w:val="00211704"/>
    <w:rsid w:val="002125CB"/>
    <w:rsid w:val="0021262F"/>
    <w:rsid w:val="00217547"/>
    <w:rsid w:val="00220B91"/>
    <w:rsid w:val="002217F8"/>
    <w:rsid w:val="00225794"/>
    <w:rsid w:val="00225D3C"/>
    <w:rsid w:val="00227089"/>
    <w:rsid w:val="002306F3"/>
    <w:rsid w:val="00230AE3"/>
    <w:rsid w:val="00230C04"/>
    <w:rsid w:val="002314D2"/>
    <w:rsid w:val="0023165F"/>
    <w:rsid w:val="0023272C"/>
    <w:rsid w:val="00233E6F"/>
    <w:rsid w:val="00234A29"/>
    <w:rsid w:val="002361C8"/>
    <w:rsid w:val="002364B7"/>
    <w:rsid w:val="0023659C"/>
    <w:rsid w:val="00237147"/>
    <w:rsid w:val="00237352"/>
    <w:rsid w:val="002374BB"/>
    <w:rsid w:val="00237506"/>
    <w:rsid w:val="00240600"/>
    <w:rsid w:val="002417C1"/>
    <w:rsid w:val="00242BA3"/>
    <w:rsid w:val="00243C2B"/>
    <w:rsid w:val="00244312"/>
    <w:rsid w:val="00247A47"/>
    <w:rsid w:val="00247C5C"/>
    <w:rsid w:val="00250167"/>
    <w:rsid w:val="00251029"/>
    <w:rsid w:val="0025449E"/>
    <w:rsid w:val="0025467B"/>
    <w:rsid w:val="002551F6"/>
    <w:rsid w:val="002554CE"/>
    <w:rsid w:val="00255771"/>
    <w:rsid w:val="00255A95"/>
    <w:rsid w:val="002572D8"/>
    <w:rsid w:val="00257348"/>
    <w:rsid w:val="00260EB0"/>
    <w:rsid w:val="00262F82"/>
    <w:rsid w:val="00264BBB"/>
    <w:rsid w:val="00265844"/>
    <w:rsid w:val="002667A5"/>
    <w:rsid w:val="00266FC3"/>
    <w:rsid w:val="002676DA"/>
    <w:rsid w:val="00270D00"/>
    <w:rsid w:val="00271288"/>
    <w:rsid w:val="00272A64"/>
    <w:rsid w:val="002731BD"/>
    <w:rsid w:val="0027387D"/>
    <w:rsid w:val="0027549B"/>
    <w:rsid w:val="00276C5E"/>
    <w:rsid w:val="00277233"/>
    <w:rsid w:val="002776CD"/>
    <w:rsid w:val="002803FA"/>
    <w:rsid w:val="00281D13"/>
    <w:rsid w:val="002827C7"/>
    <w:rsid w:val="00283A63"/>
    <w:rsid w:val="0028592E"/>
    <w:rsid w:val="002859F8"/>
    <w:rsid w:val="0028605D"/>
    <w:rsid w:val="00286788"/>
    <w:rsid w:val="0028772F"/>
    <w:rsid w:val="002905A9"/>
    <w:rsid w:val="002929A8"/>
    <w:rsid w:val="00293E15"/>
    <w:rsid w:val="00295785"/>
    <w:rsid w:val="00295C9B"/>
    <w:rsid w:val="00297553"/>
    <w:rsid w:val="00297DCF"/>
    <w:rsid w:val="002A0361"/>
    <w:rsid w:val="002A046B"/>
    <w:rsid w:val="002A3922"/>
    <w:rsid w:val="002A4679"/>
    <w:rsid w:val="002A47B5"/>
    <w:rsid w:val="002A47BA"/>
    <w:rsid w:val="002A65E6"/>
    <w:rsid w:val="002A7F0C"/>
    <w:rsid w:val="002B1205"/>
    <w:rsid w:val="002B16F4"/>
    <w:rsid w:val="002B1B17"/>
    <w:rsid w:val="002B3094"/>
    <w:rsid w:val="002B4D0B"/>
    <w:rsid w:val="002B651F"/>
    <w:rsid w:val="002B675A"/>
    <w:rsid w:val="002C11D0"/>
    <w:rsid w:val="002C40AB"/>
    <w:rsid w:val="002C5707"/>
    <w:rsid w:val="002C6355"/>
    <w:rsid w:val="002D0466"/>
    <w:rsid w:val="002D21A0"/>
    <w:rsid w:val="002D3B50"/>
    <w:rsid w:val="002D500A"/>
    <w:rsid w:val="002D619C"/>
    <w:rsid w:val="002D7D16"/>
    <w:rsid w:val="002E0AA9"/>
    <w:rsid w:val="002E2295"/>
    <w:rsid w:val="002E31E3"/>
    <w:rsid w:val="002E349E"/>
    <w:rsid w:val="002E5DF0"/>
    <w:rsid w:val="002E6A21"/>
    <w:rsid w:val="002E6C2C"/>
    <w:rsid w:val="002E6EA9"/>
    <w:rsid w:val="002E74CD"/>
    <w:rsid w:val="002F04F4"/>
    <w:rsid w:val="002F0F7B"/>
    <w:rsid w:val="002F11C9"/>
    <w:rsid w:val="002F1AD0"/>
    <w:rsid w:val="002F1B12"/>
    <w:rsid w:val="002F2ADD"/>
    <w:rsid w:val="002F3CA0"/>
    <w:rsid w:val="002F4C7B"/>
    <w:rsid w:val="002F5F35"/>
    <w:rsid w:val="002F787B"/>
    <w:rsid w:val="0030036D"/>
    <w:rsid w:val="00301E56"/>
    <w:rsid w:val="00302DA4"/>
    <w:rsid w:val="00303C49"/>
    <w:rsid w:val="003043D3"/>
    <w:rsid w:val="00304853"/>
    <w:rsid w:val="00305612"/>
    <w:rsid w:val="00306E36"/>
    <w:rsid w:val="00310228"/>
    <w:rsid w:val="00310232"/>
    <w:rsid w:val="00311D50"/>
    <w:rsid w:val="003138BA"/>
    <w:rsid w:val="003141E9"/>
    <w:rsid w:val="003158DD"/>
    <w:rsid w:val="003169B1"/>
    <w:rsid w:val="0031701A"/>
    <w:rsid w:val="0031777C"/>
    <w:rsid w:val="00320EB5"/>
    <w:rsid w:val="00321760"/>
    <w:rsid w:val="00321CF0"/>
    <w:rsid w:val="003222D9"/>
    <w:rsid w:val="00323DA3"/>
    <w:rsid w:val="00323F93"/>
    <w:rsid w:val="003247E8"/>
    <w:rsid w:val="00324A98"/>
    <w:rsid w:val="00324C0D"/>
    <w:rsid w:val="00324D18"/>
    <w:rsid w:val="0032587D"/>
    <w:rsid w:val="00326B4A"/>
    <w:rsid w:val="003302B5"/>
    <w:rsid w:val="003302C4"/>
    <w:rsid w:val="0033132E"/>
    <w:rsid w:val="0033158A"/>
    <w:rsid w:val="00331F03"/>
    <w:rsid w:val="003342B7"/>
    <w:rsid w:val="00335113"/>
    <w:rsid w:val="0033662A"/>
    <w:rsid w:val="00337E67"/>
    <w:rsid w:val="003401B5"/>
    <w:rsid w:val="00342330"/>
    <w:rsid w:val="00344118"/>
    <w:rsid w:val="00344273"/>
    <w:rsid w:val="003443AF"/>
    <w:rsid w:val="0034546A"/>
    <w:rsid w:val="00346627"/>
    <w:rsid w:val="00346C50"/>
    <w:rsid w:val="00346EA4"/>
    <w:rsid w:val="003475EF"/>
    <w:rsid w:val="00347664"/>
    <w:rsid w:val="003511A6"/>
    <w:rsid w:val="00351636"/>
    <w:rsid w:val="003524FA"/>
    <w:rsid w:val="003536AA"/>
    <w:rsid w:val="00355A17"/>
    <w:rsid w:val="0035744E"/>
    <w:rsid w:val="00360343"/>
    <w:rsid w:val="00360FCD"/>
    <w:rsid w:val="00364C68"/>
    <w:rsid w:val="00364E31"/>
    <w:rsid w:val="00365426"/>
    <w:rsid w:val="003663FF"/>
    <w:rsid w:val="0036743A"/>
    <w:rsid w:val="00371602"/>
    <w:rsid w:val="00371A69"/>
    <w:rsid w:val="00371DCC"/>
    <w:rsid w:val="00372DA3"/>
    <w:rsid w:val="00372FCD"/>
    <w:rsid w:val="0037516A"/>
    <w:rsid w:val="00375399"/>
    <w:rsid w:val="003761A0"/>
    <w:rsid w:val="003761C3"/>
    <w:rsid w:val="00376324"/>
    <w:rsid w:val="0037637D"/>
    <w:rsid w:val="00376403"/>
    <w:rsid w:val="0038095F"/>
    <w:rsid w:val="00382134"/>
    <w:rsid w:val="00383809"/>
    <w:rsid w:val="0038572D"/>
    <w:rsid w:val="00390F55"/>
    <w:rsid w:val="003937D5"/>
    <w:rsid w:val="003943F6"/>
    <w:rsid w:val="00395BBA"/>
    <w:rsid w:val="0039655F"/>
    <w:rsid w:val="00397438"/>
    <w:rsid w:val="003975C9"/>
    <w:rsid w:val="00397B4E"/>
    <w:rsid w:val="003A0B6C"/>
    <w:rsid w:val="003A0C50"/>
    <w:rsid w:val="003A1E88"/>
    <w:rsid w:val="003A20C8"/>
    <w:rsid w:val="003A262E"/>
    <w:rsid w:val="003A2D98"/>
    <w:rsid w:val="003A3492"/>
    <w:rsid w:val="003A644A"/>
    <w:rsid w:val="003A7366"/>
    <w:rsid w:val="003B0EB7"/>
    <w:rsid w:val="003B2002"/>
    <w:rsid w:val="003B2911"/>
    <w:rsid w:val="003B4EF8"/>
    <w:rsid w:val="003B5149"/>
    <w:rsid w:val="003C03B5"/>
    <w:rsid w:val="003C22A2"/>
    <w:rsid w:val="003C2A63"/>
    <w:rsid w:val="003C44C4"/>
    <w:rsid w:val="003C5296"/>
    <w:rsid w:val="003C59FB"/>
    <w:rsid w:val="003C5D63"/>
    <w:rsid w:val="003D17A0"/>
    <w:rsid w:val="003D26E9"/>
    <w:rsid w:val="003D4696"/>
    <w:rsid w:val="003D7923"/>
    <w:rsid w:val="003D7DB9"/>
    <w:rsid w:val="003E2E02"/>
    <w:rsid w:val="003E2FF1"/>
    <w:rsid w:val="003E373D"/>
    <w:rsid w:val="003E68BB"/>
    <w:rsid w:val="003E6AC9"/>
    <w:rsid w:val="003E6F9D"/>
    <w:rsid w:val="003E74A0"/>
    <w:rsid w:val="003E7AC5"/>
    <w:rsid w:val="003F0472"/>
    <w:rsid w:val="003F09CD"/>
    <w:rsid w:val="003F0FFD"/>
    <w:rsid w:val="003F17A7"/>
    <w:rsid w:val="003F20F4"/>
    <w:rsid w:val="003F41C1"/>
    <w:rsid w:val="003F5BC4"/>
    <w:rsid w:val="003F79A3"/>
    <w:rsid w:val="004013B7"/>
    <w:rsid w:val="0040223B"/>
    <w:rsid w:val="004031CE"/>
    <w:rsid w:val="00403273"/>
    <w:rsid w:val="00403850"/>
    <w:rsid w:val="004041B9"/>
    <w:rsid w:val="00405D43"/>
    <w:rsid w:val="00406D2A"/>
    <w:rsid w:val="00407710"/>
    <w:rsid w:val="00410283"/>
    <w:rsid w:val="004105DD"/>
    <w:rsid w:val="00411467"/>
    <w:rsid w:val="0041233E"/>
    <w:rsid w:val="00412398"/>
    <w:rsid w:val="0041327B"/>
    <w:rsid w:val="00414D10"/>
    <w:rsid w:val="004157B9"/>
    <w:rsid w:val="00415B46"/>
    <w:rsid w:val="00416ABA"/>
    <w:rsid w:val="0041712A"/>
    <w:rsid w:val="00420B93"/>
    <w:rsid w:val="00420C62"/>
    <w:rsid w:val="00421651"/>
    <w:rsid w:val="004225D0"/>
    <w:rsid w:val="00424D5D"/>
    <w:rsid w:val="004253E4"/>
    <w:rsid w:val="00426BDD"/>
    <w:rsid w:val="00427693"/>
    <w:rsid w:val="00427A07"/>
    <w:rsid w:val="004302AF"/>
    <w:rsid w:val="00430BDB"/>
    <w:rsid w:val="00432ABD"/>
    <w:rsid w:val="0043366A"/>
    <w:rsid w:val="0043376F"/>
    <w:rsid w:val="00435256"/>
    <w:rsid w:val="004353DC"/>
    <w:rsid w:val="00435B05"/>
    <w:rsid w:val="0043732A"/>
    <w:rsid w:val="004400DA"/>
    <w:rsid w:val="00441308"/>
    <w:rsid w:val="004416C1"/>
    <w:rsid w:val="00444AD0"/>
    <w:rsid w:val="00446296"/>
    <w:rsid w:val="004468C6"/>
    <w:rsid w:val="004468CB"/>
    <w:rsid w:val="00447841"/>
    <w:rsid w:val="00447AAA"/>
    <w:rsid w:val="0045023F"/>
    <w:rsid w:val="0045025A"/>
    <w:rsid w:val="00455DDC"/>
    <w:rsid w:val="004600E6"/>
    <w:rsid w:val="004603B0"/>
    <w:rsid w:val="0046040E"/>
    <w:rsid w:val="0046061F"/>
    <w:rsid w:val="00460DDB"/>
    <w:rsid w:val="00461843"/>
    <w:rsid w:val="00461BA1"/>
    <w:rsid w:val="00464B9D"/>
    <w:rsid w:val="004656AF"/>
    <w:rsid w:val="0046571A"/>
    <w:rsid w:val="00465895"/>
    <w:rsid w:val="0046617E"/>
    <w:rsid w:val="00466BBB"/>
    <w:rsid w:val="0047080E"/>
    <w:rsid w:val="004713DB"/>
    <w:rsid w:val="0047228F"/>
    <w:rsid w:val="00472BAD"/>
    <w:rsid w:val="004736CC"/>
    <w:rsid w:val="00474761"/>
    <w:rsid w:val="00476C92"/>
    <w:rsid w:val="00476DDE"/>
    <w:rsid w:val="00480FD2"/>
    <w:rsid w:val="004855C6"/>
    <w:rsid w:val="0048589A"/>
    <w:rsid w:val="00487CA1"/>
    <w:rsid w:val="004901BC"/>
    <w:rsid w:val="00490C17"/>
    <w:rsid w:val="004943F2"/>
    <w:rsid w:val="00496A03"/>
    <w:rsid w:val="00496EA9"/>
    <w:rsid w:val="0049719D"/>
    <w:rsid w:val="004975BD"/>
    <w:rsid w:val="004977AC"/>
    <w:rsid w:val="00497D2A"/>
    <w:rsid w:val="004A0266"/>
    <w:rsid w:val="004A107E"/>
    <w:rsid w:val="004A14BB"/>
    <w:rsid w:val="004A19A5"/>
    <w:rsid w:val="004A2C79"/>
    <w:rsid w:val="004A4A83"/>
    <w:rsid w:val="004A59B8"/>
    <w:rsid w:val="004A6F04"/>
    <w:rsid w:val="004A701E"/>
    <w:rsid w:val="004A7435"/>
    <w:rsid w:val="004B0292"/>
    <w:rsid w:val="004B08FF"/>
    <w:rsid w:val="004B0D22"/>
    <w:rsid w:val="004B2353"/>
    <w:rsid w:val="004B275B"/>
    <w:rsid w:val="004B3355"/>
    <w:rsid w:val="004B5590"/>
    <w:rsid w:val="004B5FC4"/>
    <w:rsid w:val="004B7C6E"/>
    <w:rsid w:val="004C09BE"/>
    <w:rsid w:val="004C10CE"/>
    <w:rsid w:val="004C22BD"/>
    <w:rsid w:val="004C244A"/>
    <w:rsid w:val="004C2E4C"/>
    <w:rsid w:val="004C2F1D"/>
    <w:rsid w:val="004C37DC"/>
    <w:rsid w:val="004C4475"/>
    <w:rsid w:val="004C4B61"/>
    <w:rsid w:val="004C507C"/>
    <w:rsid w:val="004C5142"/>
    <w:rsid w:val="004D08FC"/>
    <w:rsid w:val="004D1A10"/>
    <w:rsid w:val="004D1C17"/>
    <w:rsid w:val="004D2711"/>
    <w:rsid w:val="004D3DC9"/>
    <w:rsid w:val="004D404C"/>
    <w:rsid w:val="004D42D2"/>
    <w:rsid w:val="004D4592"/>
    <w:rsid w:val="004D4B74"/>
    <w:rsid w:val="004D64ED"/>
    <w:rsid w:val="004D77BA"/>
    <w:rsid w:val="004E2450"/>
    <w:rsid w:val="004E28A4"/>
    <w:rsid w:val="004E4F3A"/>
    <w:rsid w:val="004E62B4"/>
    <w:rsid w:val="004E6950"/>
    <w:rsid w:val="004F1398"/>
    <w:rsid w:val="004F18A1"/>
    <w:rsid w:val="004F37DA"/>
    <w:rsid w:val="004F4318"/>
    <w:rsid w:val="004F449E"/>
    <w:rsid w:val="004F5D47"/>
    <w:rsid w:val="004F623E"/>
    <w:rsid w:val="004F642B"/>
    <w:rsid w:val="004F6987"/>
    <w:rsid w:val="004F6A86"/>
    <w:rsid w:val="004F7068"/>
    <w:rsid w:val="004F7369"/>
    <w:rsid w:val="004F7AC3"/>
    <w:rsid w:val="004F7E98"/>
    <w:rsid w:val="005002DE"/>
    <w:rsid w:val="00500C1C"/>
    <w:rsid w:val="00502495"/>
    <w:rsid w:val="00502A52"/>
    <w:rsid w:val="005032B2"/>
    <w:rsid w:val="00503834"/>
    <w:rsid w:val="00503E36"/>
    <w:rsid w:val="005040B4"/>
    <w:rsid w:val="00504163"/>
    <w:rsid w:val="005072D6"/>
    <w:rsid w:val="00510889"/>
    <w:rsid w:val="00510D92"/>
    <w:rsid w:val="005135C5"/>
    <w:rsid w:val="005150CB"/>
    <w:rsid w:val="005151EE"/>
    <w:rsid w:val="00515BB3"/>
    <w:rsid w:val="00516B05"/>
    <w:rsid w:val="00517F92"/>
    <w:rsid w:val="0052099E"/>
    <w:rsid w:val="00521401"/>
    <w:rsid w:val="005239B8"/>
    <w:rsid w:val="005242A3"/>
    <w:rsid w:val="00525A4E"/>
    <w:rsid w:val="00525F54"/>
    <w:rsid w:val="005301F8"/>
    <w:rsid w:val="005309C6"/>
    <w:rsid w:val="00530D02"/>
    <w:rsid w:val="00531AF8"/>
    <w:rsid w:val="00531D68"/>
    <w:rsid w:val="00535CD7"/>
    <w:rsid w:val="00535D1E"/>
    <w:rsid w:val="00536151"/>
    <w:rsid w:val="00537E97"/>
    <w:rsid w:val="00541866"/>
    <w:rsid w:val="0054274E"/>
    <w:rsid w:val="005430D1"/>
    <w:rsid w:val="0054452A"/>
    <w:rsid w:val="00545C7C"/>
    <w:rsid w:val="00546D32"/>
    <w:rsid w:val="00547C0D"/>
    <w:rsid w:val="005509E2"/>
    <w:rsid w:val="00551EEF"/>
    <w:rsid w:val="00552084"/>
    <w:rsid w:val="00552AC0"/>
    <w:rsid w:val="0055306C"/>
    <w:rsid w:val="00553DAD"/>
    <w:rsid w:val="00554E3C"/>
    <w:rsid w:val="005552E6"/>
    <w:rsid w:val="0055588D"/>
    <w:rsid w:val="005565B5"/>
    <w:rsid w:val="00557CFD"/>
    <w:rsid w:val="00557E1B"/>
    <w:rsid w:val="00561D45"/>
    <w:rsid w:val="00562961"/>
    <w:rsid w:val="00562AA3"/>
    <w:rsid w:val="005630FF"/>
    <w:rsid w:val="00564171"/>
    <w:rsid w:val="00564373"/>
    <w:rsid w:val="0056463A"/>
    <w:rsid w:val="00566D7A"/>
    <w:rsid w:val="0056759A"/>
    <w:rsid w:val="00567DAC"/>
    <w:rsid w:val="005708B7"/>
    <w:rsid w:val="00571B93"/>
    <w:rsid w:val="00571E2A"/>
    <w:rsid w:val="00572BEE"/>
    <w:rsid w:val="00574020"/>
    <w:rsid w:val="005741F7"/>
    <w:rsid w:val="005744A3"/>
    <w:rsid w:val="005749B6"/>
    <w:rsid w:val="0057517D"/>
    <w:rsid w:val="00575403"/>
    <w:rsid w:val="00577AA3"/>
    <w:rsid w:val="00581688"/>
    <w:rsid w:val="0058258E"/>
    <w:rsid w:val="0058263E"/>
    <w:rsid w:val="00583264"/>
    <w:rsid w:val="00583B5A"/>
    <w:rsid w:val="00584D4C"/>
    <w:rsid w:val="00584F8C"/>
    <w:rsid w:val="0058512E"/>
    <w:rsid w:val="00585A64"/>
    <w:rsid w:val="00585CA5"/>
    <w:rsid w:val="00586A21"/>
    <w:rsid w:val="005876CA"/>
    <w:rsid w:val="00587C36"/>
    <w:rsid w:val="00591589"/>
    <w:rsid w:val="00593083"/>
    <w:rsid w:val="00597F8B"/>
    <w:rsid w:val="005A00B3"/>
    <w:rsid w:val="005A12A2"/>
    <w:rsid w:val="005A1A29"/>
    <w:rsid w:val="005A1DAD"/>
    <w:rsid w:val="005A1E4E"/>
    <w:rsid w:val="005A29EF"/>
    <w:rsid w:val="005A2FE4"/>
    <w:rsid w:val="005A3BBC"/>
    <w:rsid w:val="005A46D0"/>
    <w:rsid w:val="005A5510"/>
    <w:rsid w:val="005A6DD8"/>
    <w:rsid w:val="005A756A"/>
    <w:rsid w:val="005A769F"/>
    <w:rsid w:val="005A796D"/>
    <w:rsid w:val="005B0436"/>
    <w:rsid w:val="005B18CB"/>
    <w:rsid w:val="005B29BA"/>
    <w:rsid w:val="005B376A"/>
    <w:rsid w:val="005B38AF"/>
    <w:rsid w:val="005B5E46"/>
    <w:rsid w:val="005B6E96"/>
    <w:rsid w:val="005B7245"/>
    <w:rsid w:val="005C0379"/>
    <w:rsid w:val="005C0BA9"/>
    <w:rsid w:val="005C0CEA"/>
    <w:rsid w:val="005C12B1"/>
    <w:rsid w:val="005C191F"/>
    <w:rsid w:val="005C35BD"/>
    <w:rsid w:val="005C3A59"/>
    <w:rsid w:val="005C3ECE"/>
    <w:rsid w:val="005C73E4"/>
    <w:rsid w:val="005D2D33"/>
    <w:rsid w:val="005D3A6E"/>
    <w:rsid w:val="005D47B3"/>
    <w:rsid w:val="005D4810"/>
    <w:rsid w:val="005D4EC1"/>
    <w:rsid w:val="005D5680"/>
    <w:rsid w:val="005E15BA"/>
    <w:rsid w:val="005E21F1"/>
    <w:rsid w:val="005E2E7D"/>
    <w:rsid w:val="005E3F07"/>
    <w:rsid w:val="005E548C"/>
    <w:rsid w:val="005E7AEA"/>
    <w:rsid w:val="005E7B30"/>
    <w:rsid w:val="005F0F4B"/>
    <w:rsid w:val="005F5D7E"/>
    <w:rsid w:val="005F66CB"/>
    <w:rsid w:val="00600161"/>
    <w:rsid w:val="00601BDC"/>
    <w:rsid w:val="00601E1B"/>
    <w:rsid w:val="00602ADB"/>
    <w:rsid w:val="00603E5B"/>
    <w:rsid w:val="006042BB"/>
    <w:rsid w:val="00604878"/>
    <w:rsid w:val="006057D0"/>
    <w:rsid w:val="006072F8"/>
    <w:rsid w:val="0060732C"/>
    <w:rsid w:val="00612246"/>
    <w:rsid w:val="006152B5"/>
    <w:rsid w:val="00615703"/>
    <w:rsid w:val="00615BCD"/>
    <w:rsid w:val="00617513"/>
    <w:rsid w:val="00620484"/>
    <w:rsid w:val="00622E88"/>
    <w:rsid w:val="00623183"/>
    <w:rsid w:val="0062395D"/>
    <w:rsid w:val="00624573"/>
    <w:rsid w:val="006268A1"/>
    <w:rsid w:val="00626ADD"/>
    <w:rsid w:val="00626DE0"/>
    <w:rsid w:val="00626F74"/>
    <w:rsid w:val="00630A6B"/>
    <w:rsid w:val="006340A8"/>
    <w:rsid w:val="00634896"/>
    <w:rsid w:val="00634D10"/>
    <w:rsid w:val="00637ADC"/>
    <w:rsid w:val="0064323F"/>
    <w:rsid w:val="006436C9"/>
    <w:rsid w:val="006453A0"/>
    <w:rsid w:val="00645845"/>
    <w:rsid w:val="006464E3"/>
    <w:rsid w:val="006468BE"/>
    <w:rsid w:val="00647F40"/>
    <w:rsid w:val="006532AF"/>
    <w:rsid w:val="00654C94"/>
    <w:rsid w:val="00656435"/>
    <w:rsid w:val="0065645F"/>
    <w:rsid w:val="00656C0D"/>
    <w:rsid w:val="00656C74"/>
    <w:rsid w:val="00657718"/>
    <w:rsid w:val="00660BBB"/>
    <w:rsid w:val="006615E0"/>
    <w:rsid w:val="006634B6"/>
    <w:rsid w:val="00664644"/>
    <w:rsid w:val="00664836"/>
    <w:rsid w:val="006651EA"/>
    <w:rsid w:val="0067051E"/>
    <w:rsid w:val="00670558"/>
    <w:rsid w:val="00671228"/>
    <w:rsid w:val="00671FDF"/>
    <w:rsid w:val="00673439"/>
    <w:rsid w:val="00673900"/>
    <w:rsid w:val="006742DF"/>
    <w:rsid w:val="006749F3"/>
    <w:rsid w:val="00674EFD"/>
    <w:rsid w:val="0067543E"/>
    <w:rsid w:val="006757BA"/>
    <w:rsid w:val="00675E3C"/>
    <w:rsid w:val="00677085"/>
    <w:rsid w:val="00680234"/>
    <w:rsid w:val="006807DE"/>
    <w:rsid w:val="00680AD3"/>
    <w:rsid w:val="00680FFC"/>
    <w:rsid w:val="006812B6"/>
    <w:rsid w:val="00681ED3"/>
    <w:rsid w:val="006846D8"/>
    <w:rsid w:val="0068518B"/>
    <w:rsid w:val="00685705"/>
    <w:rsid w:val="00685A38"/>
    <w:rsid w:val="0068633D"/>
    <w:rsid w:val="00694297"/>
    <w:rsid w:val="006953DF"/>
    <w:rsid w:val="0069570F"/>
    <w:rsid w:val="00697625"/>
    <w:rsid w:val="00697A1E"/>
    <w:rsid w:val="00697A7A"/>
    <w:rsid w:val="006A0EDC"/>
    <w:rsid w:val="006A135B"/>
    <w:rsid w:val="006A19BE"/>
    <w:rsid w:val="006A1D37"/>
    <w:rsid w:val="006A2999"/>
    <w:rsid w:val="006A3699"/>
    <w:rsid w:val="006A520E"/>
    <w:rsid w:val="006A5DC3"/>
    <w:rsid w:val="006A621D"/>
    <w:rsid w:val="006A6696"/>
    <w:rsid w:val="006A7072"/>
    <w:rsid w:val="006A768A"/>
    <w:rsid w:val="006A7898"/>
    <w:rsid w:val="006B1F6A"/>
    <w:rsid w:val="006B2CDB"/>
    <w:rsid w:val="006B2D22"/>
    <w:rsid w:val="006B5C9D"/>
    <w:rsid w:val="006B5F07"/>
    <w:rsid w:val="006B611B"/>
    <w:rsid w:val="006B79ED"/>
    <w:rsid w:val="006C095F"/>
    <w:rsid w:val="006C1D99"/>
    <w:rsid w:val="006C1E14"/>
    <w:rsid w:val="006C1F48"/>
    <w:rsid w:val="006C2335"/>
    <w:rsid w:val="006C2D83"/>
    <w:rsid w:val="006C40BB"/>
    <w:rsid w:val="006C40D2"/>
    <w:rsid w:val="006C41C4"/>
    <w:rsid w:val="006C465B"/>
    <w:rsid w:val="006C5436"/>
    <w:rsid w:val="006C5A59"/>
    <w:rsid w:val="006C7CE3"/>
    <w:rsid w:val="006D0E50"/>
    <w:rsid w:val="006D30AB"/>
    <w:rsid w:val="006D6654"/>
    <w:rsid w:val="006D6DEC"/>
    <w:rsid w:val="006E0E73"/>
    <w:rsid w:val="006E3A98"/>
    <w:rsid w:val="006E465D"/>
    <w:rsid w:val="006E504F"/>
    <w:rsid w:val="006E59DA"/>
    <w:rsid w:val="006E76C8"/>
    <w:rsid w:val="006F2FE8"/>
    <w:rsid w:val="006F3628"/>
    <w:rsid w:val="006F3D66"/>
    <w:rsid w:val="006F45F4"/>
    <w:rsid w:val="006F4F0D"/>
    <w:rsid w:val="006F580F"/>
    <w:rsid w:val="006F670E"/>
    <w:rsid w:val="006F74C9"/>
    <w:rsid w:val="007001C2"/>
    <w:rsid w:val="00700D62"/>
    <w:rsid w:val="00701808"/>
    <w:rsid w:val="00701D18"/>
    <w:rsid w:val="007070E8"/>
    <w:rsid w:val="00710D04"/>
    <w:rsid w:val="00711BDE"/>
    <w:rsid w:val="0071205D"/>
    <w:rsid w:val="00714616"/>
    <w:rsid w:val="007153D8"/>
    <w:rsid w:val="00717703"/>
    <w:rsid w:val="00717AC6"/>
    <w:rsid w:val="00717C59"/>
    <w:rsid w:val="00717E25"/>
    <w:rsid w:val="007200A1"/>
    <w:rsid w:val="00720EE1"/>
    <w:rsid w:val="00721824"/>
    <w:rsid w:val="00721D94"/>
    <w:rsid w:val="0072291C"/>
    <w:rsid w:val="00723AC9"/>
    <w:rsid w:val="00724184"/>
    <w:rsid w:val="00724FC3"/>
    <w:rsid w:val="0072542E"/>
    <w:rsid w:val="00725A14"/>
    <w:rsid w:val="00725BA1"/>
    <w:rsid w:val="00725C03"/>
    <w:rsid w:val="007266A4"/>
    <w:rsid w:val="007268AE"/>
    <w:rsid w:val="00727733"/>
    <w:rsid w:val="00731E06"/>
    <w:rsid w:val="00733098"/>
    <w:rsid w:val="00735067"/>
    <w:rsid w:val="00735690"/>
    <w:rsid w:val="007405BD"/>
    <w:rsid w:val="0074065A"/>
    <w:rsid w:val="007418BD"/>
    <w:rsid w:val="007418DD"/>
    <w:rsid w:val="00742073"/>
    <w:rsid w:val="007438BB"/>
    <w:rsid w:val="007439CB"/>
    <w:rsid w:val="0074472C"/>
    <w:rsid w:val="007457FD"/>
    <w:rsid w:val="007461C9"/>
    <w:rsid w:val="0074662A"/>
    <w:rsid w:val="0074673E"/>
    <w:rsid w:val="00746A2E"/>
    <w:rsid w:val="00746B88"/>
    <w:rsid w:val="00751074"/>
    <w:rsid w:val="0075204F"/>
    <w:rsid w:val="00753614"/>
    <w:rsid w:val="007539EB"/>
    <w:rsid w:val="00753CB2"/>
    <w:rsid w:val="00755446"/>
    <w:rsid w:val="0075655D"/>
    <w:rsid w:val="00756723"/>
    <w:rsid w:val="00756EE8"/>
    <w:rsid w:val="00757D67"/>
    <w:rsid w:val="007608CF"/>
    <w:rsid w:val="007617AB"/>
    <w:rsid w:val="00761D59"/>
    <w:rsid w:val="00761E3D"/>
    <w:rsid w:val="00762A00"/>
    <w:rsid w:val="00763F41"/>
    <w:rsid w:val="00764279"/>
    <w:rsid w:val="007645CE"/>
    <w:rsid w:val="007718D9"/>
    <w:rsid w:val="00771C55"/>
    <w:rsid w:val="007727DC"/>
    <w:rsid w:val="00772924"/>
    <w:rsid w:val="007740E7"/>
    <w:rsid w:val="007742F2"/>
    <w:rsid w:val="0077509A"/>
    <w:rsid w:val="00775258"/>
    <w:rsid w:val="007760E4"/>
    <w:rsid w:val="00777707"/>
    <w:rsid w:val="00777E42"/>
    <w:rsid w:val="00780362"/>
    <w:rsid w:val="007804C2"/>
    <w:rsid w:val="007822F8"/>
    <w:rsid w:val="00782692"/>
    <w:rsid w:val="00782E4C"/>
    <w:rsid w:val="00783A74"/>
    <w:rsid w:val="00783ED4"/>
    <w:rsid w:val="00786863"/>
    <w:rsid w:val="007879B7"/>
    <w:rsid w:val="007904D3"/>
    <w:rsid w:val="00790EF3"/>
    <w:rsid w:val="00791C31"/>
    <w:rsid w:val="00793378"/>
    <w:rsid w:val="00793B2F"/>
    <w:rsid w:val="0079540A"/>
    <w:rsid w:val="00796AA5"/>
    <w:rsid w:val="00797AC5"/>
    <w:rsid w:val="007A0590"/>
    <w:rsid w:val="007A1353"/>
    <w:rsid w:val="007A1D36"/>
    <w:rsid w:val="007A2739"/>
    <w:rsid w:val="007A446C"/>
    <w:rsid w:val="007A479A"/>
    <w:rsid w:val="007A699A"/>
    <w:rsid w:val="007A7280"/>
    <w:rsid w:val="007A7600"/>
    <w:rsid w:val="007A7B59"/>
    <w:rsid w:val="007B0591"/>
    <w:rsid w:val="007B070B"/>
    <w:rsid w:val="007B1597"/>
    <w:rsid w:val="007B16B9"/>
    <w:rsid w:val="007B1C08"/>
    <w:rsid w:val="007B21B3"/>
    <w:rsid w:val="007B3869"/>
    <w:rsid w:val="007B5297"/>
    <w:rsid w:val="007B5E1E"/>
    <w:rsid w:val="007B6240"/>
    <w:rsid w:val="007B6AF6"/>
    <w:rsid w:val="007C100C"/>
    <w:rsid w:val="007C3517"/>
    <w:rsid w:val="007C40C9"/>
    <w:rsid w:val="007C5870"/>
    <w:rsid w:val="007C6B82"/>
    <w:rsid w:val="007C6CA1"/>
    <w:rsid w:val="007C7D44"/>
    <w:rsid w:val="007D19D5"/>
    <w:rsid w:val="007D353E"/>
    <w:rsid w:val="007D5307"/>
    <w:rsid w:val="007D642B"/>
    <w:rsid w:val="007D6827"/>
    <w:rsid w:val="007D6A3D"/>
    <w:rsid w:val="007D6E9F"/>
    <w:rsid w:val="007D75A3"/>
    <w:rsid w:val="007D7750"/>
    <w:rsid w:val="007D7CC1"/>
    <w:rsid w:val="007E115D"/>
    <w:rsid w:val="007E195E"/>
    <w:rsid w:val="007E45BC"/>
    <w:rsid w:val="007E7C3A"/>
    <w:rsid w:val="007F0B8F"/>
    <w:rsid w:val="007F0CDB"/>
    <w:rsid w:val="007F0FEE"/>
    <w:rsid w:val="007F16BE"/>
    <w:rsid w:val="007F2CB0"/>
    <w:rsid w:val="007F4D77"/>
    <w:rsid w:val="007F68FA"/>
    <w:rsid w:val="00800AA5"/>
    <w:rsid w:val="008019A2"/>
    <w:rsid w:val="008025AA"/>
    <w:rsid w:val="00802719"/>
    <w:rsid w:val="00802AA3"/>
    <w:rsid w:val="00803D69"/>
    <w:rsid w:val="00803F30"/>
    <w:rsid w:val="00803F4D"/>
    <w:rsid w:val="00804BB8"/>
    <w:rsid w:val="00805D51"/>
    <w:rsid w:val="00806ED0"/>
    <w:rsid w:val="008072C4"/>
    <w:rsid w:val="00807816"/>
    <w:rsid w:val="008102F1"/>
    <w:rsid w:val="00810845"/>
    <w:rsid w:val="00811A4E"/>
    <w:rsid w:val="00811B14"/>
    <w:rsid w:val="00812C6B"/>
    <w:rsid w:val="0081302E"/>
    <w:rsid w:val="00813B68"/>
    <w:rsid w:val="008152F4"/>
    <w:rsid w:val="00815D46"/>
    <w:rsid w:val="00817EA7"/>
    <w:rsid w:val="0082132C"/>
    <w:rsid w:val="00822ADF"/>
    <w:rsid w:val="00824EBF"/>
    <w:rsid w:val="00830C08"/>
    <w:rsid w:val="00832103"/>
    <w:rsid w:val="008346D4"/>
    <w:rsid w:val="008360AA"/>
    <w:rsid w:val="0083752C"/>
    <w:rsid w:val="00841390"/>
    <w:rsid w:val="008427BE"/>
    <w:rsid w:val="00842E23"/>
    <w:rsid w:val="00843DD3"/>
    <w:rsid w:val="00846315"/>
    <w:rsid w:val="00847A35"/>
    <w:rsid w:val="00847E3C"/>
    <w:rsid w:val="008502E3"/>
    <w:rsid w:val="008513E1"/>
    <w:rsid w:val="00852177"/>
    <w:rsid w:val="00852490"/>
    <w:rsid w:val="00853388"/>
    <w:rsid w:val="008540F4"/>
    <w:rsid w:val="0085435A"/>
    <w:rsid w:val="0085436C"/>
    <w:rsid w:val="0085479A"/>
    <w:rsid w:val="00855726"/>
    <w:rsid w:val="008571DA"/>
    <w:rsid w:val="008608B9"/>
    <w:rsid w:val="00861E2A"/>
    <w:rsid w:val="008649AA"/>
    <w:rsid w:val="008657A8"/>
    <w:rsid w:val="008662E0"/>
    <w:rsid w:val="008670EB"/>
    <w:rsid w:val="00867B45"/>
    <w:rsid w:val="008701D6"/>
    <w:rsid w:val="00870C16"/>
    <w:rsid w:val="00872B85"/>
    <w:rsid w:val="00874E64"/>
    <w:rsid w:val="008772D8"/>
    <w:rsid w:val="0087734D"/>
    <w:rsid w:val="00877A42"/>
    <w:rsid w:val="00880451"/>
    <w:rsid w:val="008828FA"/>
    <w:rsid w:val="00883ECC"/>
    <w:rsid w:val="008850BA"/>
    <w:rsid w:val="00885DBC"/>
    <w:rsid w:val="00886656"/>
    <w:rsid w:val="008868B6"/>
    <w:rsid w:val="00886F05"/>
    <w:rsid w:val="0088726B"/>
    <w:rsid w:val="00887B47"/>
    <w:rsid w:val="00890AC6"/>
    <w:rsid w:val="00890FDA"/>
    <w:rsid w:val="00891D2C"/>
    <w:rsid w:val="008935BC"/>
    <w:rsid w:val="00893C10"/>
    <w:rsid w:val="00893CD8"/>
    <w:rsid w:val="00894DED"/>
    <w:rsid w:val="00895BD6"/>
    <w:rsid w:val="00895CDD"/>
    <w:rsid w:val="008A004B"/>
    <w:rsid w:val="008A19E4"/>
    <w:rsid w:val="008A25C5"/>
    <w:rsid w:val="008A3234"/>
    <w:rsid w:val="008A4655"/>
    <w:rsid w:val="008A4B33"/>
    <w:rsid w:val="008A4CCA"/>
    <w:rsid w:val="008A5BE8"/>
    <w:rsid w:val="008A6556"/>
    <w:rsid w:val="008A6672"/>
    <w:rsid w:val="008A6EB3"/>
    <w:rsid w:val="008A7342"/>
    <w:rsid w:val="008A7D31"/>
    <w:rsid w:val="008A7EC1"/>
    <w:rsid w:val="008A7F02"/>
    <w:rsid w:val="008B05E0"/>
    <w:rsid w:val="008B272F"/>
    <w:rsid w:val="008B3F10"/>
    <w:rsid w:val="008B45F0"/>
    <w:rsid w:val="008B4C41"/>
    <w:rsid w:val="008B569F"/>
    <w:rsid w:val="008B5A51"/>
    <w:rsid w:val="008B5DD4"/>
    <w:rsid w:val="008B5DD5"/>
    <w:rsid w:val="008B6DCB"/>
    <w:rsid w:val="008B7144"/>
    <w:rsid w:val="008B7455"/>
    <w:rsid w:val="008C04D4"/>
    <w:rsid w:val="008C1894"/>
    <w:rsid w:val="008C6033"/>
    <w:rsid w:val="008D0A4B"/>
    <w:rsid w:val="008D1071"/>
    <w:rsid w:val="008D11A5"/>
    <w:rsid w:val="008D1A13"/>
    <w:rsid w:val="008D31E5"/>
    <w:rsid w:val="008D4A0B"/>
    <w:rsid w:val="008D575F"/>
    <w:rsid w:val="008D5DEB"/>
    <w:rsid w:val="008D6B33"/>
    <w:rsid w:val="008D7835"/>
    <w:rsid w:val="008E0064"/>
    <w:rsid w:val="008E0448"/>
    <w:rsid w:val="008E0818"/>
    <w:rsid w:val="008E12A4"/>
    <w:rsid w:val="008E2413"/>
    <w:rsid w:val="008E2D08"/>
    <w:rsid w:val="008E3227"/>
    <w:rsid w:val="008E38E2"/>
    <w:rsid w:val="008E4876"/>
    <w:rsid w:val="008E51D1"/>
    <w:rsid w:val="008F39E4"/>
    <w:rsid w:val="008F4224"/>
    <w:rsid w:val="008F6A8A"/>
    <w:rsid w:val="008F7C44"/>
    <w:rsid w:val="009012C8"/>
    <w:rsid w:val="009015F6"/>
    <w:rsid w:val="0090539D"/>
    <w:rsid w:val="00910F20"/>
    <w:rsid w:val="00911704"/>
    <w:rsid w:val="00912004"/>
    <w:rsid w:val="0091363E"/>
    <w:rsid w:val="009139EA"/>
    <w:rsid w:val="00914016"/>
    <w:rsid w:val="0091660C"/>
    <w:rsid w:val="0092108B"/>
    <w:rsid w:val="009211B2"/>
    <w:rsid w:val="00921A5C"/>
    <w:rsid w:val="00922315"/>
    <w:rsid w:val="00923218"/>
    <w:rsid w:val="00923B2B"/>
    <w:rsid w:val="00923F57"/>
    <w:rsid w:val="00924180"/>
    <w:rsid w:val="009245FC"/>
    <w:rsid w:val="00925375"/>
    <w:rsid w:val="00925887"/>
    <w:rsid w:val="00927312"/>
    <w:rsid w:val="009330A4"/>
    <w:rsid w:val="009340B8"/>
    <w:rsid w:val="00934534"/>
    <w:rsid w:val="00934732"/>
    <w:rsid w:val="00934E35"/>
    <w:rsid w:val="009373EB"/>
    <w:rsid w:val="0094209E"/>
    <w:rsid w:val="00942C94"/>
    <w:rsid w:val="00944548"/>
    <w:rsid w:val="00945CD8"/>
    <w:rsid w:val="00946731"/>
    <w:rsid w:val="009471E0"/>
    <w:rsid w:val="00950140"/>
    <w:rsid w:val="009513E7"/>
    <w:rsid w:val="00951517"/>
    <w:rsid w:val="00951775"/>
    <w:rsid w:val="00951E68"/>
    <w:rsid w:val="0095200B"/>
    <w:rsid w:val="009520E4"/>
    <w:rsid w:val="009544E5"/>
    <w:rsid w:val="009549EF"/>
    <w:rsid w:val="009558C2"/>
    <w:rsid w:val="00955B49"/>
    <w:rsid w:val="00955DBA"/>
    <w:rsid w:val="009560FD"/>
    <w:rsid w:val="009561AF"/>
    <w:rsid w:val="00960639"/>
    <w:rsid w:val="00960DAB"/>
    <w:rsid w:val="00961EDE"/>
    <w:rsid w:val="009626CF"/>
    <w:rsid w:val="00962AC0"/>
    <w:rsid w:val="0097231C"/>
    <w:rsid w:val="00972519"/>
    <w:rsid w:val="00972835"/>
    <w:rsid w:val="00973169"/>
    <w:rsid w:val="0097364E"/>
    <w:rsid w:val="009736C5"/>
    <w:rsid w:val="00974260"/>
    <w:rsid w:val="00974598"/>
    <w:rsid w:val="00975072"/>
    <w:rsid w:val="009764EE"/>
    <w:rsid w:val="009775D6"/>
    <w:rsid w:val="009808AD"/>
    <w:rsid w:val="00980C18"/>
    <w:rsid w:val="00981635"/>
    <w:rsid w:val="00981CEE"/>
    <w:rsid w:val="009824BD"/>
    <w:rsid w:val="00982BA1"/>
    <w:rsid w:val="00983575"/>
    <w:rsid w:val="009849EF"/>
    <w:rsid w:val="00985176"/>
    <w:rsid w:val="00986703"/>
    <w:rsid w:val="00986D91"/>
    <w:rsid w:val="00990A46"/>
    <w:rsid w:val="009913A5"/>
    <w:rsid w:val="00991678"/>
    <w:rsid w:val="00992639"/>
    <w:rsid w:val="00993654"/>
    <w:rsid w:val="00994B6F"/>
    <w:rsid w:val="009958C4"/>
    <w:rsid w:val="00995D95"/>
    <w:rsid w:val="00996AE4"/>
    <w:rsid w:val="00997965"/>
    <w:rsid w:val="00997E22"/>
    <w:rsid w:val="00997EA3"/>
    <w:rsid w:val="009A05F4"/>
    <w:rsid w:val="009A1197"/>
    <w:rsid w:val="009A22FE"/>
    <w:rsid w:val="009A2492"/>
    <w:rsid w:val="009A27D1"/>
    <w:rsid w:val="009A3F43"/>
    <w:rsid w:val="009A4237"/>
    <w:rsid w:val="009A4671"/>
    <w:rsid w:val="009A50B0"/>
    <w:rsid w:val="009A514D"/>
    <w:rsid w:val="009A55E9"/>
    <w:rsid w:val="009A666A"/>
    <w:rsid w:val="009A6B7D"/>
    <w:rsid w:val="009A6BA0"/>
    <w:rsid w:val="009A6F8A"/>
    <w:rsid w:val="009B06F4"/>
    <w:rsid w:val="009B427C"/>
    <w:rsid w:val="009B55C9"/>
    <w:rsid w:val="009B5FC2"/>
    <w:rsid w:val="009C0917"/>
    <w:rsid w:val="009C282C"/>
    <w:rsid w:val="009C2FFD"/>
    <w:rsid w:val="009C3AA6"/>
    <w:rsid w:val="009C3B97"/>
    <w:rsid w:val="009C3FEE"/>
    <w:rsid w:val="009C6E20"/>
    <w:rsid w:val="009C79B7"/>
    <w:rsid w:val="009D0C76"/>
    <w:rsid w:val="009D0E0C"/>
    <w:rsid w:val="009D1121"/>
    <w:rsid w:val="009D1440"/>
    <w:rsid w:val="009D1F58"/>
    <w:rsid w:val="009D5584"/>
    <w:rsid w:val="009D623A"/>
    <w:rsid w:val="009D6A23"/>
    <w:rsid w:val="009E26A3"/>
    <w:rsid w:val="009E34E0"/>
    <w:rsid w:val="009E6222"/>
    <w:rsid w:val="009F020D"/>
    <w:rsid w:val="009F1E97"/>
    <w:rsid w:val="009F3B47"/>
    <w:rsid w:val="009F45E1"/>
    <w:rsid w:val="009F4A7F"/>
    <w:rsid w:val="009F4CC3"/>
    <w:rsid w:val="00A020A3"/>
    <w:rsid w:val="00A02D76"/>
    <w:rsid w:val="00A02E86"/>
    <w:rsid w:val="00A03E16"/>
    <w:rsid w:val="00A050AF"/>
    <w:rsid w:val="00A05700"/>
    <w:rsid w:val="00A06DE8"/>
    <w:rsid w:val="00A06FF2"/>
    <w:rsid w:val="00A07105"/>
    <w:rsid w:val="00A07B99"/>
    <w:rsid w:val="00A07E93"/>
    <w:rsid w:val="00A1003F"/>
    <w:rsid w:val="00A10FA2"/>
    <w:rsid w:val="00A11377"/>
    <w:rsid w:val="00A114D8"/>
    <w:rsid w:val="00A11932"/>
    <w:rsid w:val="00A11A83"/>
    <w:rsid w:val="00A12983"/>
    <w:rsid w:val="00A12BFA"/>
    <w:rsid w:val="00A12F46"/>
    <w:rsid w:val="00A134B6"/>
    <w:rsid w:val="00A13737"/>
    <w:rsid w:val="00A139A6"/>
    <w:rsid w:val="00A13BF1"/>
    <w:rsid w:val="00A14031"/>
    <w:rsid w:val="00A15591"/>
    <w:rsid w:val="00A1596A"/>
    <w:rsid w:val="00A20282"/>
    <w:rsid w:val="00A21F13"/>
    <w:rsid w:val="00A22342"/>
    <w:rsid w:val="00A23E8C"/>
    <w:rsid w:val="00A24378"/>
    <w:rsid w:val="00A249BC"/>
    <w:rsid w:val="00A250B0"/>
    <w:rsid w:val="00A269BA"/>
    <w:rsid w:val="00A26AF6"/>
    <w:rsid w:val="00A26E06"/>
    <w:rsid w:val="00A27338"/>
    <w:rsid w:val="00A30638"/>
    <w:rsid w:val="00A30E1F"/>
    <w:rsid w:val="00A334D3"/>
    <w:rsid w:val="00A340DC"/>
    <w:rsid w:val="00A34BF7"/>
    <w:rsid w:val="00A34D15"/>
    <w:rsid w:val="00A3583F"/>
    <w:rsid w:val="00A35BE1"/>
    <w:rsid w:val="00A36839"/>
    <w:rsid w:val="00A36B32"/>
    <w:rsid w:val="00A37FC0"/>
    <w:rsid w:val="00A407DB"/>
    <w:rsid w:val="00A40CCD"/>
    <w:rsid w:val="00A41417"/>
    <w:rsid w:val="00A42EB2"/>
    <w:rsid w:val="00A44F0B"/>
    <w:rsid w:val="00A4507F"/>
    <w:rsid w:val="00A45877"/>
    <w:rsid w:val="00A46D49"/>
    <w:rsid w:val="00A478CF"/>
    <w:rsid w:val="00A5059B"/>
    <w:rsid w:val="00A539BF"/>
    <w:rsid w:val="00A54E02"/>
    <w:rsid w:val="00A564AB"/>
    <w:rsid w:val="00A57619"/>
    <w:rsid w:val="00A57735"/>
    <w:rsid w:val="00A57EFA"/>
    <w:rsid w:val="00A60914"/>
    <w:rsid w:val="00A60E71"/>
    <w:rsid w:val="00A63045"/>
    <w:rsid w:val="00A63E8E"/>
    <w:rsid w:val="00A63FBF"/>
    <w:rsid w:val="00A65558"/>
    <w:rsid w:val="00A65EB0"/>
    <w:rsid w:val="00A670D5"/>
    <w:rsid w:val="00A67664"/>
    <w:rsid w:val="00A67ADE"/>
    <w:rsid w:val="00A67EBC"/>
    <w:rsid w:val="00A70F16"/>
    <w:rsid w:val="00A72750"/>
    <w:rsid w:val="00A7795C"/>
    <w:rsid w:val="00A81FF0"/>
    <w:rsid w:val="00A8302D"/>
    <w:rsid w:val="00A8408D"/>
    <w:rsid w:val="00A8471F"/>
    <w:rsid w:val="00A85218"/>
    <w:rsid w:val="00A858C1"/>
    <w:rsid w:val="00A901AC"/>
    <w:rsid w:val="00A921B3"/>
    <w:rsid w:val="00A92FAA"/>
    <w:rsid w:val="00A93FFA"/>
    <w:rsid w:val="00A94C6F"/>
    <w:rsid w:val="00A958A5"/>
    <w:rsid w:val="00A963F3"/>
    <w:rsid w:val="00A96438"/>
    <w:rsid w:val="00A97618"/>
    <w:rsid w:val="00A9794D"/>
    <w:rsid w:val="00AA232C"/>
    <w:rsid w:val="00AA26AA"/>
    <w:rsid w:val="00AA431E"/>
    <w:rsid w:val="00AA511A"/>
    <w:rsid w:val="00AA58FF"/>
    <w:rsid w:val="00AA5FE1"/>
    <w:rsid w:val="00AA61A1"/>
    <w:rsid w:val="00AA7100"/>
    <w:rsid w:val="00AA7FF9"/>
    <w:rsid w:val="00AB13AE"/>
    <w:rsid w:val="00AB2E6C"/>
    <w:rsid w:val="00AB3523"/>
    <w:rsid w:val="00AB475F"/>
    <w:rsid w:val="00AB518C"/>
    <w:rsid w:val="00AB69B8"/>
    <w:rsid w:val="00AB7CE0"/>
    <w:rsid w:val="00AB7E8A"/>
    <w:rsid w:val="00AC0FA4"/>
    <w:rsid w:val="00AC1D8B"/>
    <w:rsid w:val="00AC3AC0"/>
    <w:rsid w:val="00AC589C"/>
    <w:rsid w:val="00AC661F"/>
    <w:rsid w:val="00AC6A21"/>
    <w:rsid w:val="00AC7295"/>
    <w:rsid w:val="00AC7F66"/>
    <w:rsid w:val="00AC7FC1"/>
    <w:rsid w:val="00AD124B"/>
    <w:rsid w:val="00AD1B2A"/>
    <w:rsid w:val="00AD1B43"/>
    <w:rsid w:val="00AD2630"/>
    <w:rsid w:val="00AD2ACD"/>
    <w:rsid w:val="00AD2F5A"/>
    <w:rsid w:val="00AD70A0"/>
    <w:rsid w:val="00AD7E77"/>
    <w:rsid w:val="00AD7FFD"/>
    <w:rsid w:val="00AE072C"/>
    <w:rsid w:val="00AE0734"/>
    <w:rsid w:val="00AE1018"/>
    <w:rsid w:val="00AE2E50"/>
    <w:rsid w:val="00AE31AF"/>
    <w:rsid w:val="00AE58B8"/>
    <w:rsid w:val="00AE5948"/>
    <w:rsid w:val="00AF00C1"/>
    <w:rsid w:val="00AF0B91"/>
    <w:rsid w:val="00AF0B93"/>
    <w:rsid w:val="00AF0E09"/>
    <w:rsid w:val="00AF17CB"/>
    <w:rsid w:val="00AF381F"/>
    <w:rsid w:val="00AF38BF"/>
    <w:rsid w:val="00AF522C"/>
    <w:rsid w:val="00AF5297"/>
    <w:rsid w:val="00AF584E"/>
    <w:rsid w:val="00AF6B87"/>
    <w:rsid w:val="00AF6D59"/>
    <w:rsid w:val="00B00230"/>
    <w:rsid w:val="00B00AF0"/>
    <w:rsid w:val="00B01FDC"/>
    <w:rsid w:val="00B02546"/>
    <w:rsid w:val="00B039C0"/>
    <w:rsid w:val="00B0400E"/>
    <w:rsid w:val="00B053D1"/>
    <w:rsid w:val="00B105FD"/>
    <w:rsid w:val="00B10676"/>
    <w:rsid w:val="00B11306"/>
    <w:rsid w:val="00B11FE9"/>
    <w:rsid w:val="00B12433"/>
    <w:rsid w:val="00B1287F"/>
    <w:rsid w:val="00B13C03"/>
    <w:rsid w:val="00B14B4F"/>
    <w:rsid w:val="00B14C46"/>
    <w:rsid w:val="00B14D75"/>
    <w:rsid w:val="00B15FA8"/>
    <w:rsid w:val="00B16067"/>
    <w:rsid w:val="00B16AD8"/>
    <w:rsid w:val="00B17516"/>
    <w:rsid w:val="00B20265"/>
    <w:rsid w:val="00B20E9B"/>
    <w:rsid w:val="00B220D1"/>
    <w:rsid w:val="00B22550"/>
    <w:rsid w:val="00B23830"/>
    <w:rsid w:val="00B24BA3"/>
    <w:rsid w:val="00B252DB"/>
    <w:rsid w:val="00B3008F"/>
    <w:rsid w:val="00B304CC"/>
    <w:rsid w:val="00B309E5"/>
    <w:rsid w:val="00B311AF"/>
    <w:rsid w:val="00B31322"/>
    <w:rsid w:val="00B32963"/>
    <w:rsid w:val="00B32B8F"/>
    <w:rsid w:val="00B338D0"/>
    <w:rsid w:val="00B34748"/>
    <w:rsid w:val="00B347CD"/>
    <w:rsid w:val="00B35D1E"/>
    <w:rsid w:val="00B36433"/>
    <w:rsid w:val="00B364C5"/>
    <w:rsid w:val="00B37B56"/>
    <w:rsid w:val="00B37C5E"/>
    <w:rsid w:val="00B407FF"/>
    <w:rsid w:val="00B43532"/>
    <w:rsid w:val="00B44B34"/>
    <w:rsid w:val="00B4665F"/>
    <w:rsid w:val="00B46F06"/>
    <w:rsid w:val="00B51EFF"/>
    <w:rsid w:val="00B52115"/>
    <w:rsid w:val="00B52806"/>
    <w:rsid w:val="00B566BD"/>
    <w:rsid w:val="00B57605"/>
    <w:rsid w:val="00B600F4"/>
    <w:rsid w:val="00B60F2F"/>
    <w:rsid w:val="00B61818"/>
    <w:rsid w:val="00B61F22"/>
    <w:rsid w:val="00B632B1"/>
    <w:rsid w:val="00B64656"/>
    <w:rsid w:val="00B64B16"/>
    <w:rsid w:val="00B65881"/>
    <w:rsid w:val="00B65B5E"/>
    <w:rsid w:val="00B67FF5"/>
    <w:rsid w:val="00B704E1"/>
    <w:rsid w:val="00B7098D"/>
    <w:rsid w:val="00B7138B"/>
    <w:rsid w:val="00B720BF"/>
    <w:rsid w:val="00B735A7"/>
    <w:rsid w:val="00B735D1"/>
    <w:rsid w:val="00B744C7"/>
    <w:rsid w:val="00B74B7B"/>
    <w:rsid w:val="00B76106"/>
    <w:rsid w:val="00B765D5"/>
    <w:rsid w:val="00B769C1"/>
    <w:rsid w:val="00B76B5E"/>
    <w:rsid w:val="00B77F5D"/>
    <w:rsid w:val="00B806C9"/>
    <w:rsid w:val="00B81D85"/>
    <w:rsid w:val="00B81F66"/>
    <w:rsid w:val="00B8388E"/>
    <w:rsid w:val="00B85724"/>
    <w:rsid w:val="00B86867"/>
    <w:rsid w:val="00B86FCE"/>
    <w:rsid w:val="00B87F94"/>
    <w:rsid w:val="00B901EB"/>
    <w:rsid w:val="00B907CA"/>
    <w:rsid w:val="00B9208B"/>
    <w:rsid w:val="00B9221A"/>
    <w:rsid w:val="00B936C1"/>
    <w:rsid w:val="00B946B3"/>
    <w:rsid w:val="00B94B45"/>
    <w:rsid w:val="00B9502E"/>
    <w:rsid w:val="00B95527"/>
    <w:rsid w:val="00B9599F"/>
    <w:rsid w:val="00B96673"/>
    <w:rsid w:val="00B97999"/>
    <w:rsid w:val="00BA0936"/>
    <w:rsid w:val="00BA217D"/>
    <w:rsid w:val="00BA26EA"/>
    <w:rsid w:val="00BA3CD4"/>
    <w:rsid w:val="00BA4277"/>
    <w:rsid w:val="00BB61AA"/>
    <w:rsid w:val="00BB692C"/>
    <w:rsid w:val="00BC0A51"/>
    <w:rsid w:val="00BC0A55"/>
    <w:rsid w:val="00BC0B0C"/>
    <w:rsid w:val="00BC1696"/>
    <w:rsid w:val="00BC2CB9"/>
    <w:rsid w:val="00BC2D37"/>
    <w:rsid w:val="00BC3B48"/>
    <w:rsid w:val="00BC3E38"/>
    <w:rsid w:val="00BC5473"/>
    <w:rsid w:val="00BC549F"/>
    <w:rsid w:val="00BC5B03"/>
    <w:rsid w:val="00BC7AFC"/>
    <w:rsid w:val="00BD00E8"/>
    <w:rsid w:val="00BD130F"/>
    <w:rsid w:val="00BD182B"/>
    <w:rsid w:val="00BD1A2F"/>
    <w:rsid w:val="00BD2493"/>
    <w:rsid w:val="00BD43DE"/>
    <w:rsid w:val="00BD4FD4"/>
    <w:rsid w:val="00BD5575"/>
    <w:rsid w:val="00BD5969"/>
    <w:rsid w:val="00BD5E69"/>
    <w:rsid w:val="00BE0A69"/>
    <w:rsid w:val="00BE2F1C"/>
    <w:rsid w:val="00BE3470"/>
    <w:rsid w:val="00BE348A"/>
    <w:rsid w:val="00BE487F"/>
    <w:rsid w:val="00BE6850"/>
    <w:rsid w:val="00BF186C"/>
    <w:rsid w:val="00BF5431"/>
    <w:rsid w:val="00BF5702"/>
    <w:rsid w:val="00BF6DD9"/>
    <w:rsid w:val="00C001DE"/>
    <w:rsid w:val="00C00309"/>
    <w:rsid w:val="00C00BCC"/>
    <w:rsid w:val="00C00F80"/>
    <w:rsid w:val="00C01552"/>
    <w:rsid w:val="00C0308C"/>
    <w:rsid w:val="00C0439B"/>
    <w:rsid w:val="00C04EC9"/>
    <w:rsid w:val="00C052E4"/>
    <w:rsid w:val="00C06E39"/>
    <w:rsid w:val="00C07541"/>
    <w:rsid w:val="00C12619"/>
    <w:rsid w:val="00C1338E"/>
    <w:rsid w:val="00C15742"/>
    <w:rsid w:val="00C16C62"/>
    <w:rsid w:val="00C17DB5"/>
    <w:rsid w:val="00C20032"/>
    <w:rsid w:val="00C20121"/>
    <w:rsid w:val="00C21E98"/>
    <w:rsid w:val="00C22DC2"/>
    <w:rsid w:val="00C23A19"/>
    <w:rsid w:val="00C23B0D"/>
    <w:rsid w:val="00C2496D"/>
    <w:rsid w:val="00C267CA"/>
    <w:rsid w:val="00C26D09"/>
    <w:rsid w:val="00C30A43"/>
    <w:rsid w:val="00C3247F"/>
    <w:rsid w:val="00C324C4"/>
    <w:rsid w:val="00C3289D"/>
    <w:rsid w:val="00C332C5"/>
    <w:rsid w:val="00C378A4"/>
    <w:rsid w:val="00C406FE"/>
    <w:rsid w:val="00C4321A"/>
    <w:rsid w:val="00C43A24"/>
    <w:rsid w:val="00C445B3"/>
    <w:rsid w:val="00C46637"/>
    <w:rsid w:val="00C47389"/>
    <w:rsid w:val="00C50A40"/>
    <w:rsid w:val="00C524FD"/>
    <w:rsid w:val="00C533EC"/>
    <w:rsid w:val="00C53DA6"/>
    <w:rsid w:val="00C54861"/>
    <w:rsid w:val="00C5498D"/>
    <w:rsid w:val="00C564A2"/>
    <w:rsid w:val="00C57671"/>
    <w:rsid w:val="00C577BF"/>
    <w:rsid w:val="00C57B3C"/>
    <w:rsid w:val="00C6036A"/>
    <w:rsid w:val="00C60A5B"/>
    <w:rsid w:val="00C60F14"/>
    <w:rsid w:val="00C61EEF"/>
    <w:rsid w:val="00C629EB"/>
    <w:rsid w:val="00C62D64"/>
    <w:rsid w:val="00C63F46"/>
    <w:rsid w:val="00C64375"/>
    <w:rsid w:val="00C64E69"/>
    <w:rsid w:val="00C65102"/>
    <w:rsid w:val="00C65198"/>
    <w:rsid w:val="00C65B17"/>
    <w:rsid w:val="00C66142"/>
    <w:rsid w:val="00C6635A"/>
    <w:rsid w:val="00C66693"/>
    <w:rsid w:val="00C6683B"/>
    <w:rsid w:val="00C66AD3"/>
    <w:rsid w:val="00C67E7C"/>
    <w:rsid w:val="00C70069"/>
    <w:rsid w:val="00C7185C"/>
    <w:rsid w:val="00C74F31"/>
    <w:rsid w:val="00C76EB7"/>
    <w:rsid w:val="00C77353"/>
    <w:rsid w:val="00C77854"/>
    <w:rsid w:val="00C82016"/>
    <w:rsid w:val="00C8212B"/>
    <w:rsid w:val="00C85BA0"/>
    <w:rsid w:val="00C87CEA"/>
    <w:rsid w:val="00C90067"/>
    <w:rsid w:val="00C90F61"/>
    <w:rsid w:val="00C9183F"/>
    <w:rsid w:val="00C92203"/>
    <w:rsid w:val="00C94759"/>
    <w:rsid w:val="00C95E13"/>
    <w:rsid w:val="00C96C6F"/>
    <w:rsid w:val="00CA0D47"/>
    <w:rsid w:val="00CA0FAB"/>
    <w:rsid w:val="00CA11AE"/>
    <w:rsid w:val="00CA1800"/>
    <w:rsid w:val="00CA19E5"/>
    <w:rsid w:val="00CA24C1"/>
    <w:rsid w:val="00CA26C4"/>
    <w:rsid w:val="00CA29E3"/>
    <w:rsid w:val="00CA40E1"/>
    <w:rsid w:val="00CA4566"/>
    <w:rsid w:val="00CA4C96"/>
    <w:rsid w:val="00CA58FC"/>
    <w:rsid w:val="00CA6EB7"/>
    <w:rsid w:val="00CA757A"/>
    <w:rsid w:val="00CB0075"/>
    <w:rsid w:val="00CB4CC7"/>
    <w:rsid w:val="00CB6A55"/>
    <w:rsid w:val="00CB7BB7"/>
    <w:rsid w:val="00CB7BCE"/>
    <w:rsid w:val="00CC2B0B"/>
    <w:rsid w:val="00CC2C50"/>
    <w:rsid w:val="00CC2C94"/>
    <w:rsid w:val="00CC2F60"/>
    <w:rsid w:val="00CC3983"/>
    <w:rsid w:val="00CC67A1"/>
    <w:rsid w:val="00CC78BD"/>
    <w:rsid w:val="00CD0EE9"/>
    <w:rsid w:val="00CD22E8"/>
    <w:rsid w:val="00CD3365"/>
    <w:rsid w:val="00CD3746"/>
    <w:rsid w:val="00CD44EF"/>
    <w:rsid w:val="00CD5BC4"/>
    <w:rsid w:val="00CD69B1"/>
    <w:rsid w:val="00CD731A"/>
    <w:rsid w:val="00CD742A"/>
    <w:rsid w:val="00CE0106"/>
    <w:rsid w:val="00CE2941"/>
    <w:rsid w:val="00CE294E"/>
    <w:rsid w:val="00CE4107"/>
    <w:rsid w:val="00CE61F1"/>
    <w:rsid w:val="00CE6B67"/>
    <w:rsid w:val="00CF0DE0"/>
    <w:rsid w:val="00CF11AD"/>
    <w:rsid w:val="00CF3E31"/>
    <w:rsid w:val="00CF4E88"/>
    <w:rsid w:val="00CF4E8D"/>
    <w:rsid w:val="00CF56A3"/>
    <w:rsid w:val="00CF6E08"/>
    <w:rsid w:val="00CF6F02"/>
    <w:rsid w:val="00CF6FC2"/>
    <w:rsid w:val="00D02681"/>
    <w:rsid w:val="00D04FD6"/>
    <w:rsid w:val="00D051C2"/>
    <w:rsid w:val="00D06276"/>
    <w:rsid w:val="00D07243"/>
    <w:rsid w:val="00D123BA"/>
    <w:rsid w:val="00D1278F"/>
    <w:rsid w:val="00D14DAA"/>
    <w:rsid w:val="00D1644D"/>
    <w:rsid w:val="00D165A4"/>
    <w:rsid w:val="00D16D23"/>
    <w:rsid w:val="00D16DDF"/>
    <w:rsid w:val="00D1783B"/>
    <w:rsid w:val="00D206AF"/>
    <w:rsid w:val="00D20CE4"/>
    <w:rsid w:val="00D21F8C"/>
    <w:rsid w:val="00D221AC"/>
    <w:rsid w:val="00D22ACA"/>
    <w:rsid w:val="00D26070"/>
    <w:rsid w:val="00D26489"/>
    <w:rsid w:val="00D27353"/>
    <w:rsid w:val="00D30D0F"/>
    <w:rsid w:val="00D3177B"/>
    <w:rsid w:val="00D31D54"/>
    <w:rsid w:val="00D33F73"/>
    <w:rsid w:val="00D35A5C"/>
    <w:rsid w:val="00D36F8F"/>
    <w:rsid w:val="00D37AF5"/>
    <w:rsid w:val="00D40E0F"/>
    <w:rsid w:val="00D421B3"/>
    <w:rsid w:val="00D42CC9"/>
    <w:rsid w:val="00D42E35"/>
    <w:rsid w:val="00D4319C"/>
    <w:rsid w:val="00D446D6"/>
    <w:rsid w:val="00D47964"/>
    <w:rsid w:val="00D47CD9"/>
    <w:rsid w:val="00D50DDE"/>
    <w:rsid w:val="00D514D0"/>
    <w:rsid w:val="00D515BF"/>
    <w:rsid w:val="00D51B52"/>
    <w:rsid w:val="00D53BF3"/>
    <w:rsid w:val="00D53FD3"/>
    <w:rsid w:val="00D54716"/>
    <w:rsid w:val="00D60174"/>
    <w:rsid w:val="00D61A99"/>
    <w:rsid w:val="00D624DF"/>
    <w:rsid w:val="00D634E7"/>
    <w:rsid w:val="00D662C0"/>
    <w:rsid w:val="00D70B66"/>
    <w:rsid w:val="00D70F97"/>
    <w:rsid w:val="00D72D4B"/>
    <w:rsid w:val="00D73A0B"/>
    <w:rsid w:val="00D758E9"/>
    <w:rsid w:val="00D762A4"/>
    <w:rsid w:val="00D762ED"/>
    <w:rsid w:val="00D77E3B"/>
    <w:rsid w:val="00D800CA"/>
    <w:rsid w:val="00D80D20"/>
    <w:rsid w:val="00D81620"/>
    <w:rsid w:val="00D830A1"/>
    <w:rsid w:val="00D8340E"/>
    <w:rsid w:val="00D84752"/>
    <w:rsid w:val="00D84A5A"/>
    <w:rsid w:val="00D902CF"/>
    <w:rsid w:val="00D9040C"/>
    <w:rsid w:val="00D90D51"/>
    <w:rsid w:val="00D91806"/>
    <w:rsid w:val="00D91980"/>
    <w:rsid w:val="00D92E99"/>
    <w:rsid w:val="00D948E5"/>
    <w:rsid w:val="00D94A12"/>
    <w:rsid w:val="00D959CF"/>
    <w:rsid w:val="00D95D51"/>
    <w:rsid w:val="00D97CB7"/>
    <w:rsid w:val="00DA0812"/>
    <w:rsid w:val="00DA328F"/>
    <w:rsid w:val="00DA449E"/>
    <w:rsid w:val="00DA4A4F"/>
    <w:rsid w:val="00DA5983"/>
    <w:rsid w:val="00DA6556"/>
    <w:rsid w:val="00DA680B"/>
    <w:rsid w:val="00DB1A8A"/>
    <w:rsid w:val="00DB37DC"/>
    <w:rsid w:val="00DB59D0"/>
    <w:rsid w:val="00DB7A14"/>
    <w:rsid w:val="00DB7ADD"/>
    <w:rsid w:val="00DC072B"/>
    <w:rsid w:val="00DC1D6A"/>
    <w:rsid w:val="00DC253B"/>
    <w:rsid w:val="00DC4F8B"/>
    <w:rsid w:val="00DC686D"/>
    <w:rsid w:val="00DC7659"/>
    <w:rsid w:val="00DC7C5F"/>
    <w:rsid w:val="00DD031B"/>
    <w:rsid w:val="00DD0380"/>
    <w:rsid w:val="00DD178F"/>
    <w:rsid w:val="00DD1ED5"/>
    <w:rsid w:val="00DD34A2"/>
    <w:rsid w:val="00DD3637"/>
    <w:rsid w:val="00DD3CDA"/>
    <w:rsid w:val="00DD535A"/>
    <w:rsid w:val="00DD67A7"/>
    <w:rsid w:val="00DD6D38"/>
    <w:rsid w:val="00DD6E3C"/>
    <w:rsid w:val="00DE19B8"/>
    <w:rsid w:val="00DE481C"/>
    <w:rsid w:val="00DE4C3C"/>
    <w:rsid w:val="00DE4CF6"/>
    <w:rsid w:val="00DE5AA5"/>
    <w:rsid w:val="00DE688E"/>
    <w:rsid w:val="00DE6A86"/>
    <w:rsid w:val="00DE78D2"/>
    <w:rsid w:val="00DF0F61"/>
    <w:rsid w:val="00DF1A76"/>
    <w:rsid w:val="00DF3479"/>
    <w:rsid w:val="00DF4358"/>
    <w:rsid w:val="00DF4E1A"/>
    <w:rsid w:val="00DF53C7"/>
    <w:rsid w:val="00DF53EA"/>
    <w:rsid w:val="00E000D7"/>
    <w:rsid w:val="00E04C64"/>
    <w:rsid w:val="00E04D56"/>
    <w:rsid w:val="00E060BD"/>
    <w:rsid w:val="00E06C02"/>
    <w:rsid w:val="00E07352"/>
    <w:rsid w:val="00E10365"/>
    <w:rsid w:val="00E14B85"/>
    <w:rsid w:val="00E1586A"/>
    <w:rsid w:val="00E159F0"/>
    <w:rsid w:val="00E15E84"/>
    <w:rsid w:val="00E16351"/>
    <w:rsid w:val="00E21ABC"/>
    <w:rsid w:val="00E21F40"/>
    <w:rsid w:val="00E22186"/>
    <w:rsid w:val="00E246A0"/>
    <w:rsid w:val="00E24CB6"/>
    <w:rsid w:val="00E2735F"/>
    <w:rsid w:val="00E30181"/>
    <w:rsid w:val="00E306C5"/>
    <w:rsid w:val="00E32D1C"/>
    <w:rsid w:val="00E3345C"/>
    <w:rsid w:val="00E335F6"/>
    <w:rsid w:val="00E33F8A"/>
    <w:rsid w:val="00E37512"/>
    <w:rsid w:val="00E37693"/>
    <w:rsid w:val="00E377EA"/>
    <w:rsid w:val="00E408CC"/>
    <w:rsid w:val="00E41463"/>
    <w:rsid w:val="00E42826"/>
    <w:rsid w:val="00E4564A"/>
    <w:rsid w:val="00E46487"/>
    <w:rsid w:val="00E46809"/>
    <w:rsid w:val="00E47285"/>
    <w:rsid w:val="00E47771"/>
    <w:rsid w:val="00E51A68"/>
    <w:rsid w:val="00E52DE6"/>
    <w:rsid w:val="00E52FC4"/>
    <w:rsid w:val="00E55A8D"/>
    <w:rsid w:val="00E57758"/>
    <w:rsid w:val="00E6097D"/>
    <w:rsid w:val="00E6239F"/>
    <w:rsid w:val="00E6393B"/>
    <w:rsid w:val="00E64131"/>
    <w:rsid w:val="00E648EF"/>
    <w:rsid w:val="00E6572E"/>
    <w:rsid w:val="00E65AA3"/>
    <w:rsid w:val="00E6755C"/>
    <w:rsid w:val="00E7257B"/>
    <w:rsid w:val="00E72FAF"/>
    <w:rsid w:val="00E74001"/>
    <w:rsid w:val="00E74676"/>
    <w:rsid w:val="00E75C4C"/>
    <w:rsid w:val="00E801F3"/>
    <w:rsid w:val="00E80666"/>
    <w:rsid w:val="00E8070D"/>
    <w:rsid w:val="00E830EC"/>
    <w:rsid w:val="00E832D8"/>
    <w:rsid w:val="00E8348D"/>
    <w:rsid w:val="00E83955"/>
    <w:rsid w:val="00E83A56"/>
    <w:rsid w:val="00E84E4C"/>
    <w:rsid w:val="00E8500D"/>
    <w:rsid w:val="00E85494"/>
    <w:rsid w:val="00E86F2F"/>
    <w:rsid w:val="00E8705D"/>
    <w:rsid w:val="00E90FEF"/>
    <w:rsid w:val="00E9105E"/>
    <w:rsid w:val="00E91DC7"/>
    <w:rsid w:val="00E9314B"/>
    <w:rsid w:val="00E95131"/>
    <w:rsid w:val="00E960B9"/>
    <w:rsid w:val="00E969F7"/>
    <w:rsid w:val="00E97A33"/>
    <w:rsid w:val="00EA0544"/>
    <w:rsid w:val="00EA140D"/>
    <w:rsid w:val="00EA1FC0"/>
    <w:rsid w:val="00EA6C98"/>
    <w:rsid w:val="00EA6D69"/>
    <w:rsid w:val="00EA7143"/>
    <w:rsid w:val="00EA7F03"/>
    <w:rsid w:val="00EB0EE0"/>
    <w:rsid w:val="00EB1062"/>
    <w:rsid w:val="00EB1AC9"/>
    <w:rsid w:val="00EB2342"/>
    <w:rsid w:val="00EB26F0"/>
    <w:rsid w:val="00EB2BD0"/>
    <w:rsid w:val="00EB2FAF"/>
    <w:rsid w:val="00EB6F83"/>
    <w:rsid w:val="00EB7127"/>
    <w:rsid w:val="00EC068F"/>
    <w:rsid w:val="00EC0972"/>
    <w:rsid w:val="00EC140B"/>
    <w:rsid w:val="00EC44FB"/>
    <w:rsid w:val="00EC53F2"/>
    <w:rsid w:val="00EC6CA0"/>
    <w:rsid w:val="00EC6E8B"/>
    <w:rsid w:val="00ED0AF3"/>
    <w:rsid w:val="00ED0F36"/>
    <w:rsid w:val="00ED182A"/>
    <w:rsid w:val="00ED1879"/>
    <w:rsid w:val="00ED2323"/>
    <w:rsid w:val="00ED4080"/>
    <w:rsid w:val="00ED40D6"/>
    <w:rsid w:val="00ED4275"/>
    <w:rsid w:val="00ED4306"/>
    <w:rsid w:val="00ED43B5"/>
    <w:rsid w:val="00ED448F"/>
    <w:rsid w:val="00ED4745"/>
    <w:rsid w:val="00ED5533"/>
    <w:rsid w:val="00ED6597"/>
    <w:rsid w:val="00ED7D7E"/>
    <w:rsid w:val="00EE067B"/>
    <w:rsid w:val="00EE0C2F"/>
    <w:rsid w:val="00EE1BF7"/>
    <w:rsid w:val="00EE200B"/>
    <w:rsid w:val="00EE24DA"/>
    <w:rsid w:val="00EE3A5C"/>
    <w:rsid w:val="00EE4B94"/>
    <w:rsid w:val="00EE5689"/>
    <w:rsid w:val="00EE7BF6"/>
    <w:rsid w:val="00EF0311"/>
    <w:rsid w:val="00EF1968"/>
    <w:rsid w:val="00EF227E"/>
    <w:rsid w:val="00EF240C"/>
    <w:rsid w:val="00EF2532"/>
    <w:rsid w:val="00EF2E18"/>
    <w:rsid w:val="00EF2FEB"/>
    <w:rsid w:val="00EF38B9"/>
    <w:rsid w:val="00EF473B"/>
    <w:rsid w:val="00EF4B29"/>
    <w:rsid w:val="00EF530A"/>
    <w:rsid w:val="00EF6843"/>
    <w:rsid w:val="00EF71C6"/>
    <w:rsid w:val="00EF79FC"/>
    <w:rsid w:val="00F00840"/>
    <w:rsid w:val="00F025EB"/>
    <w:rsid w:val="00F02E2D"/>
    <w:rsid w:val="00F034D5"/>
    <w:rsid w:val="00F03F26"/>
    <w:rsid w:val="00F0423B"/>
    <w:rsid w:val="00F07D3C"/>
    <w:rsid w:val="00F07DD0"/>
    <w:rsid w:val="00F07DD5"/>
    <w:rsid w:val="00F10368"/>
    <w:rsid w:val="00F10C9E"/>
    <w:rsid w:val="00F10D63"/>
    <w:rsid w:val="00F118EF"/>
    <w:rsid w:val="00F13025"/>
    <w:rsid w:val="00F1356E"/>
    <w:rsid w:val="00F15515"/>
    <w:rsid w:val="00F15693"/>
    <w:rsid w:val="00F16B58"/>
    <w:rsid w:val="00F2103B"/>
    <w:rsid w:val="00F22708"/>
    <w:rsid w:val="00F230D9"/>
    <w:rsid w:val="00F24639"/>
    <w:rsid w:val="00F26A74"/>
    <w:rsid w:val="00F26DB7"/>
    <w:rsid w:val="00F31863"/>
    <w:rsid w:val="00F31E13"/>
    <w:rsid w:val="00F33145"/>
    <w:rsid w:val="00F33CAF"/>
    <w:rsid w:val="00F35EF7"/>
    <w:rsid w:val="00F35F57"/>
    <w:rsid w:val="00F40A80"/>
    <w:rsid w:val="00F42100"/>
    <w:rsid w:val="00F42449"/>
    <w:rsid w:val="00F45003"/>
    <w:rsid w:val="00F5160C"/>
    <w:rsid w:val="00F51A5C"/>
    <w:rsid w:val="00F528B5"/>
    <w:rsid w:val="00F5481A"/>
    <w:rsid w:val="00F54823"/>
    <w:rsid w:val="00F54913"/>
    <w:rsid w:val="00F554F4"/>
    <w:rsid w:val="00F56055"/>
    <w:rsid w:val="00F568A1"/>
    <w:rsid w:val="00F56DA1"/>
    <w:rsid w:val="00F57516"/>
    <w:rsid w:val="00F61C85"/>
    <w:rsid w:val="00F62699"/>
    <w:rsid w:val="00F63FD6"/>
    <w:rsid w:val="00F64494"/>
    <w:rsid w:val="00F659B7"/>
    <w:rsid w:val="00F67E41"/>
    <w:rsid w:val="00F67EBD"/>
    <w:rsid w:val="00F70D23"/>
    <w:rsid w:val="00F70EA7"/>
    <w:rsid w:val="00F70F53"/>
    <w:rsid w:val="00F71F04"/>
    <w:rsid w:val="00F72110"/>
    <w:rsid w:val="00F72244"/>
    <w:rsid w:val="00F723CD"/>
    <w:rsid w:val="00F72986"/>
    <w:rsid w:val="00F74DF7"/>
    <w:rsid w:val="00F75BD3"/>
    <w:rsid w:val="00F76371"/>
    <w:rsid w:val="00F80060"/>
    <w:rsid w:val="00F800E1"/>
    <w:rsid w:val="00F80F3E"/>
    <w:rsid w:val="00F83332"/>
    <w:rsid w:val="00F83DAA"/>
    <w:rsid w:val="00F856C4"/>
    <w:rsid w:val="00F8716F"/>
    <w:rsid w:val="00F873EF"/>
    <w:rsid w:val="00F906E1"/>
    <w:rsid w:val="00F91D0A"/>
    <w:rsid w:val="00F92021"/>
    <w:rsid w:val="00F92616"/>
    <w:rsid w:val="00F92814"/>
    <w:rsid w:val="00F93124"/>
    <w:rsid w:val="00F93A96"/>
    <w:rsid w:val="00F94AA3"/>
    <w:rsid w:val="00F952F8"/>
    <w:rsid w:val="00F957C3"/>
    <w:rsid w:val="00F95BC5"/>
    <w:rsid w:val="00F97BD0"/>
    <w:rsid w:val="00FA06F3"/>
    <w:rsid w:val="00FA0A4E"/>
    <w:rsid w:val="00FA1312"/>
    <w:rsid w:val="00FA2A46"/>
    <w:rsid w:val="00FA4F28"/>
    <w:rsid w:val="00FA60D2"/>
    <w:rsid w:val="00FA6428"/>
    <w:rsid w:val="00FA6974"/>
    <w:rsid w:val="00FA78D8"/>
    <w:rsid w:val="00FA79E5"/>
    <w:rsid w:val="00FA7D26"/>
    <w:rsid w:val="00FB1190"/>
    <w:rsid w:val="00FB12C8"/>
    <w:rsid w:val="00FB1C48"/>
    <w:rsid w:val="00FB1E4F"/>
    <w:rsid w:val="00FB2436"/>
    <w:rsid w:val="00FB27DD"/>
    <w:rsid w:val="00FB335D"/>
    <w:rsid w:val="00FB33E1"/>
    <w:rsid w:val="00FB3456"/>
    <w:rsid w:val="00FB4354"/>
    <w:rsid w:val="00FB4565"/>
    <w:rsid w:val="00FB5192"/>
    <w:rsid w:val="00FB52C5"/>
    <w:rsid w:val="00FB6CBE"/>
    <w:rsid w:val="00FB7CE0"/>
    <w:rsid w:val="00FC029D"/>
    <w:rsid w:val="00FC3E1B"/>
    <w:rsid w:val="00FC3EBC"/>
    <w:rsid w:val="00FC3FB6"/>
    <w:rsid w:val="00FC467D"/>
    <w:rsid w:val="00FC49AE"/>
    <w:rsid w:val="00FC4D19"/>
    <w:rsid w:val="00FC4F62"/>
    <w:rsid w:val="00FD0357"/>
    <w:rsid w:val="00FD17E0"/>
    <w:rsid w:val="00FD32AD"/>
    <w:rsid w:val="00FD343E"/>
    <w:rsid w:val="00FD4A50"/>
    <w:rsid w:val="00FD524C"/>
    <w:rsid w:val="00FD69E8"/>
    <w:rsid w:val="00FE19D7"/>
    <w:rsid w:val="00FE26EC"/>
    <w:rsid w:val="00FE39B5"/>
    <w:rsid w:val="00FE68A4"/>
    <w:rsid w:val="00FF0820"/>
    <w:rsid w:val="00FF0908"/>
    <w:rsid w:val="00FF1185"/>
    <w:rsid w:val="00FF376D"/>
    <w:rsid w:val="00FF59A0"/>
    <w:rsid w:val="00FF6211"/>
    <w:rsid w:val="01042CD0"/>
    <w:rsid w:val="01877B89"/>
    <w:rsid w:val="01A9298C"/>
    <w:rsid w:val="01F1268E"/>
    <w:rsid w:val="02152917"/>
    <w:rsid w:val="021653B1"/>
    <w:rsid w:val="021A09FD"/>
    <w:rsid w:val="0250441F"/>
    <w:rsid w:val="02742EFC"/>
    <w:rsid w:val="028042C4"/>
    <w:rsid w:val="02832A46"/>
    <w:rsid w:val="028D4D9B"/>
    <w:rsid w:val="02D332E6"/>
    <w:rsid w:val="031C07A5"/>
    <w:rsid w:val="03240870"/>
    <w:rsid w:val="03465822"/>
    <w:rsid w:val="035B1CE5"/>
    <w:rsid w:val="03854B3A"/>
    <w:rsid w:val="03CC3F79"/>
    <w:rsid w:val="03DF1EFE"/>
    <w:rsid w:val="04101BB7"/>
    <w:rsid w:val="04187EF1"/>
    <w:rsid w:val="042E0790"/>
    <w:rsid w:val="042E253E"/>
    <w:rsid w:val="043A5387"/>
    <w:rsid w:val="04406715"/>
    <w:rsid w:val="04473845"/>
    <w:rsid w:val="045403C1"/>
    <w:rsid w:val="045E5F40"/>
    <w:rsid w:val="04D1089E"/>
    <w:rsid w:val="050B1CD4"/>
    <w:rsid w:val="052D0A47"/>
    <w:rsid w:val="05452235"/>
    <w:rsid w:val="055350E8"/>
    <w:rsid w:val="05720F47"/>
    <w:rsid w:val="057A4C7B"/>
    <w:rsid w:val="0590119C"/>
    <w:rsid w:val="05AD1B88"/>
    <w:rsid w:val="05B13426"/>
    <w:rsid w:val="05C56ED2"/>
    <w:rsid w:val="05EA5EA2"/>
    <w:rsid w:val="064C2576"/>
    <w:rsid w:val="067D77AC"/>
    <w:rsid w:val="06A05249"/>
    <w:rsid w:val="06EF599D"/>
    <w:rsid w:val="06F90AE7"/>
    <w:rsid w:val="07195727"/>
    <w:rsid w:val="07541337"/>
    <w:rsid w:val="07C36F54"/>
    <w:rsid w:val="07EC4BEA"/>
    <w:rsid w:val="08122176"/>
    <w:rsid w:val="08BB280E"/>
    <w:rsid w:val="08C14279"/>
    <w:rsid w:val="08E312CF"/>
    <w:rsid w:val="08F60DE6"/>
    <w:rsid w:val="09176551"/>
    <w:rsid w:val="091B51F4"/>
    <w:rsid w:val="09322AD0"/>
    <w:rsid w:val="093979F4"/>
    <w:rsid w:val="093B1401"/>
    <w:rsid w:val="09516E1B"/>
    <w:rsid w:val="0961574F"/>
    <w:rsid w:val="096477B1"/>
    <w:rsid w:val="09880942"/>
    <w:rsid w:val="099A360C"/>
    <w:rsid w:val="09F73516"/>
    <w:rsid w:val="0A117414"/>
    <w:rsid w:val="0A2F247A"/>
    <w:rsid w:val="0A3D172D"/>
    <w:rsid w:val="0A634F0B"/>
    <w:rsid w:val="0A6F3EE9"/>
    <w:rsid w:val="0A8C6210"/>
    <w:rsid w:val="0AEF0818"/>
    <w:rsid w:val="0AF142C5"/>
    <w:rsid w:val="0B1B1342"/>
    <w:rsid w:val="0B26707E"/>
    <w:rsid w:val="0B7A075E"/>
    <w:rsid w:val="0C1110C3"/>
    <w:rsid w:val="0C5C2956"/>
    <w:rsid w:val="0C795822"/>
    <w:rsid w:val="0CA86EA2"/>
    <w:rsid w:val="0CB657C6"/>
    <w:rsid w:val="0CBB595F"/>
    <w:rsid w:val="0CBD7CF1"/>
    <w:rsid w:val="0D046461"/>
    <w:rsid w:val="0D1B5BBD"/>
    <w:rsid w:val="0D35493D"/>
    <w:rsid w:val="0D656F20"/>
    <w:rsid w:val="0D6C68AD"/>
    <w:rsid w:val="0D70006B"/>
    <w:rsid w:val="0D9C570A"/>
    <w:rsid w:val="0D9F6EC3"/>
    <w:rsid w:val="0DF677B9"/>
    <w:rsid w:val="0E4A08BC"/>
    <w:rsid w:val="0E4B1FD4"/>
    <w:rsid w:val="0E576B35"/>
    <w:rsid w:val="0E7E0566"/>
    <w:rsid w:val="0E8029E9"/>
    <w:rsid w:val="0E99714E"/>
    <w:rsid w:val="0E9F3273"/>
    <w:rsid w:val="0EA7297F"/>
    <w:rsid w:val="0F490B74"/>
    <w:rsid w:val="0F56503F"/>
    <w:rsid w:val="0F7835B6"/>
    <w:rsid w:val="0F857FF2"/>
    <w:rsid w:val="0F9F68BB"/>
    <w:rsid w:val="0FE82942"/>
    <w:rsid w:val="10221EE0"/>
    <w:rsid w:val="10290CE7"/>
    <w:rsid w:val="10725EA8"/>
    <w:rsid w:val="10D61D5D"/>
    <w:rsid w:val="10EF540C"/>
    <w:rsid w:val="11023B11"/>
    <w:rsid w:val="11036B00"/>
    <w:rsid w:val="111451B1"/>
    <w:rsid w:val="11750FCE"/>
    <w:rsid w:val="117F087D"/>
    <w:rsid w:val="1188307C"/>
    <w:rsid w:val="118C15CB"/>
    <w:rsid w:val="119629AC"/>
    <w:rsid w:val="11B7101A"/>
    <w:rsid w:val="11BA18B5"/>
    <w:rsid w:val="11C24C0D"/>
    <w:rsid w:val="121F1AEC"/>
    <w:rsid w:val="1222745A"/>
    <w:rsid w:val="12423092"/>
    <w:rsid w:val="12503FC7"/>
    <w:rsid w:val="128B4FFF"/>
    <w:rsid w:val="1292339A"/>
    <w:rsid w:val="129D5576"/>
    <w:rsid w:val="12EE6A82"/>
    <w:rsid w:val="12F40DF6"/>
    <w:rsid w:val="13446BA1"/>
    <w:rsid w:val="136441CE"/>
    <w:rsid w:val="139311B9"/>
    <w:rsid w:val="13C91236"/>
    <w:rsid w:val="14407A24"/>
    <w:rsid w:val="1457788F"/>
    <w:rsid w:val="14B52807"/>
    <w:rsid w:val="14C36CD2"/>
    <w:rsid w:val="15067DE6"/>
    <w:rsid w:val="15406575"/>
    <w:rsid w:val="15507A0D"/>
    <w:rsid w:val="157B78DE"/>
    <w:rsid w:val="1594709F"/>
    <w:rsid w:val="15B11221"/>
    <w:rsid w:val="15C40F54"/>
    <w:rsid w:val="16130806"/>
    <w:rsid w:val="16545407"/>
    <w:rsid w:val="16704C38"/>
    <w:rsid w:val="16A02C0C"/>
    <w:rsid w:val="172F68A1"/>
    <w:rsid w:val="1767428D"/>
    <w:rsid w:val="177E6371"/>
    <w:rsid w:val="179130FC"/>
    <w:rsid w:val="179523B6"/>
    <w:rsid w:val="17B31280"/>
    <w:rsid w:val="17B468C9"/>
    <w:rsid w:val="17DB07D7"/>
    <w:rsid w:val="18122A85"/>
    <w:rsid w:val="18427A2F"/>
    <w:rsid w:val="18A569D9"/>
    <w:rsid w:val="18B352B0"/>
    <w:rsid w:val="18C748B7"/>
    <w:rsid w:val="18ED431E"/>
    <w:rsid w:val="1912647A"/>
    <w:rsid w:val="19131523"/>
    <w:rsid w:val="1932529B"/>
    <w:rsid w:val="19843FE1"/>
    <w:rsid w:val="19873D9C"/>
    <w:rsid w:val="19BD4767"/>
    <w:rsid w:val="19D21766"/>
    <w:rsid w:val="19EE19D3"/>
    <w:rsid w:val="1A0933D9"/>
    <w:rsid w:val="1A0C2EC9"/>
    <w:rsid w:val="1A2F6BB8"/>
    <w:rsid w:val="1A312930"/>
    <w:rsid w:val="1A3B246E"/>
    <w:rsid w:val="1A5E03B7"/>
    <w:rsid w:val="1AA90718"/>
    <w:rsid w:val="1AB73C00"/>
    <w:rsid w:val="1AF71B85"/>
    <w:rsid w:val="1B8051D3"/>
    <w:rsid w:val="1B812E7F"/>
    <w:rsid w:val="1BAB04C0"/>
    <w:rsid w:val="1BCE21DA"/>
    <w:rsid w:val="1C346708"/>
    <w:rsid w:val="1C6E346B"/>
    <w:rsid w:val="1C762014"/>
    <w:rsid w:val="1CA052F9"/>
    <w:rsid w:val="1CA92C52"/>
    <w:rsid w:val="1D083E1C"/>
    <w:rsid w:val="1D1F48E9"/>
    <w:rsid w:val="1D20523A"/>
    <w:rsid w:val="1D282217"/>
    <w:rsid w:val="1D2D5631"/>
    <w:rsid w:val="1DA3702B"/>
    <w:rsid w:val="1DB64506"/>
    <w:rsid w:val="1DED3012"/>
    <w:rsid w:val="1E0068A1"/>
    <w:rsid w:val="1E2527AC"/>
    <w:rsid w:val="1E601A36"/>
    <w:rsid w:val="1E7958F0"/>
    <w:rsid w:val="1E892D3B"/>
    <w:rsid w:val="1E911BEF"/>
    <w:rsid w:val="1EC208A6"/>
    <w:rsid w:val="1F091A51"/>
    <w:rsid w:val="1F104035"/>
    <w:rsid w:val="1F1A1540"/>
    <w:rsid w:val="1F2C467B"/>
    <w:rsid w:val="1F2C66A0"/>
    <w:rsid w:val="1F3955A2"/>
    <w:rsid w:val="1F39747B"/>
    <w:rsid w:val="1F523C25"/>
    <w:rsid w:val="1F933A28"/>
    <w:rsid w:val="1F9C084C"/>
    <w:rsid w:val="1FC61D6D"/>
    <w:rsid w:val="1FD01D46"/>
    <w:rsid w:val="1FE14C03"/>
    <w:rsid w:val="1FE43FA1"/>
    <w:rsid w:val="200803EE"/>
    <w:rsid w:val="202D6FD9"/>
    <w:rsid w:val="20A16EC3"/>
    <w:rsid w:val="20D009E5"/>
    <w:rsid w:val="20D604CF"/>
    <w:rsid w:val="20E34258"/>
    <w:rsid w:val="210F504D"/>
    <w:rsid w:val="21114909"/>
    <w:rsid w:val="211C60E8"/>
    <w:rsid w:val="21352D06"/>
    <w:rsid w:val="21577120"/>
    <w:rsid w:val="215A3283"/>
    <w:rsid w:val="21764795"/>
    <w:rsid w:val="21821CC3"/>
    <w:rsid w:val="21894E00"/>
    <w:rsid w:val="21BD3BC6"/>
    <w:rsid w:val="21E36440"/>
    <w:rsid w:val="21E8173A"/>
    <w:rsid w:val="21FC0B82"/>
    <w:rsid w:val="220628F4"/>
    <w:rsid w:val="22B568E0"/>
    <w:rsid w:val="22D623FF"/>
    <w:rsid w:val="22E43D8D"/>
    <w:rsid w:val="239E04F4"/>
    <w:rsid w:val="23A423C5"/>
    <w:rsid w:val="23BA3996"/>
    <w:rsid w:val="23EC05FD"/>
    <w:rsid w:val="24145500"/>
    <w:rsid w:val="2453425F"/>
    <w:rsid w:val="24AC7783"/>
    <w:rsid w:val="24D42836"/>
    <w:rsid w:val="252E69B7"/>
    <w:rsid w:val="253A32B3"/>
    <w:rsid w:val="255615F5"/>
    <w:rsid w:val="256718FC"/>
    <w:rsid w:val="2582353C"/>
    <w:rsid w:val="25B7161A"/>
    <w:rsid w:val="25DC7BF4"/>
    <w:rsid w:val="25F04D82"/>
    <w:rsid w:val="26525C14"/>
    <w:rsid w:val="265A4FBD"/>
    <w:rsid w:val="265F6F74"/>
    <w:rsid w:val="268A665F"/>
    <w:rsid w:val="26CA2142"/>
    <w:rsid w:val="26E94BFE"/>
    <w:rsid w:val="26F80720"/>
    <w:rsid w:val="271C3A8D"/>
    <w:rsid w:val="27252BF1"/>
    <w:rsid w:val="276F350C"/>
    <w:rsid w:val="278B601D"/>
    <w:rsid w:val="27C571C0"/>
    <w:rsid w:val="27C840EF"/>
    <w:rsid w:val="27D01665"/>
    <w:rsid w:val="27EB4FAC"/>
    <w:rsid w:val="28033B5E"/>
    <w:rsid w:val="281C2EA7"/>
    <w:rsid w:val="283F2E38"/>
    <w:rsid w:val="284877C3"/>
    <w:rsid w:val="286363AA"/>
    <w:rsid w:val="28760EC1"/>
    <w:rsid w:val="28965108"/>
    <w:rsid w:val="28DE1ED5"/>
    <w:rsid w:val="28F224FC"/>
    <w:rsid w:val="29214018"/>
    <w:rsid w:val="297F777F"/>
    <w:rsid w:val="299627B0"/>
    <w:rsid w:val="29A05A04"/>
    <w:rsid w:val="29B11398"/>
    <w:rsid w:val="29C410CB"/>
    <w:rsid w:val="29E452C9"/>
    <w:rsid w:val="2A3222AB"/>
    <w:rsid w:val="2A7A2160"/>
    <w:rsid w:val="2AB253C7"/>
    <w:rsid w:val="2B02223C"/>
    <w:rsid w:val="2B082C5B"/>
    <w:rsid w:val="2B336ED3"/>
    <w:rsid w:val="2B471FB3"/>
    <w:rsid w:val="2B730675"/>
    <w:rsid w:val="2C0B1233"/>
    <w:rsid w:val="2C106849"/>
    <w:rsid w:val="2C1856FE"/>
    <w:rsid w:val="2C22032B"/>
    <w:rsid w:val="2C300C99"/>
    <w:rsid w:val="2C7548FE"/>
    <w:rsid w:val="2CA156F3"/>
    <w:rsid w:val="2D085772"/>
    <w:rsid w:val="2D480265"/>
    <w:rsid w:val="2D811081"/>
    <w:rsid w:val="2D8C5315"/>
    <w:rsid w:val="2D95643B"/>
    <w:rsid w:val="2DD5680A"/>
    <w:rsid w:val="2DE106C9"/>
    <w:rsid w:val="2DFB0E33"/>
    <w:rsid w:val="2E2F297F"/>
    <w:rsid w:val="2E5F7614"/>
    <w:rsid w:val="2EAC6191"/>
    <w:rsid w:val="2EC4047B"/>
    <w:rsid w:val="2EE6563F"/>
    <w:rsid w:val="2EFC28ED"/>
    <w:rsid w:val="2EFC79F2"/>
    <w:rsid w:val="2F26688E"/>
    <w:rsid w:val="2F4C0A41"/>
    <w:rsid w:val="2F841A5E"/>
    <w:rsid w:val="2F990904"/>
    <w:rsid w:val="2FAD24A1"/>
    <w:rsid w:val="2FB21CDD"/>
    <w:rsid w:val="2FBD0DC9"/>
    <w:rsid w:val="2FC93956"/>
    <w:rsid w:val="2FD66FEA"/>
    <w:rsid w:val="300E37F4"/>
    <w:rsid w:val="303568A2"/>
    <w:rsid w:val="3050190A"/>
    <w:rsid w:val="306C7DC6"/>
    <w:rsid w:val="308F3191"/>
    <w:rsid w:val="30C145B6"/>
    <w:rsid w:val="30D93E56"/>
    <w:rsid w:val="30E64311"/>
    <w:rsid w:val="30F911F5"/>
    <w:rsid w:val="31083F93"/>
    <w:rsid w:val="314C23D2"/>
    <w:rsid w:val="31771119"/>
    <w:rsid w:val="31B71515"/>
    <w:rsid w:val="32002A73"/>
    <w:rsid w:val="322518D5"/>
    <w:rsid w:val="324A65A8"/>
    <w:rsid w:val="32933D30"/>
    <w:rsid w:val="32951856"/>
    <w:rsid w:val="329F4483"/>
    <w:rsid w:val="32BF53D9"/>
    <w:rsid w:val="32C21624"/>
    <w:rsid w:val="33095DA0"/>
    <w:rsid w:val="331A1D5C"/>
    <w:rsid w:val="33233306"/>
    <w:rsid w:val="332538EF"/>
    <w:rsid w:val="333F5C66"/>
    <w:rsid w:val="336D1887"/>
    <w:rsid w:val="339D46F8"/>
    <w:rsid w:val="33D32B48"/>
    <w:rsid w:val="34012F1B"/>
    <w:rsid w:val="34140EA1"/>
    <w:rsid w:val="3490195A"/>
    <w:rsid w:val="34C87539"/>
    <w:rsid w:val="34E11C63"/>
    <w:rsid w:val="35037002"/>
    <w:rsid w:val="35083BE7"/>
    <w:rsid w:val="35147A61"/>
    <w:rsid w:val="354338CC"/>
    <w:rsid w:val="3546508A"/>
    <w:rsid w:val="354F1987"/>
    <w:rsid w:val="35700359"/>
    <w:rsid w:val="35BA7826"/>
    <w:rsid w:val="35DA1FD3"/>
    <w:rsid w:val="35E24941"/>
    <w:rsid w:val="35E80BFF"/>
    <w:rsid w:val="35F02B59"/>
    <w:rsid w:val="360F71D3"/>
    <w:rsid w:val="36272ED6"/>
    <w:rsid w:val="363D4937"/>
    <w:rsid w:val="36400CEB"/>
    <w:rsid w:val="3640650F"/>
    <w:rsid w:val="36820344"/>
    <w:rsid w:val="36913B8F"/>
    <w:rsid w:val="36E47B81"/>
    <w:rsid w:val="36FC747B"/>
    <w:rsid w:val="377203B8"/>
    <w:rsid w:val="3782130C"/>
    <w:rsid w:val="37AD5028"/>
    <w:rsid w:val="37B23DC0"/>
    <w:rsid w:val="37BD53AB"/>
    <w:rsid w:val="37CF5A51"/>
    <w:rsid w:val="37F81A2D"/>
    <w:rsid w:val="381476C1"/>
    <w:rsid w:val="38274CF5"/>
    <w:rsid w:val="384E5709"/>
    <w:rsid w:val="385D3A32"/>
    <w:rsid w:val="38887767"/>
    <w:rsid w:val="389D1436"/>
    <w:rsid w:val="38A6660E"/>
    <w:rsid w:val="38C81AB7"/>
    <w:rsid w:val="38E507FA"/>
    <w:rsid w:val="38EC5F48"/>
    <w:rsid w:val="38FD222D"/>
    <w:rsid w:val="390211C1"/>
    <w:rsid w:val="390F0207"/>
    <w:rsid w:val="391F7478"/>
    <w:rsid w:val="392A6A70"/>
    <w:rsid w:val="39363667"/>
    <w:rsid w:val="39391D8C"/>
    <w:rsid w:val="394538AA"/>
    <w:rsid w:val="39700927"/>
    <w:rsid w:val="39BC50E7"/>
    <w:rsid w:val="39D03040"/>
    <w:rsid w:val="39F33306"/>
    <w:rsid w:val="3A217E73"/>
    <w:rsid w:val="3A41003D"/>
    <w:rsid w:val="3A531190"/>
    <w:rsid w:val="3A6854CC"/>
    <w:rsid w:val="3A8B1BB1"/>
    <w:rsid w:val="3ADE3FB6"/>
    <w:rsid w:val="3AEC4D47"/>
    <w:rsid w:val="3AF410E4"/>
    <w:rsid w:val="3B253993"/>
    <w:rsid w:val="3B297A4D"/>
    <w:rsid w:val="3BC66F24"/>
    <w:rsid w:val="3BDB484F"/>
    <w:rsid w:val="3BF539A4"/>
    <w:rsid w:val="3C2F45AC"/>
    <w:rsid w:val="3C3A521C"/>
    <w:rsid w:val="3C4537E2"/>
    <w:rsid w:val="3C5C570A"/>
    <w:rsid w:val="3C5E7084"/>
    <w:rsid w:val="3C795D45"/>
    <w:rsid w:val="3C9B3F0D"/>
    <w:rsid w:val="3CD87E6D"/>
    <w:rsid w:val="3CFD4BC8"/>
    <w:rsid w:val="3D122381"/>
    <w:rsid w:val="3D235695"/>
    <w:rsid w:val="3D424900"/>
    <w:rsid w:val="3D91083B"/>
    <w:rsid w:val="3D913562"/>
    <w:rsid w:val="3D960010"/>
    <w:rsid w:val="3DBF6634"/>
    <w:rsid w:val="3DC94AAA"/>
    <w:rsid w:val="3DF57B79"/>
    <w:rsid w:val="3E244472"/>
    <w:rsid w:val="3E2747E6"/>
    <w:rsid w:val="3E300685"/>
    <w:rsid w:val="3E4B3711"/>
    <w:rsid w:val="3E595E0B"/>
    <w:rsid w:val="3E8C2EA8"/>
    <w:rsid w:val="3EAD352C"/>
    <w:rsid w:val="3EC62C18"/>
    <w:rsid w:val="3ECB3973"/>
    <w:rsid w:val="3F047C19"/>
    <w:rsid w:val="3F0F6C24"/>
    <w:rsid w:val="3F195722"/>
    <w:rsid w:val="3F1C2D07"/>
    <w:rsid w:val="3F7E303A"/>
    <w:rsid w:val="3FA70E1B"/>
    <w:rsid w:val="3FC6067B"/>
    <w:rsid w:val="3FCC4E39"/>
    <w:rsid w:val="3FD55988"/>
    <w:rsid w:val="40146815"/>
    <w:rsid w:val="401E545D"/>
    <w:rsid w:val="40354679"/>
    <w:rsid w:val="40577F27"/>
    <w:rsid w:val="405D632C"/>
    <w:rsid w:val="408625E5"/>
    <w:rsid w:val="40B03CFF"/>
    <w:rsid w:val="40B95628"/>
    <w:rsid w:val="40DD0AA9"/>
    <w:rsid w:val="40E8793D"/>
    <w:rsid w:val="412C5A7C"/>
    <w:rsid w:val="415709EC"/>
    <w:rsid w:val="41735459"/>
    <w:rsid w:val="417B5E8E"/>
    <w:rsid w:val="418C02C8"/>
    <w:rsid w:val="419B6404"/>
    <w:rsid w:val="41D81894"/>
    <w:rsid w:val="41F26E27"/>
    <w:rsid w:val="420B40E0"/>
    <w:rsid w:val="422155C4"/>
    <w:rsid w:val="42416F43"/>
    <w:rsid w:val="426508F2"/>
    <w:rsid w:val="4269141F"/>
    <w:rsid w:val="427D5567"/>
    <w:rsid w:val="429F227D"/>
    <w:rsid w:val="42E27607"/>
    <w:rsid w:val="42EF56FC"/>
    <w:rsid w:val="43095949"/>
    <w:rsid w:val="43284021"/>
    <w:rsid w:val="433810BF"/>
    <w:rsid w:val="433C7ACC"/>
    <w:rsid w:val="433E4180"/>
    <w:rsid w:val="436314FD"/>
    <w:rsid w:val="43844A8D"/>
    <w:rsid w:val="43D56037"/>
    <w:rsid w:val="43DF5B69"/>
    <w:rsid w:val="43E97FDE"/>
    <w:rsid w:val="43FD560E"/>
    <w:rsid w:val="44121145"/>
    <w:rsid w:val="4416031D"/>
    <w:rsid w:val="443609BF"/>
    <w:rsid w:val="443B611F"/>
    <w:rsid w:val="4454377A"/>
    <w:rsid w:val="44761B1B"/>
    <w:rsid w:val="447C2876"/>
    <w:rsid w:val="44825D66"/>
    <w:rsid w:val="44DA759D"/>
    <w:rsid w:val="44E6604F"/>
    <w:rsid w:val="44FE6E4F"/>
    <w:rsid w:val="450A2BB8"/>
    <w:rsid w:val="45303FE5"/>
    <w:rsid w:val="45743BCA"/>
    <w:rsid w:val="45AA6F2D"/>
    <w:rsid w:val="45C10D70"/>
    <w:rsid w:val="45C14B6C"/>
    <w:rsid w:val="45D43FEC"/>
    <w:rsid w:val="45D8518E"/>
    <w:rsid w:val="45EA7371"/>
    <w:rsid w:val="45F8679F"/>
    <w:rsid w:val="45FA0D0B"/>
    <w:rsid w:val="46160AA8"/>
    <w:rsid w:val="46641814"/>
    <w:rsid w:val="46842982"/>
    <w:rsid w:val="46B310A6"/>
    <w:rsid w:val="46D02A05"/>
    <w:rsid w:val="46F954C9"/>
    <w:rsid w:val="471F7129"/>
    <w:rsid w:val="47280A93"/>
    <w:rsid w:val="47596E9F"/>
    <w:rsid w:val="47703CF4"/>
    <w:rsid w:val="477A4EA8"/>
    <w:rsid w:val="47AA6646"/>
    <w:rsid w:val="47AE1078"/>
    <w:rsid w:val="47BA5463"/>
    <w:rsid w:val="47E30E5E"/>
    <w:rsid w:val="4803505C"/>
    <w:rsid w:val="48056E5E"/>
    <w:rsid w:val="48084C71"/>
    <w:rsid w:val="485A2984"/>
    <w:rsid w:val="486A6DF0"/>
    <w:rsid w:val="487235A7"/>
    <w:rsid w:val="489650B8"/>
    <w:rsid w:val="48A1626A"/>
    <w:rsid w:val="48A32A06"/>
    <w:rsid w:val="48D533DB"/>
    <w:rsid w:val="48E704DA"/>
    <w:rsid w:val="49051B21"/>
    <w:rsid w:val="491018AF"/>
    <w:rsid w:val="49323566"/>
    <w:rsid w:val="494A511F"/>
    <w:rsid w:val="496122D3"/>
    <w:rsid w:val="496D2E4E"/>
    <w:rsid w:val="499A72FA"/>
    <w:rsid w:val="49AA023D"/>
    <w:rsid w:val="49C61CC3"/>
    <w:rsid w:val="49CD5922"/>
    <w:rsid w:val="49E24B15"/>
    <w:rsid w:val="4A0D3F70"/>
    <w:rsid w:val="4A1368BF"/>
    <w:rsid w:val="4A7F3599"/>
    <w:rsid w:val="4AFD3FE5"/>
    <w:rsid w:val="4B2969B8"/>
    <w:rsid w:val="4B7A5B4A"/>
    <w:rsid w:val="4B810772"/>
    <w:rsid w:val="4B83098E"/>
    <w:rsid w:val="4B90143B"/>
    <w:rsid w:val="4B9F509C"/>
    <w:rsid w:val="4C237A7B"/>
    <w:rsid w:val="4C2537F3"/>
    <w:rsid w:val="4C534154"/>
    <w:rsid w:val="4CAD4014"/>
    <w:rsid w:val="4CC8666A"/>
    <w:rsid w:val="4CD07C03"/>
    <w:rsid w:val="4CDA552C"/>
    <w:rsid w:val="4CDE094D"/>
    <w:rsid w:val="4CFB27A6"/>
    <w:rsid w:val="4CFD4F7F"/>
    <w:rsid w:val="4CFE07AC"/>
    <w:rsid w:val="4D0C49B3"/>
    <w:rsid w:val="4D3F08E5"/>
    <w:rsid w:val="4D53613E"/>
    <w:rsid w:val="4D7B566F"/>
    <w:rsid w:val="4D8D2C98"/>
    <w:rsid w:val="4DB7491F"/>
    <w:rsid w:val="4DC030AB"/>
    <w:rsid w:val="4DE70B18"/>
    <w:rsid w:val="4E22162D"/>
    <w:rsid w:val="4E3C3076"/>
    <w:rsid w:val="4E5C54C6"/>
    <w:rsid w:val="4E832A53"/>
    <w:rsid w:val="4E9234C3"/>
    <w:rsid w:val="4EC512BE"/>
    <w:rsid w:val="4EF207A6"/>
    <w:rsid w:val="4F0E5CA5"/>
    <w:rsid w:val="4FCC21D8"/>
    <w:rsid w:val="4FD615AF"/>
    <w:rsid w:val="4FDC79E2"/>
    <w:rsid w:val="4FF43C08"/>
    <w:rsid w:val="502F41A2"/>
    <w:rsid w:val="504479E3"/>
    <w:rsid w:val="508A00C9"/>
    <w:rsid w:val="509251CF"/>
    <w:rsid w:val="50D6330E"/>
    <w:rsid w:val="51256043"/>
    <w:rsid w:val="517D2033"/>
    <w:rsid w:val="5181771E"/>
    <w:rsid w:val="51B003BE"/>
    <w:rsid w:val="51B4012F"/>
    <w:rsid w:val="51B573C7"/>
    <w:rsid w:val="521B540F"/>
    <w:rsid w:val="52262073"/>
    <w:rsid w:val="523E6BBC"/>
    <w:rsid w:val="528B5D4F"/>
    <w:rsid w:val="52903990"/>
    <w:rsid w:val="529945F3"/>
    <w:rsid w:val="52E11E52"/>
    <w:rsid w:val="52F263F9"/>
    <w:rsid w:val="53390C3A"/>
    <w:rsid w:val="53760DD8"/>
    <w:rsid w:val="53B27BB7"/>
    <w:rsid w:val="53CB2ED2"/>
    <w:rsid w:val="53DD0B4E"/>
    <w:rsid w:val="53EE772D"/>
    <w:rsid w:val="541C54DC"/>
    <w:rsid w:val="542D135B"/>
    <w:rsid w:val="543C7C24"/>
    <w:rsid w:val="545C7FCE"/>
    <w:rsid w:val="54937FC4"/>
    <w:rsid w:val="54BE47E5"/>
    <w:rsid w:val="54D87473"/>
    <w:rsid w:val="54DF5727"/>
    <w:rsid w:val="5539547F"/>
    <w:rsid w:val="55755617"/>
    <w:rsid w:val="55886BA1"/>
    <w:rsid w:val="55A45BD8"/>
    <w:rsid w:val="55C1657C"/>
    <w:rsid w:val="562025C2"/>
    <w:rsid w:val="562E4368"/>
    <w:rsid w:val="564B25B6"/>
    <w:rsid w:val="56576C9F"/>
    <w:rsid w:val="567C04B4"/>
    <w:rsid w:val="56824254"/>
    <w:rsid w:val="56902FD1"/>
    <w:rsid w:val="569D7705"/>
    <w:rsid w:val="569E238C"/>
    <w:rsid w:val="56A56F96"/>
    <w:rsid w:val="56B30171"/>
    <w:rsid w:val="56CB31E9"/>
    <w:rsid w:val="57174680"/>
    <w:rsid w:val="571D5BC5"/>
    <w:rsid w:val="5737087F"/>
    <w:rsid w:val="5750429E"/>
    <w:rsid w:val="575E5E0B"/>
    <w:rsid w:val="57626E74"/>
    <w:rsid w:val="578C19A9"/>
    <w:rsid w:val="579A6A20"/>
    <w:rsid w:val="58030690"/>
    <w:rsid w:val="582878DF"/>
    <w:rsid w:val="5852431F"/>
    <w:rsid w:val="585316E8"/>
    <w:rsid w:val="585D3E03"/>
    <w:rsid w:val="58BC1855"/>
    <w:rsid w:val="58F65638"/>
    <w:rsid w:val="590D1897"/>
    <w:rsid w:val="592F5CB1"/>
    <w:rsid w:val="59340387"/>
    <w:rsid w:val="593530F2"/>
    <w:rsid w:val="598903E7"/>
    <w:rsid w:val="598C212C"/>
    <w:rsid w:val="59A65848"/>
    <w:rsid w:val="59AC5554"/>
    <w:rsid w:val="59B937CD"/>
    <w:rsid w:val="5A0544D6"/>
    <w:rsid w:val="5A216A20"/>
    <w:rsid w:val="5A3A6E64"/>
    <w:rsid w:val="5AA1318C"/>
    <w:rsid w:val="5AAC3332"/>
    <w:rsid w:val="5AAF3F4B"/>
    <w:rsid w:val="5ACB1A0A"/>
    <w:rsid w:val="5B3475AF"/>
    <w:rsid w:val="5B44356A"/>
    <w:rsid w:val="5B5B394A"/>
    <w:rsid w:val="5B9444F1"/>
    <w:rsid w:val="5C0623D8"/>
    <w:rsid w:val="5C3A4DBE"/>
    <w:rsid w:val="5C78171D"/>
    <w:rsid w:val="5C9C1F7A"/>
    <w:rsid w:val="5CCC1A69"/>
    <w:rsid w:val="5D0C00B7"/>
    <w:rsid w:val="5D347D3A"/>
    <w:rsid w:val="5D651CDC"/>
    <w:rsid w:val="5D924A61"/>
    <w:rsid w:val="5D972077"/>
    <w:rsid w:val="5DBE7604"/>
    <w:rsid w:val="5DC5134D"/>
    <w:rsid w:val="5DC855E3"/>
    <w:rsid w:val="5DEB4609"/>
    <w:rsid w:val="5DF213F1"/>
    <w:rsid w:val="5DFB460D"/>
    <w:rsid w:val="5E1016DA"/>
    <w:rsid w:val="5E4E6BDA"/>
    <w:rsid w:val="5E5341F0"/>
    <w:rsid w:val="5E662C96"/>
    <w:rsid w:val="5E77523A"/>
    <w:rsid w:val="5E7A5C21"/>
    <w:rsid w:val="5E9D1993"/>
    <w:rsid w:val="5F0279C4"/>
    <w:rsid w:val="5F1576F7"/>
    <w:rsid w:val="5F2D0BA6"/>
    <w:rsid w:val="5F3062DF"/>
    <w:rsid w:val="5F6C401A"/>
    <w:rsid w:val="5F804302"/>
    <w:rsid w:val="5F9B50AD"/>
    <w:rsid w:val="5FA8056B"/>
    <w:rsid w:val="5FA86C07"/>
    <w:rsid w:val="5FD259F9"/>
    <w:rsid w:val="5FDD2B3A"/>
    <w:rsid w:val="5FEC1F0A"/>
    <w:rsid w:val="5FF92B75"/>
    <w:rsid w:val="601479AF"/>
    <w:rsid w:val="606A1F45"/>
    <w:rsid w:val="60E05F15"/>
    <w:rsid w:val="60E530F9"/>
    <w:rsid w:val="610E08A2"/>
    <w:rsid w:val="615C785F"/>
    <w:rsid w:val="618667F7"/>
    <w:rsid w:val="61974A55"/>
    <w:rsid w:val="61A62964"/>
    <w:rsid w:val="622E4597"/>
    <w:rsid w:val="62791D4B"/>
    <w:rsid w:val="627B3D15"/>
    <w:rsid w:val="628D3A49"/>
    <w:rsid w:val="62B25DC7"/>
    <w:rsid w:val="62B62F9F"/>
    <w:rsid w:val="62B92A90"/>
    <w:rsid w:val="62D41677"/>
    <w:rsid w:val="639F6592"/>
    <w:rsid w:val="63BC2837"/>
    <w:rsid w:val="63C401DD"/>
    <w:rsid w:val="63CF1338"/>
    <w:rsid w:val="63F57AF7"/>
    <w:rsid w:val="646D3183"/>
    <w:rsid w:val="64726F43"/>
    <w:rsid w:val="648570CD"/>
    <w:rsid w:val="64A227CA"/>
    <w:rsid w:val="64A55079"/>
    <w:rsid w:val="64BC7BAE"/>
    <w:rsid w:val="64D3579B"/>
    <w:rsid w:val="64DD35B1"/>
    <w:rsid w:val="64E57B6C"/>
    <w:rsid w:val="651A5C23"/>
    <w:rsid w:val="652642B8"/>
    <w:rsid w:val="656A5114"/>
    <w:rsid w:val="65847385"/>
    <w:rsid w:val="65B11292"/>
    <w:rsid w:val="65B366BA"/>
    <w:rsid w:val="65BA75C8"/>
    <w:rsid w:val="65E51077"/>
    <w:rsid w:val="661A4B91"/>
    <w:rsid w:val="668138C4"/>
    <w:rsid w:val="66833198"/>
    <w:rsid w:val="66BF4C99"/>
    <w:rsid w:val="670C65D6"/>
    <w:rsid w:val="67423054"/>
    <w:rsid w:val="67483640"/>
    <w:rsid w:val="676A44D6"/>
    <w:rsid w:val="676B07FC"/>
    <w:rsid w:val="677F1909"/>
    <w:rsid w:val="67920993"/>
    <w:rsid w:val="67A04E3D"/>
    <w:rsid w:val="67B17675"/>
    <w:rsid w:val="67B4673E"/>
    <w:rsid w:val="67EC3760"/>
    <w:rsid w:val="682C3AD4"/>
    <w:rsid w:val="68442DFB"/>
    <w:rsid w:val="68613679"/>
    <w:rsid w:val="68727968"/>
    <w:rsid w:val="68760E89"/>
    <w:rsid w:val="68AB2E7A"/>
    <w:rsid w:val="68BA153C"/>
    <w:rsid w:val="68C47A98"/>
    <w:rsid w:val="68EA39A3"/>
    <w:rsid w:val="68F04364"/>
    <w:rsid w:val="68FB5CC4"/>
    <w:rsid w:val="69EF1C7F"/>
    <w:rsid w:val="6A0C5BB7"/>
    <w:rsid w:val="6A154A4F"/>
    <w:rsid w:val="6A303637"/>
    <w:rsid w:val="6A915DF3"/>
    <w:rsid w:val="6AAF6C52"/>
    <w:rsid w:val="6AF9199E"/>
    <w:rsid w:val="6B5C7C76"/>
    <w:rsid w:val="6B6A7665"/>
    <w:rsid w:val="6B9D6AAA"/>
    <w:rsid w:val="6BA0144E"/>
    <w:rsid w:val="6C0B643D"/>
    <w:rsid w:val="6C1825D5"/>
    <w:rsid w:val="6C1A00FB"/>
    <w:rsid w:val="6C2216A6"/>
    <w:rsid w:val="6C2C7E2E"/>
    <w:rsid w:val="6C4B4758"/>
    <w:rsid w:val="6CBC7404"/>
    <w:rsid w:val="6CD26C28"/>
    <w:rsid w:val="6D2C0311"/>
    <w:rsid w:val="6D3671B7"/>
    <w:rsid w:val="6D4D22D2"/>
    <w:rsid w:val="6DA00AD4"/>
    <w:rsid w:val="6DB1683D"/>
    <w:rsid w:val="6DBF45BF"/>
    <w:rsid w:val="6DE2733E"/>
    <w:rsid w:val="6E1D536C"/>
    <w:rsid w:val="6E2B0B07"/>
    <w:rsid w:val="6E4542A4"/>
    <w:rsid w:val="6E4C0C5C"/>
    <w:rsid w:val="6E851A78"/>
    <w:rsid w:val="6EA75E92"/>
    <w:rsid w:val="6EAB4561"/>
    <w:rsid w:val="6EED1AF7"/>
    <w:rsid w:val="6F616041"/>
    <w:rsid w:val="6F7264A0"/>
    <w:rsid w:val="6F9E7295"/>
    <w:rsid w:val="6FA50623"/>
    <w:rsid w:val="6FB30672"/>
    <w:rsid w:val="70741870"/>
    <w:rsid w:val="70A47889"/>
    <w:rsid w:val="70DC38F7"/>
    <w:rsid w:val="71297032"/>
    <w:rsid w:val="71306613"/>
    <w:rsid w:val="714A395B"/>
    <w:rsid w:val="71FA5E12"/>
    <w:rsid w:val="71FB277D"/>
    <w:rsid w:val="7238577F"/>
    <w:rsid w:val="72513B7B"/>
    <w:rsid w:val="72677016"/>
    <w:rsid w:val="72895FDA"/>
    <w:rsid w:val="72BF19FC"/>
    <w:rsid w:val="72D22688"/>
    <w:rsid w:val="72EF331E"/>
    <w:rsid w:val="73357F10"/>
    <w:rsid w:val="733A434A"/>
    <w:rsid w:val="734F2F9E"/>
    <w:rsid w:val="736E51D0"/>
    <w:rsid w:val="737722D7"/>
    <w:rsid w:val="73860E12"/>
    <w:rsid w:val="73C53042"/>
    <w:rsid w:val="73F27EF4"/>
    <w:rsid w:val="73F76F74"/>
    <w:rsid w:val="74406B6D"/>
    <w:rsid w:val="744B4275"/>
    <w:rsid w:val="748527D2"/>
    <w:rsid w:val="749271F3"/>
    <w:rsid w:val="7498334F"/>
    <w:rsid w:val="74C8055A"/>
    <w:rsid w:val="74C96B62"/>
    <w:rsid w:val="74FA4F6E"/>
    <w:rsid w:val="74FA6600"/>
    <w:rsid w:val="750E6C6B"/>
    <w:rsid w:val="75114065"/>
    <w:rsid w:val="75241FEA"/>
    <w:rsid w:val="75C564C6"/>
    <w:rsid w:val="75D64A4F"/>
    <w:rsid w:val="76227727"/>
    <w:rsid w:val="762B2267"/>
    <w:rsid w:val="762F6E99"/>
    <w:rsid w:val="76B01217"/>
    <w:rsid w:val="76F82B81"/>
    <w:rsid w:val="770725FA"/>
    <w:rsid w:val="772E7150"/>
    <w:rsid w:val="77A21895"/>
    <w:rsid w:val="77CC50DF"/>
    <w:rsid w:val="77F4039A"/>
    <w:rsid w:val="782D1944"/>
    <w:rsid w:val="784B5AE0"/>
    <w:rsid w:val="785A709F"/>
    <w:rsid w:val="786171CD"/>
    <w:rsid w:val="788A485A"/>
    <w:rsid w:val="78B4367F"/>
    <w:rsid w:val="7919746E"/>
    <w:rsid w:val="795E31C8"/>
    <w:rsid w:val="79627585"/>
    <w:rsid w:val="79853FBD"/>
    <w:rsid w:val="79B82F8A"/>
    <w:rsid w:val="7A532160"/>
    <w:rsid w:val="7A96669D"/>
    <w:rsid w:val="7AB44136"/>
    <w:rsid w:val="7AB756AF"/>
    <w:rsid w:val="7AC0620F"/>
    <w:rsid w:val="7AE75F94"/>
    <w:rsid w:val="7B05641A"/>
    <w:rsid w:val="7B35055F"/>
    <w:rsid w:val="7B453A59"/>
    <w:rsid w:val="7B5C5D8A"/>
    <w:rsid w:val="7B881AD9"/>
    <w:rsid w:val="7BCD7445"/>
    <w:rsid w:val="7BF15108"/>
    <w:rsid w:val="7C580C2D"/>
    <w:rsid w:val="7C6F7552"/>
    <w:rsid w:val="7C7750F6"/>
    <w:rsid w:val="7C780AA3"/>
    <w:rsid w:val="7C9A7858"/>
    <w:rsid w:val="7C9D34C4"/>
    <w:rsid w:val="7CAD6D69"/>
    <w:rsid w:val="7CD335AB"/>
    <w:rsid w:val="7D256900"/>
    <w:rsid w:val="7D351DF8"/>
    <w:rsid w:val="7D7B648E"/>
    <w:rsid w:val="7D8F021D"/>
    <w:rsid w:val="7DC73E5B"/>
    <w:rsid w:val="7E556AAE"/>
    <w:rsid w:val="7EA65570"/>
    <w:rsid w:val="7EB10D93"/>
    <w:rsid w:val="7F17496E"/>
    <w:rsid w:val="7F2D7CEE"/>
    <w:rsid w:val="7F360DB0"/>
    <w:rsid w:val="7FB46BB3"/>
    <w:rsid w:val="7FD10FC1"/>
    <w:rsid w:val="7FDA73B3"/>
    <w:rsid w:val="7FEA779A"/>
    <w:rsid w:val="7FFB79E6"/>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5"/>
    <w:autoRedefine/>
    <w:qFormat/>
    <w:uiPriority w:val="0"/>
    <w:pPr>
      <w:keepNext/>
      <w:keepLines/>
      <w:spacing w:before="340" w:after="330" w:line="360" w:lineRule="auto"/>
      <w:jc w:val="center"/>
      <w:outlineLvl w:val="0"/>
    </w:pPr>
    <w:rPr>
      <w:b/>
      <w:bCs/>
      <w:kern w:val="44"/>
      <w:sz w:val="24"/>
      <w:szCs w:val="44"/>
    </w:rPr>
  </w:style>
  <w:style w:type="paragraph" w:styleId="3">
    <w:name w:val="heading 2"/>
    <w:basedOn w:val="1"/>
    <w:next w:val="1"/>
    <w:autoRedefine/>
    <w:qFormat/>
    <w:uiPriority w:val="0"/>
    <w:pPr>
      <w:keepNext/>
      <w:keepLines/>
      <w:spacing w:before="260" w:after="260"/>
      <w:jc w:val="left"/>
      <w:outlineLvl w:val="1"/>
    </w:pPr>
    <w:rPr>
      <w:rFonts w:ascii="Arial" w:hAnsi="Arial"/>
      <w:b/>
      <w:bCs/>
      <w:sz w:val="24"/>
      <w:szCs w:val="32"/>
    </w:rPr>
  </w:style>
  <w:style w:type="paragraph" w:styleId="4">
    <w:name w:val="heading 3"/>
    <w:basedOn w:val="1"/>
    <w:next w:val="1"/>
    <w:autoRedefine/>
    <w:qFormat/>
    <w:uiPriority w:val="0"/>
    <w:pPr>
      <w:keepNext/>
      <w:keepLines/>
      <w:spacing w:before="260" w:after="260" w:line="413" w:lineRule="auto"/>
      <w:outlineLvl w:val="2"/>
    </w:pPr>
    <w:rPr>
      <w:b/>
      <w:bCs/>
      <w:sz w:val="32"/>
      <w:szCs w:val="32"/>
    </w:rPr>
  </w:style>
  <w:style w:type="paragraph" w:styleId="5">
    <w:name w:val="heading 4"/>
    <w:basedOn w:val="1"/>
    <w:next w:val="1"/>
    <w:link w:val="83"/>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35"/>
    <w:autoRedefine/>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1"/>
    <w:next w:val="1"/>
    <w:link w:val="107"/>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144"/>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9"/>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164"/>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18"/>
    </w:rPr>
  </w:style>
  <w:style w:type="paragraph" w:styleId="12">
    <w:name w:val="Note Heading"/>
    <w:basedOn w:val="1"/>
    <w:next w:val="1"/>
    <w:autoRedefine/>
    <w:qFormat/>
    <w:uiPriority w:val="99"/>
    <w:pPr>
      <w:jc w:val="center"/>
    </w:pPr>
    <w:rPr>
      <w:szCs w:val="20"/>
    </w:rPr>
  </w:style>
  <w:style w:type="paragraph" w:styleId="13">
    <w:name w:val="Normal Indent"/>
    <w:basedOn w:val="1"/>
    <w:autoRedefine/>
    <w:qFormat/>
    <w:uiPriority w:val="0"/>
    <w:pPr>
      <w:ind w:firstLine="420" w:firstLineChars="200"/>
    </w:pPr>
  </w:style>
  <w:style w:type="paragraph" w:styleId="14">
    <w:name w:val="Document Map"/>
    <w:basedOn w:val="1"/>
    <w:link w:val="173"/>
    <w:autoRedefine/>
    <w:qFormat/>
    <w:uiPriority w:val="0"/>
    <w:pPr>
      <w:shd w:val="clear" w:color="auto" w:fill="000080"/>
    </w:pPr>
  </w:style>
  <w:style w:type="paragraph" w:styleId="15">
    <w:name w:val="annotation text"/>
    <w:basedOn w:val="1"/>
    <w:link w:val="147"/>
    <w:autoRedefine/>
    <w:qFormat/>
    <w:uiPriority w:val="0"/>
    <w:pPr>
      <w:jc w:val="left"/>
    </w:pPr>
  </w:style>
  <w:style w:type="paragraph" w:styleId="16">
    <w:name w:val="Body Text 3"/>
    <w:basedOn w:val="1"/>
    <w:link w:val="129"/>
    <w:autoRedefine/>
    <w:qFormat/>
    <w:uiPriority w:val="0"/>
    <w:rPr>
      <w:rFonts w:ascii="宋体"/>
      <w:sz w:val="24"/>
      <w:szCs w:val="20"/>
    </w:rPr>
  </w:style>
  <w:style w:type="paragraph" w:styleId="17">
    <w:name w:val="Body Text"/>
    <w:basedOn w:val="1"/>
    <w:next w:val="1"/>
    <w:link w:val="132"/>
    <w:autoRedefine/>
    <w:qFormat/>
    <w:uiPriority w:val="0"/>
    <w:pPr>
      <w:jc w:val="center"/>
    </w:pPr>
    <w:rPr>
      <w:b/>
      <w:bCs/>
      <w:sz w:val="44"/>
      <w:szCs w:val="20"/>
    </w:rPr>
  </w:style>
  <w:style w:type="paragraph" w:styleId="18">
    <w:name w:val="Body Text Indent"/>
    <w:basedOn w:val="1"/>
    <w:link w:val="114"/>
    <w:autoRedefine/>
    <w:qFormat/>
    <w:uiPriority w:val="0"/>
    <w:pPr>
      <w:spacing w:line="500" w:lineRule="exact"/>
      <w:ind w:firstLine="538"/>
    </w:pPr>
    <w:rPr>
      <w:sz w:val="28"/>
    </w:rPr>
  </w:style>
  <w:style w:type="paragraph" w:styleId="19">
    <w:name w:val="List Continue"/>
    <w:basedOn w:val="1"/>
    <w:autoRedefine/>
    <w:qFormat/>
    <w:uiPriority w:val="0"/>
    <w:pPr>
      <w:spacing w:after="120"/>
      <w:ind w:left="420"/>
    </w:pPr>
  </w:style>
  <w:style w:type="paragraph" w:styleId="20">
    <w:name w:val="Block Text"/>
    <w:basedOn w:val="1"/>
    <w:next w:val="17"/>
    <w:autoRedefine/>
    <w:qFormat/>
    <w:uiPriority w:val="0"/>
    <w:pPr>
      <w:spacing w:line="400" w:lineRule="exact"/>
      <w:ind w:left="-359" w:leftChars="-171" w:right="31" w:rightChars="15" w:firstLine="980" w:firstLineChars="350"/>
    </w:pPr>
    <w:rPr>
      <w:rFonts w:ascii="宋体" w:hAnsi="宋体"/>
      <w:sz w:val="28"/>
      <w:szCs w:val="32"/>
    </w:rPr>
  </w:style>
  <w:style w:type="paragraph" w:styleId="21">
    <w:name w:val="toc 5"/>
    <w:basedOn w:val="1"/>
    <w:next w:val="1"/>
    <w:autoRedefine/>
    <w:qFormat/>
    <w:uiPriority w:val="0"/>
    <w:pPr>
      <w:ind w:left="840"/>
      <w:jc w:val="left"/>
    </w:pPr>
    <w:rPr>
      <w:sz w:val="18"/>
      <w:szCs w:val="18"/>
    </w:rPr>
  </w:style>
  <w:style w:type="paragraph" w:styleId="22">
    <w:name w:val="toc 3"/>
    <w:basedOn w:val="1"/>
    <w:next w:val="1"/>
    <w:autoRedefine/>
    <w:qFormat/>
    <w:uiPriority w:val="0"/>
    <w:pPr>
      <w:ind w:left="420"/>
      <w:jc w:val="left"/>
    </w:pPr>
    <w:rPr>
      <w:i/>
      <w:iCs/>
      <w:sz w:val="20"/>
      <w:szCs w:val="20"/>
    </w:rPr>
  </w:style>
  <w:style w:type="paragraph" w:styleId="23">
    <w:name w:val="Plain Text"/>
    <w:basedOn w:val="1"/>
    <w:link w:val="126"/>
    <w:autoRedefine/>
    <w:qFormat/>
    <w:uiPriority w:val="0"/>
    <w:rPr>
      <w:rFonts w:ascii="Courier New" w:hAnsi="Courier New"/>
      <w:szCs w:val="20"/>
    </w:rPr>
  </w:style>
  <w:style w:type="paragraph" w:styleId="24">
    <w:name w:val="toc 8"/>
    <w:basedOn w:val="1"/>
    <w:next w:val="1"/>
    <w:autoRedefine/>
    <w:qFormat/>
    <w:uiPriority w:val="0"/>
    <w:pPr>
      <w:ind w:left="1470"/>
      <w:jc w:val="left"/>
    </w:pPr>
    <w:rPr>
      <w:sz w:val="18"/>
      <w:szCs w:val="18"/>
    </w:rPr>
  </w:style>
  <w:style w:type="paragraph" w:styleId="25">
    <w:name w:val="Date"/>
    <w:basedOn w:val="1"/>
    <w:next w:val="1"/>
    <w:link w:val="168"/>
    <w:autoRedefine/>
    <w:qFormat/>
    <w:uiPriority w:val="0"/>
    <w:rPr>
      <w:rFonts w:ascii="仿宋_GB2312" w:eastAsia="仿宋_GB2312"/>
      <w:sz w:val="30"/>
    </w:rPr>
  </w:style>
  <w:style w:type="paragraph" w:styleId="26">
    <w:name w:val="Body Text Indent 2"/>
    <w:basedOn w:val="1"/>
    <w:autoRedefine/>
    <w:qFormat/>
    <w:uiPriority w:val="0"/>
    <w:pPr>
      <w:spacing w:line="360" w:lineRule="exact"/>
      <w:ind w:firstLine="600" w:firstLineChars="250"/>
      <w:jc w:val="left"/>
    </w:pPr>
    <w:rPr>
      <w:sz w:val="24"/>
    </w:rPr>
  </w:style>
  <w:style w:type="paragraph" w:styleId="27">
    <w:name w:val="Balloon Text"/>
    <w:basedOn w:val="1"/>
    <w:link w:val="119"/>
    <w:autoRedefine/>
    <w:qFormat/>
    <w:uiPriority w:val="0"/>
    <w:rPr>
      <w:sz w:val="18"/>
      <w:szCs w:val="18"/>
    </w:rPr>
  </w:style>
  <w:style w:type="paragraph" w:styleId="28">
    <w:name w:val="footer"/>
    <w:basedOn w:val="1"/>
    <w:link w:val="70"/>
    <w:autoRedefine/>
    <w:qFormat/>
    <w:uiPriority w:val="0"/>
    <w:pPr>
      <w:tabs>
        <w:tab w:val="center" w:pos="4153"/>
        <w:tab w:val="right" w:pos="8306"/>
      </w:tabs>
      <w:snapToGrid w:val="0"/>
      <w:jc w:val="left"/>
    </w:pPr>
    <w:rPr>
      <w:sz w:val="18"/>
      <w:szCs w:val="18"/>
    </w:rPr>
  </w:style>
  <w:style w:type="paragraph" w:styleId="29">
    <w:name w:val="envelope return"/>
    <w:basedOn w:val="1"/>
    <w:next w:val="11"/>
    <w:autoRedefine/>
    <w:qFormat/>
    <w:uiPriority w:val="0"/>
    <w:pPr>
      <w:snapToGrid w:val="0"/>
    </w:pPr>
    <w:rPr>
      <w:rFonts w:ascii="Arial" w:hAnsi="Arial"/>
    </w:rPr>
  </w:style>
  <w:style w:type="paragraph" w:styleId="30">
    <w:name w:val="header"/>
    <w:basedOn w:val="1"/>
    <w:link w:val="184"/>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0"/>
    <w:pPr>
      <w:spacing w:before="120" w:after="120"/>
      <w:jc w:val="left"/>
    </w:pPr>
    <w:rPr>
      <w:b/>
      <w:bCs/>
      <w:caps/>
      <w:sz w:val="20"/>
      <w:szCs w:val="20"/>
    </w:rPr>
  </w:style>
  <w:style w:type="paragraph" w:styleId="32">
    <w:name w:val="toc 4"/>
    <w:basedOn w:val="1"/>
    <w:next w:val="1"/>
    <w:autoRedefine/>
    <w:qFormat/>
    <w:uiPriority w:val="0"/>
    <w:pPr>
      <w:ind w:left="630"/>
      <w:jc w:val="left"/>
    </w:pPr>
    <w:rPr>
      <w:sz w:val="18"/>
      <w:szCs w:val="18"/>
    </w:rPr>
  </w:style>
  <w:style w:type="paragraph" w:styleId="33">
    <w:name w:val="List"/>
    <w:basedOn w:val="1"/>
    <w:autoRedefine/>
    <w:qFormat/>
    <w:uiPriority w:val="0"/>
    <w:pPr>
      <w:ind w:left="420" w:hanging="420"/>
    </w:pPr>
    <w:rPr>
      <w:rFonts w:ascii="Arial" w:hAnsi="Arial" w:eastAsia="楷体_GB2312"/>
      <w:sz w:val="28"/>
      <w:szCs w:val="20"/>
    </w:rPr>
  </w:style>
  <w:style w:type="paragraph" w:styleId="34">
    <w:name w:val="footnote text"/>
    <w:basedOn w:val="1"/>
    <w:link w:val="125"/>
    <w:autoRedefine/>
    <w:qFormat/>
    <w:uiPriority w:val="0"/>
    <w:rPr>
      <w:sz w:val="20"/>
      <w:szCs w:val="20"/>
    </w:rPr>
  </w:style>
  <w:style w:type="paragraph" w:styleId="35">
    <w:name w:val="toc 6"/>
    <w:basedOn w:val="1"/>
    <w:next w:val="36"/>
    <w:autoRedefine/>
    <w:qFormat/>
    <w:uiPriority w:val="0"/>
    <w:pPr>
      <w:ind w:left="1050"/>
      <w:jc w:val="left"/>
    </w:pPr>
    <w:rPr>
      <w:sz w:val="18"/>
      <w:szCs w:val="18"/>
    </w:rPr>
  </w:style>
  <w:style w:type="paragraph" w:customStyle="1" w:styleId="36">
    <w:name w:val="xl76"/>
    <w:basedOn w:val="1"/>
    <w:next w:val="37"/>
    <w:autoRedefine/>
    <w:qFormat/>
    <w:uiPriority w:val="0"/>
    <w:pPr>
      <w:widowControl/>
    </w:pPr>
    <w:rPr>
      <w:rFonts w:ascii="Arial Unicode MS" w:eastAsia="Arial Unicode MS"/>
      <w:b/>
      <w:sz w:val="18"/>
    </w:rPr>
  </w:style>
  <w:style w:type="paragraph" w:customStyle="1" w:styleId="37">
    <w:name w:val="xl56"/>
    <w:basedOn w:val="1"/>
    <w:next w:val="38"/>
    <w:autoRedefine/>
    <w:qFormat/>
    <w:uiPriority w:val="0"/>
    <w:pPr>
      <w:widowControl/>
      <w:jc w:val="center"/>
    </w:pPr>
    <w:rPr>
      <w:rFonts w:ascii="Arial Unicode MS" w:eastAsia="Arial Unicode MS"/>
      <w:sz w:val="18"/>
    </w:rPr>
  </w:style>
  <w:style w:type="paragraph" w:customStyle="1" w:styleId="38">
    <w:name w:val="xl32"/>
    <w:basedOn w:val="1"/>
    <w:next w:val="1"/>
    <w:autoRedefine/>
    <w:qFormat/>
    <w:uiPriority w:val="0"/>
    <w:pPr>
      <w:widowControl/>
      <w:jc w:val="right"/>
    </w:pPr>
    <w:rPr>
      <w:rFonts w:ascii="Arial Unicode MS" w:eastAsia="Arial Unicode MS"/>
      <w:sz w:val="18"/>
    </w:rPr>
  </w:style>
  <w:style w:type="paragraph" w:styleId="39">
    <w:name w:val="Body Text Indent 3"/>
    <w:basedOn w:val="1"/>
    <w:link w:val="71"/>
    <w:autoRedefine/>
    <w:qFormat/>
    <w:uiPriority w:val="0"/>
    <w:pPr>
      <w:spacing w:after="120"/>
      <w:ind w:left="420" w:leftChars="200"/>
    </w:pPr>
    <w:rPr>
      <w:sz w:val="16"/>
      <w:szCs w:val="16"/>
    </w:rPr>
  </w:style>
  <w:style w:type="paragraph" w:styleId="40">
    <w:name w:val="table of figures"/>
    <w:basedOn w:val="1"/>
    <w:next w:val="1"/>
    <w:autoRedefine/>
    <w:qFormat/>
    <w:uiPriority w:val="0"/>
    <w:pPr>
      <w:ind w:left="200" w:leftChars="200" w:hanging="200" w:hangingChars="200"/>
    </w:pPr>
  </w:style>
  <w:style w:type="paragraph" w:styleId="41">
    <w:name w:val="toc 2"/>
    <w:basedOn w:val="1"/>
    <w:next w:val="1"/>
    <w:autoRedefine/>
    <w:qFormat/>
    <w:uiPriority w:val="0"/>
    <w:pPr>
      <w:ind w:left="210"/>
      <w:jc w:val="left"/>
    </w:pPr>
    <w:rPr>
      <w:smallCaps/>
      <w:sz w:val="20"/>
      <w:szCs w:val="20"/>
    </w:rPr>
  </w:style>
  <w:style w:type="paragraph" w:styleId="42">
    <w:name w:val="toc 9"/>
    <w:basedOn w:val="1"/>
    <w:next w:val="1"/>
    <w:autoRedefine/>
    <w:qFormat/>
    <w:uiPriority w:val="0"/>
    <w:pPr>
      <w:ind w:left="1680"/>
      <w:jc w:val="left"/>
    </w:pPr>
    <w:rPr>
      <w:sz w:val="18"/>
      <w:szCs w:val="18"/>
    </w:rPr>
  </w:style>
  <w:style w:type="paragraph" w:styleId="43">
    <w:name w:val="Body Text 2"/>
    <w:basedOn w:val="1"/>
    <w:autoRedefine/>
    <w:qFormat/>
    <w:uiPriority w:val="0"/>
    <w:pPr>
      <w:spacing w:line="360" w:lineRule="auto"/>
      <w:ind w:firstLine="200" w:firstLineChars="200"/>
    </w:pPr>
  </w:style>
  <w:style w:type="paragraph" w:styleId="44">
    <w:name w:val="Message Header"/>
    <w:basedOn w:val="1"/>
    <w:next w:val="12"/>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5">
    <w:name w:val="HTML Preformatted"/>
    <w:basedOn w:val="1"/>
    <w:link w:val="15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rPr>
  </w:style>
  <w:style w:type="paragraph" w:styleId="46">
    <w:name w:val="Normal (Web)"/>
    <w:basedOn w:val="1"/>
    <w:autoRedefine/>
    <w:qFormat/>
    <w:uiPriority w:val="0"/>
    <w:pPr>
      <w:widowControl/>
      <w:jc w:val="left"/>
    </w:pPr>
    <w:rPr>
      <w:rFonts w:ascii="宋体" w:hAnsi="宋体" w:cs="宋体"/>
      <w:kern w:val="0"/>
      <w:sz w:val="18"/>
      <w:szCs w:val="18"/>
    </w:rPr>
  </w:style>
  <w:style w:type="paragraph" w:styleId="47">
    <w:name w:val="Title"/>
    <w:basedOn w:val="1"/>
    <w:next w:val="1"/>
    <w:link w:val="142"/>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8">
    <w:name w:val="annotation subject"/>
    <w:basedOn w:val="15"/>
    <w:next w:val="15"/>
    <w:link w:val="149"/>
    <w:autoRedefine/>
    <w:qFormat/>
    <w:uiPriority w:val="0"/>
    <w:rPr>
      <w:b/>
      <w:bCs/>
    </w:rPr>
  </w:style>
  <w:style w:type="paragraph" w:styleId="49">
    <w:name w:val="Body Text First Indent 2"/>
    <w:basedOn w:val="18"/>
    <w:next w:val="1"/>
    <w:link w:val="170"/>
    <w:autoRedefine/>
    <w:qFormat/>
    <w:uiPriority w:val="0"/>
    <w:pPr>
      <w:spacing w:after="120" w:line="240" w:lineRule="auto"/>
      <w:ind w:left="420" w:leftChars="200" w:firstLine="420" w:firstLineChars="200"/>
    </w:pPr>
    <w:rPr>
      <w:sz w:val="21"/>
    </w:r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autoRedefine/>
    <w:qFormat/>
    <w:uiPriority w:val="0"/>
    <w:rPr>
      <w:b/>
    </w:rPr>
  </w:style>
  <w:style w:type="character" w:styleId="54">
    <w:name w:val="page number"/>
    <w:autoRedefine/>
    <w:qFormat/>
    <w:uiPriority w:val="0"/>
  </w:style>
  <w:style w:type="character" w:styleId="55">
    <w:name w:val="FollowedHyperlink"/>
    <w:autoRedefine/>
    <w:unhideWhenUsed/>
    <w:qFormat/>
    <w:uiPriority w:val="0"/>
    <w:rPr>
      <w:color w:val="800080"/>
      <w:u w:val="none"/>
    </w:rPr>
  </w:style>
  <w:style w:type="character" w:styleId="56">
    <w:name w:val="Emphasis"/>
    <w:autoRedefine/>
    <w:qFormat/>
    <w:uiPriority w:val="0"/>
    <w:rPr>
      <w:color w:val="CC0033"/>
    </w:rPr>
  </w:style>
  <w:style w:type="character" w:styleId="57">
    <w:name w:val="HTML Definition"/>
    <w:autoRedefine/>
    <w:qFormat/>
    <w:uiPriority w:val="0"/>
  </w:style>
  <w:style w:type="character" w:styleId="58">
    <w:name w:val="HTML Typewriter"/>
    <w:autoRedefine/>
    <w:qFormat/>
    <w:uiPriority w:val="0"/>
    <w:rPr>
      <w:rFonts w:ascii="Monospace" w:hAnsi="Monospace" w:eastAsia="Monospace" w:cs="Monospace"/>
      <w:sz w:val="20"/>
      <w:lang w:bidi="ar-SA"/>
    </w:rPr>
  </w:style>
  <w:style w:type="character" w:styleId="59">
    <w:name w:val="HTML Acronym"/>
    <w:autoRedefine/>
    <w:qFormat/>
    <w:uiPriority w:val="0"/>
  </w:style>
  <w:style w:type="character" w:styleId="60">
    <w:name w:val="HTML Variable"/>
    <w:autoRedefine/>
    <w:qFormat/>
    <w:uiPriority w:val="0"/>
  </w:style>
  <w:style w:type="character" w:styleId="61">
    <w:name w:val="Hyperlink"/>
    <w:autoRedefine/>
    <w:qFormat/>
    <w:uiPriority w:val="0"/>
    <w:rPr>
      <w:color w:val="333333"/>
      <w:u w:val="none"/>
    </w:rPr>
  </w:style>
  <w:style w:type="character" w:styleId="62">
    <w:name w:val="HTML Code"/>
    <w:autoRedefine/>
    <w:qFormat/>
    <w:uiPriority w:val="0"/>
    <w:rPr>
      <w:rFonts w:ascii="Monospace" w:hAnsi="Monospace" w:eastAsia="Monospace" w:cs="Monospace"/>
      <w:sz w:val="20"/>
      <w:lang w:bidi="ar-SA"/>
    </w:rPr>
  </w:style>
  <w:style w:type="character" w:styleId="63">
    <w:name w:val="annotation reference"/>
    <w:autoRedefine/>
    <w:qFormat/>
    <w:uiPriority w:val="0"/>
    <w:rPr>
      <w:sz w:val="21"/>
      <w:szCs w:val="21"/>
    </w:rPr>
  </w:style>
  <w:style w:type="character" w:styleId="64">
    <w:name w:val="HTML Cite"/>
    <w:autoRedefine/>
    <w:qFormat/>
    <w:uiPriority w:val="0"/>
  </w:style>
  <w:style w:type="character" w:styleId="65">
    <w:name w:val="footnote reference"/>
    <w:autoRedefine/>
    <w:qFormat/>
    <w:uiPriority w:val="0"/>
    <w:rPr>
      <w:vertAlign w:val="superscript"/>
    </w:rPr>
  </w:style>
  <w:style w:type="character" w:styleId="66">
    <w:name w:val="HTML Keyboard"/>
    <w:autoRedefine/>
    <w:qFormat/>
    <w:uiPriority w:val="0"/>
    <w:rPr>
      <w:rFonts w:ascii="Monospace" w:hAnsi="Monospace" w:eastAsia="Monospace" w:cs="Monospace"/>
      <w:sz w:val="20"/>
      <w:lang w:bidi="ar-SA"/>
    </w:rPr>
  </w:style>
  <w:style w:type="character" w:styleId="67">
    <w:name w:val="HTML Sample"/>
    <w:autoRedefine/>
    <w:qFormat/>
    <w:uiPriority w:val="0"/>
    <w:rPr>
      <w:rFonts w:ascii="Monospace" w:hAnsi="Monospace" w:eastAsia="Monospace" w:cs="Monospace"/>
      <w:lang w:bidi="ar-SA"/>
    </w:rPr>
  </w:style>
  <w:style w:type="paragraph" w:customStyle="1" w:styleId="68">
    <w:name w:val="正文文字 8"/>
    <w:basedOn w:val="1"/>
    <w:next w:val="1"/>
    <w:autoRedefine/>
    <w:qFormat/>
    <w:uiPriority w:val="0"/>
    <w:pPr>
      <w:ind w:left="240"/>
    </w:pPr>
    <w:rPr>
      <w:sz w:val="16"/>
    </w:rPr>
  </w:style>
  <w:style w:type="character" w:customStyle="1" w:styleId="69">
    <w:name w:val="l21"/>
    <w:autoRedefine/>
    <w:qFormat/>
    <w:uiPriority w:val="0"/>
    <w:rPr>
      <w:color w:val="999999"/>
    </w:rPr>
  </w:style>
  <w:style w:type="character" w:customStyle="1" w:styleId="70">
    <w:name w:val="页脚 字符"/>
    <w:link w:val="28"/>
    <w:autoRedefine/>
    <w:qFormat/>
    <w:uiPriority w:val="0"/>
    <w:rPr>
      <w:kern w:val="2"/>
      <w:sz w:val="18"/>
      <w:szCs w:val="18"/>
    </w:rPr>
  </w:style>
  <w:style w:type="character" w:customStyle="1" w:styleId="71">
    <w:name w:val="正文文本缩进 3 字符"/>
    <w:link w:val="39"/>
    <w:autoRedefine/>
    <w:qFormat/>
    <w:uiPriority w:val="0"/>
    <w:rPr>
      <w:kern w:val="2"/>
      <w:sz w:val="16"/>
      <w:szCs w:val="16"/>
    </w:rPr>
  </w:style>
  <w:style w:type="character" w:customStyle="1" w:styleId="72">
    <w:name w:val="over"/>
    <w:autoRedefine/>
    <w:qFormat/>
    <w:uiPriority w:val="0"/>
    <w:rPr>
      <w:color w:val="B60000"/>
    </w:rPr>
  </w:style>
  <w:style w:type="character" w:customStyle="1" w:styleId="73">
    <w:name w:val="tit13"/>
    <w:autoRedefine/>
    <w:qFormat/>
    <w:uiPriority w:val="0"/>
    <w:rPr>
      <w:color w:val="FFFFFF"/>
    </w:rPr>
  </w:style>
  <w:style w:type="character" w:customStyle="1" w:styleId="74">
    <w:name w:val="tit15"/>
    <w:autoRedefine/>
    <w:qFormat/>
    <w:uiPriority w:val="0"/>
    <w:rPr>
      <w:b/>
      <w:color w:val="B60000"/>
    </w:rPr>
  </w:style>
  <w:style w:type="character" w:customStyle="1" w:styleId="75">
    <w:name w:val="mesg-myd"/>
    <w:autoRedefine/>
    <w:qFormat/>
    <w:uiPriority w:val="0"/>
    <w:rPr>
      <w:color w:val="EE0000"/>
    </w:rPr>
  </w:style>
  <w:style w:type="character" w:customStyle="1" w:styleId="76">
    <w:name w:val="img_title8"/>
    <w:autoRedefine/>
    <w:qFormat/>
    <w:uiPriority w:val="0"/>
    <w:rPr>
      <w:vanish/>
    </w:rPr>
  </w:style>
  <w:style w:type="character" w:customStyle="1" w:styleId="77">
    <w:name w:val="l11"/>
    <w:autoRedefine/>
    <w:qFormat/>
    <w:uiPriority w:val="0"/>
    <w:rPr>
      <w:color w:val="999999"/>
    </w:rPr>
  </w:style>
  <w:style w:type="character" w:customStyle="1" w:styleId="78">
    <w:name w:val="over1"/>
    <w:autoRedefine/>
    <w:qFormat/>
    <w:uiPriority w:val="0"/>
    <w:rPr>
      <w:color w:val="B60000"/>
    </w:rPr>
  </w:style>
  <w:style w:type="character" w:customStyle="1" w:styleId="79">
    <w:name w:val="Char Char7"/>
    <w:autoRedefine/>
    <w:qFormat/>
    <w:uiPriority w:val="0"/>
    <w:rPr>
      <w:rFonts w:ascii="Arial" w:hAnsi="Arial" w:eastAsia="黑体"/>
      <w:b/>
      <w:bCs/>
      <w:kern w:val="2"/>
      <w:sz w:val="32"/>
      <w:szCs w:val="32"/>
      <w:lang w:val="en-US" w:eastAsia="zh-CN" w:bidi="ar-SA"/>
    </w:rPr>
  </w:style>
  <w:style w:type="character" w:customStyle="1" w:styleId="80">
    <w:name w:val="Char Char5"/>
    <w:autoRedefine/>
    <w:qFormat/>
    <w:uiPriority w:val="0"/>
    <w:rPr>
      <w:rFonts w:ascii="Arial" w:hAnsi="Arial" w:eastAsia="黑体"/>
      <w:b/>
      <w:bCs/>
      <w:kern w:val="2"/>
      <w:sz w:val="32"/>
      <w:szCs w:val="32"/>
    </w:rPr>
  </w:style>
  <w:style w:type="character" w:customStyle="1" w:styleId="81">
    <w:name w:val="starting1"/>
    <w:autoRedefine/>
    <w:qFormat/>
    <w:uiPriority w:val="0"/>
    <w:rPr>
      <w:color w:val="339900"/>
    </w:rPr>
  </w:style>
  <w:style w:type="character" w:customStyle="1" w:styleId="82">
    <w:name w:val="num61"/>
    <w:autoRedefine/>
    <w:qFormat/>
    <w:uiPriority w:val="0"/>
  </w:style>
  <w:style w:type="character" w:customStyle="1" w:styleId="83">
    <w:name w:val="标题 4 字符"/>
    <w:link w:val="5"/>
    <w:autoRedefine/>
    <w:qFormat/>
    <w:uiPriority w:val="0"/>
    <w:rPr>
      <w:rFonts w:ascii="Arial" w:hAnsi="Arial" w:eastAsia="黑体"/>
      <w:b/>
      <w:bCs/>
      <w:kern w:val="2"/>
      <w:sz w:val="28"/>
      <w:szCs w:val="28"/>
    </w:rPr>
  </w:style>
  <w:style w:type="character" w:customStyle="1" w:styleId="84">
    <w:name w:val="z-窗体顶端 字符"/>
    <w:link w:val="85"/>
    <w:autoRedefine/>
    <w:qFormat/>
    <w:uiPriority w:val="0"/>
    <w:rPr>
      <w:rFonts w:ascii="Arial" w:hAnsi="Calibri"/>
      <w:vanish/>
      <w:kern w:val="2"/>
      <w:sz w:val="16"/>
      <w:szCs w:val="24"/>
    </w:rPr>
  </w:style>
  <w:style w:type="paragraph" w:customStyle="1" w:styleId="85">
    <w:name w:val="z-窗体顶端1"/>
    <w:basedOn w:val="1"/>
    <w:next w:val="1"/>
    <w:link w:val="84"/>
    <w:autoRedefine/>
    <w:qFormat/>
    <w:uiPriority w:val="0"/>
    <w:pPr>
      <w:pBdr>
        <w:bottom w:val="single" w:color="auto" w:sz="6" w:space="1"/>
      </w:pBdr>
      <w:jc w:val="center"/>
    </w:pPr>
    <w:rPr>
      <w:rFonts w:ascii="Arial" w:hAnsi="Calibri"/>
      <w:vanish/>
      <w:sz w:val="16"/>
    </w:rPr>
  </w:style>
  <w:style w:type="character" w:customStyle="1" w:styleId="86">
    <w:name w:val="z-窗体底端 字符"/>
    <w:link w:val="87"/>
    <w:autoRedefine/>
    <w:qFormat/>
    <w:uiPriority w:val="0"/>
    <w:rPr>
      <w:rFonts w:ascii="Arial" w:hAnsi="Calibri"/>
      <w:vanish/>
      <w:kern w:val="2"/>
      <w:sz w:val="16"/>
      <w:szCs w:val="24"/>
    </w:rPr>
  </w:style>
  <w:style w:type="paragraph" w:customStyle="1" w:styleId="87">
    <w:name w:val="z-窗体底端1"/>
    <w:basedOn w:val="1"/>
    <w:next w:val="1"/>
    <w:link w:val="86"/>
    <w:autoRedefine/>
    <w:qFormat/>
    <w:uiPriority w:val="0"/>
    <w:pPr>
      <w:pBdr>
        <w:top w:val="single" w:color="auto" w:sz="6" w:space="1"/>
      </w:pBdr>
      <w:jc w:val="center"/>
    </w:pPr>
    <w:rPr>
      <w:rFonts w:ascii="Arial" w:hAnsi="Calibri"/>
      <w:vanish/>
      <w:sz w:val="16"/>
    </w:rPr>
  </w:style>
  <w:style w:type="character" w:customStyle="1" w:styleId="88">
    <w:name w:val="nostart3"/>
    <w:autoRedefine/>
    <w:qFormat/>
    <w:uiPriority w:val="0"/>
  </w:style>
  <w:style w:type="character" w:customStyle="1" w:styleId="89">
    <w:name w:val="标题 8 字符"/>
    <w:link w:val="9"/>
    <w:autoRedefine/>
    <w:qFormat/>
    <w:uiPriority w:val="0"/>
    <w:rPr>
      <w:rFonts w:ascii="Arial" w:hAnsi="Arial" w:eastAsia="黑体"/>
      <w:sz w:val="24"/>
      <w:szCs w:val="24"/>
    </w:rPr>
  </w:style>
  <w:style w:type="character" w:customStyle="1" w:styleId="90">
    <w:name w:val="bsharetext"/>
    <w:autoRedefine/>
    <w:qFormat/>
    <w:uiPriority w:val="0"/>
  </w:style>
  <w:style w:type="character" w:customStyle="1" w:styleId="91">
    <w:name w:val="name"/>
    <w:autoRedefine/>
    <w:qFormat/>
    <w:uiPriority w:val="0"/>
    <w:rPr>
      <w:color w:val="444444"/>
      <w:sz w:val="21"/>
      <w:szCs w:val="21"/>
    </w:rPr>
  </w:style>
  <w:style w:type="character" w:customStyle="1" w:styleId="92">
    <w:name w:val="Char Char2"/>
    <w:autoRedefine/>
    <w:qFormat/>
    <w:uiPriority w:val="0"/>
    <w:rPr>
      <w:rFonts w:eastAsia="宋体"/>
      <w:kern w:val="2"/>
      <w:sz w:val="21"/>
      <w:szCs w:val="24"/>
      <w:lang w:val="en-US" w:eastAsia="zh-CN" w:bidi="ar-SA"/>
    </w:rPr>
  </w:style>
  <w:style w:type="character" w:customStyle="1" w:styleId="93">
    <w:name w:val="tit12"/>
    <w:autoRedefine/>
    <w:qFormat/>
    <w:uiPriority w:val="0"/>
    <w:rPr>
      <w:color w:val="04A06C"/>
    </w:rPr>
  </w:style>
  <w:style w:type="character" w:customStyle="1" w:styleId="94">
    <w:name w:val="starting"/>
    <w:autoRedefine/>
    <w:qFormat/>
    <w:uiPriority w:val="0"/>
    <w:rPr>
      <w:color w:val="339900"/>
    </w:rPr>
  </w:style>
  <w:style w:type="character" w:customStyle="1" w:styleId="95">
    <w:name w:val="纯文本 Char1"/>
    <w:autoRedefine/>
    <w:qFormat/>
    <w:uiPriority w:val="0"/>
    <w:rPr>
      <w:rFonts w:ascii="Courier New" w:hAnsi="Courier New" w:eastAsia="宋体"/>
      <w:kern w:val="2"/>
      <w:sz w:val="21"/>
      <w:lang w:val="en-US" w:eastAsia="zh-CN" w:bidi="ar-SA"/>
    </w:rPr>
  </w:style>
  <w:style w:type="character" w:customStyle="1" w:styleId="96">
    <w:name w:val="tit10"/>
    <w:autoRedefine/>
    <w:qFormat/>
    <w:uiPriority w:val="0"/>
    <w:rPr>
      <w:color w:val="B60000"/>
    </w:rPr>
  </w:style>
  <w:style w:type="character" w:customStyle="1" w:styleId="97">
    <w:name w:val="job1"/>
    <w:autoRedefine/>
    <w:qFormat/>
    <w:uiPriority w:val="0"/>
  </w:style>
  <w:style w:type="character" w:customStyle="1" w:styleId="98">
    <w:name w:val="font61"/>
    <w:autoRedefine/>
    <w:qFormat/>
    <w:uiPriority w:val="0"/>
    <w:rPr>
      <w:rFonts w:ascii="Calibri" w:hAnsi="Calibri" w:cs="Calibri"/>
      <w:color w:val="000000"/>
      <w:sz w:val="24"/>
      <w:szCs w:val="24"/>
      <w:u w:val="none"/>
    </w:rPr>
  </w:style>
  <w:style w:type="character" w:customStyle="1" w:styleId="99">
    <w:name w:val="num210"/>
    <w:autoRedefine/>
    <w:qFormat/>
    <w:uiPriority w:val="0"/>
  </w:style>
  <w:style w:type="character" w:customStyle="1" w:styleId="100">
    <w:name w:val="job"/>
    <w:autoRedefine/>
    <w:qFormat/>
    <w:uiPriority w:val="0"/>
  </w:style>
  <w:style w:type="character" w:customStyle="1" w:styleId="101">
    <w:name w:val="msg-box28"/>
    <w:autoRedefine/>
    <w:qFormat/>
    <w:uiPriority w:val="0"/>
  </w:style>
  <w:style w:type="character" w:customStyle="1" w:styleId="102">
    <w:name w:val="17"/>
    <w:autoRedefine/>
    <w:qFormat/>
    <w:uiPriority w:val="0"/>
    <w:rPr>
      <w:rFonts w:ascii="仿宋_GB2312" w:eastAsia="仿宋_GB2312"/>
      <w:color w:val="auto"/>
      <w:sz w:val="28"/>
      <w:szCs w:val="28"/>
      <w:u w:val="single"/>
    </w:rPr>
  </w:style>
  <w:style w:type="character" w:customStyle="1" w:styleId="103">
    <w:name w:val="msg-box30"/>
    <w:autoRedefine/>
    <w:qFormat/>
    <w:uiPriority w:val="0"/>
  </w:style>
  <w:style w:type="character" w:customStyle="1" w:styleId="104">
    <w:name w:val="over2"/>
    <w:autoRedefine/>
    <w:qFormat/>
    <w:uiPriority w:val="0"/>
    <w:rPr>
      <w:color w:val="999999"/>
    </w:rPr>
  </w:style>
  <w:style w:type="character" w:customStyle="1" w:styleId="105">
    <w:name w:val="starting4"/>
    <w:autoRedefine/>
    <w:qFormat/>
    <w:uiPriority w:val="0"/>
  </w:style>
  <w:style w:type="character" w:customStyle="1" w:styleId="106">
    <w:name w:val="datetime"/>
    <w:autoRedefine/>
    <w:qFormat/>
    <w:uiPriority w:val="0"/>
    <w:rPr>
      <w:rFonts w:ascii="Arial" w:hAnsi="Arial" w:cs="Arial"/>
      <w:color w:val="999999"/>
      <w:sz w:val="21"/>
      <w:szCs w:val="21"/>
      <w:lang w:bidi="ar-SA"/>
    </w:rPr>
  </w:style>
  <w:style w:type="character" w:customStyle="1" w:styleId="107">
    <w:name w:val="标题 6 字符"/>
    <w:link w:val="7"/>
    <w:autoRedefine/>
    <w:qFormat/>
    <w:uiPriority w:val="0"/>
    <w:rPr>
      <w:rFonts w:ascii="Arial" w:hAnsi="Arial" w:eastAsia="黑体"/>
      <w:b/>
      <w:bCs/>
      <w:sz w:val="24"/>
      <w:szCs w:val="24"/>
    </w:rPr>
  </w:style>
  <w:style w:type="character" w:customStyle="1" w:styleId="108">
    <w:name w:val="red"/>
    <w:autoRedefine/>
    <w:qFormat/>
    <w:uiPriority w:val="0"/>
    <w:rPr>
      <w:rFonts w:ascii="Arial" w:hAnsi="Arial" w:cs="Arial"/>
      <w:color w:val="E50000"/>
      <w:lang w:bidi="ar-SA"/>
    </w:rPr>
  </w:style>
  <w:style w:type="character" w:customStyle="1" w:styleId="109">
    <w:name w:val="tit14"/>
    <w:autoRedefine/>
    <w:qFormat/>
    <w:uiPriority w:val="0"/>
    <w:rPr>
      <w:color w:val="B60000"/>
    </w:rPr>
  </w:style>
  <w:style w:type="character" w:customStyle="1" w:styleId="110">
    <w:name w:val="img_title9"/>
    <w:autoRedefine/>
    <w:qFormat/>
    <w:uiPriority w:val="0"/>
    <w:rPr>
      <w:vanish/>
    </w:rPr>
  </w:style>
  <w:style w:type="character" w:customStyle="1" w:styleId="111">
    <w:name w:val="p05"/>
    <w:autoRedefine/>
    <w:qFormat/>
    <w:uiPriority w:val="0"/>
  </w:style>
  <w:style w:type="character" w:customStyle="1" w:styleId="112">
    <w:name w:val="nostart2"/>
    <w:autoRedefine/>
    <w:qFormat/>
    <w:uiPriority w:val="0"/>
    <w:rPr>
      <w:color w:val="B60000"/>
    </w:rPr>
  </w:style>
  <w:style w:type="character" w:customStyle="1" w:styleId="113">
    <w:name w:val="img_title6"/>
    <w:autoRedefine/>
    <w:qFormat/>
    <w:uiPriority w:val="0"/>
    <w:rPr>
      <w:vanish/>
    </w:rPr>
  </w:style>
  <w:style w:type="character" w:customStyle="1" w:styleId="114">
    <w:name w:val="正文文本缩进 字符"/>
    <w:link w:val="18"/>
    <w:autoRedefine/>
    <w:qFormat/>
    <w:uiPriority w:val="0"/>
    <w:rPr>
      <w:kern w:val="2"/>
      <w:sz w:val="28"/>
      <w:szCs w:val="24"/>
    </w:rPr>
  </w:style>
  <w:style w:type="character" w:customStyle="1" w:styleId="115">
    <w:name w:val="Char Char71"/>
    <w:autoRedefine/>
    <w:qFormat/>
    <w:uiPriority w:val="0"/>
    <w:rPr>
      <w:rFonts w:ascii="Arial" w:hAnsi="Arial" w:eastAsia="黑体"/>
      <w:b/>
      <w:bCs/>
      <w:kern w:val="2"/>
      <w:sz w:val="32"/>
      <w:szCs w:val="32"/>
      <w:lang w:val="en-US" w:eastAsia="zh-CN" w:bidi="ar-SA"/>
    </w:rPr>
  </w:style>
  <w:style w:type="character" w:customStyle="1" w:styleId="116">
    <w:name w:val="Char Char8"/>
    <w:autoRedefine/>
    <w:qFormat/>
    <w:uiPriority w:val="0"/>
    <w:rPr>
      <w:rFonts w:ascii="Arial" w:hAnsi="Arial" w:eastAsia="黑体"/>
      <w:b/>
      <w:bCs/>
      <w:kern w:val="2"/>
      <w:sz w:val="32"/>
      <w:szCs w:val="32"/>
      <w:lang w:val="en-US" w:eastAsia="zh-CN" w:bidi="ar-SA"/>
    </w:rPr>
  </w:style>
  <w:style w:type="character" w:customStyle="1" w:styleId="117">
    <w:name w:val="num51"/>
    <w:autoRedefine/>
    <w:qFormat/>
    <w:uiPriority w:val="0"/>
  </w:style>
  <w:style w:type="character" w:customStyle="1" w:styleId="118">
    <w:name w:val="img_title7"/>
    <w:autoRedefine/>
    <w:qFormat/>
    <w:uiPriority w:val="0"/>
    <w:rPr>
      <w:vanish/>
    </w:rPr>
  </w:style>
  <w:style w:type="character" w:customStyle="1" w:styleId="119">
    <w:name w:val="批注框文本 字符"/>
    <w:link w:val="27"/>
    <w:autoRedefine/>
    <w:qFormat/>
    <w:uiPriority w:val="0"/>
    <w:rPr>
      <w:kern w:val="2"/>
      <w:sz w:val="18"/>
      <w:szCs w:val="18"/>
    </w:rPr>
  </w:style>
  <w:style w:type="character" w:customStyle="1" w:styleId="120">
    <w:name w:val="buvis"/>
    <w:autoRedefine/>
    <w:qFormat/>
    <w:uiPriority w:val="0"/>
    <w:rPr>
      <w:color w:val="999999"/>
    </w:rPr>
  </w:style>
  <w:style w:type="character" w:customStyle="1" w:styleId="121">
    <w:name w:val="num31"/>
    <w:autoRedefine/>
    <w:qFormat/>
    <w:uiPriority w:val="0"/>
  </w:style>
  <w:style w:type="character" w:customStyle="1" w:styleId="122">
    <w:name w:val="nostart"/>
    <w:autoRedefine/>
    <w:qFormat/>
    <w:uiPriority w:val="0"/>
    <w:rPr>
      <w:color w:val="FF0000"/>
    </w:rPr>
  </w:style>
  <w:style w:type="character" w:customStyle="1" w:styleId="123">
    <w:name w:val="unit"/>
    <w:autoRedefine/>
    <w:qFormat/>
    <w:uiPriority w:val="0"/>
    <w:rPr>
      <w:color w:val="999999"/>
    </w:rPr>
  </w:style>
  <w:style w:type="character" w:customStyle="1" w:styleId="124">
    <w:name w:val="l6"/>
    <w:autoRedefine/>
    <w:qFormat/>
    <w:uiPriority w:val="0"/>
    <w:rPr>
      <w:color w:val="999999"/>
    </w:rPr>
  </w:style>
  <w:style w:type="character" w:customStyle="1" w:styleId="125">
    <w:name w:val="脚注文本 字符"/>
    <w:link w:val="34"/>
    <w:autoRedefine/>
    <w:qFormat/>
    <w:uiPriority w:val="0"/>
    <w:rPr>
      <w:kern w:val="2"/>
    </w:rPr>
  </w:style>
  <w:style w:type="character" w:customStyle="1" w:styleId="126">
    <w:name w:val="纯文本 字符"/>
    <w:link w:val="23"/>
    <w:autoRedefine/>
    <w:qFormat/>
    <w:uiPriority w:val="0"/>
    <w:rPr>
      <w:rFonts w:ascii="Courier New" w:hAnsi="Courier New"/>
      <w:kern w:val="2"/>
      <w:sz w:val="21"/>
    </w:rPr>
  </w:style>
  <w:style w:type="character" w:customStyle="1" w:styleId="127">
    <w:name w:val="num81"/>
    <w:autoRedefine/>
    <w:qFormat/>
    <w:uiPriority w:val="0"/>
  </w:style>
  <w:style w:type="character" w:customStyle="1" w:styleId="128">
    <w:name w:val="Char Char81"/>
    <w:autoRedefine/>
    <w:qFormat/>
    <w:uiPriority w:val="0"/>
    <w:rPr>
      <w:rFonts w:ascii="Arial" w:hAnsi="Arial" w:eastAsia="黑体"/>
      <w:b/>
      <w:bCs/>
      <w:kern w:val="2"/>
      <w:sz w:val="32"/>
      <w:szCs w:val="32"/>
      <w:lang w:val="en-US" w:eastAsia="zh-CN" w:bidi="ar-SA"/>
    </w:rPr>
  </w:style>
  <w:style w:type="character" w:customStyle="1" w:styleId="129">
    <w:name w:val="正文文本 3 字符"/>
    <w:link w:val="16"/>
    <w:autoRedefine/>
    <w:qFormat/>
    <w:uiPriority w:val="0"/>
    <w:rPr>
      <w:rFonts w:ascii="宋体"/>
      <w:kern w:val="2"/>
      <w:sz w:val="24"/>
    </w:rPr>
  </w:style>
  <w:style w:type="character" w:customStyle="1" w:styleId="130">
    <w:name w:val="jg"/>
    <w:autoRedefine/>
    <w:qFormat/>
    <w:uiPriority w:val="0"/>
  </w:style>
  <w:style w:type="character" w:customStyle="1" w:styleId="131">
    <w:name w:val="16"/>
    <w:autoRedefine/>
    <w:qFormat/>
    <w:uiPriority w:val="0"/>
    <w:rPr>
      <w:rFonts w:ascii="仿宋_GB2312" w:eastAsia="仿宋_GB2312"/>
      <w:color w:val="auto"/>
      <w:sz w:val="28"/>
      <w:szCs w:val="28"/>
    </w:rPr>
  </w:style>
  <w:style w:type="character" w:customStyle="1" w:styleId="132">
    <w:name w:val="正文文本 字符"/>
    <w:link w:val="17"/>
    <w:autoRedefine/>
    <w:qFormat/>
    <w:uiPriority w:val="0"/>
    <w:rPr>
      <w:b/>
      <w:bCs/>
      <w:kern w:val="2"/>
      <w:sz w:val="44"/>
    </w:rPr>
  </w:style>
  <w:style w:type="character" w:customStyle="1" w:styleId="133">
    <w:name w:val="Char Char1"/>
    <w:autoRedefine/>
    <w:qFormat/>
    <w:uiPriority w:val="0"/>
    <w:rPr>
      <w:rFonts w:eastAsia="宋体"/>
      <w:kern w:val="2"/>
      <w:sz w:val="21"/>
      <w:szCs w:val="24"/>
      <w:lang w:val="en-US" w:eastAsia="zh-CN" w:bidi="ar-SA"/>
    </w:rPr>
  </w:style>
  <w:style w:type="character" w:customStyle="1" w:styleId="134">
    <w:name w:val="starting3"/>
    <w:autoRedefine/>
    <w:qFormat/>
    <w:uiPriority w:val="0"/>
  </w:style>
  <w:style w:type="character" w:customStyle="1" w:styleId="135">
    <w:name w:val="标题 5 字符"/>
    <w:link w:val="6"/>
    <w:autoRedefine/>
    <w:qFormat/>
    <w:uiPriority w:val="0"/>
    <w:rPr>
      <w:rFonts w:ascii="Calibri" w:hAnsi="Calibri"/>
      <w:b/>
      <w:bCs/>
      <w:kern w:val="2"/>
      <w:sz w:val="28"/>
      <w:szCs w:val="28"/>
    </w:rPr>
  </w:style>
  <w:style w:type="character" w:customStyle="1" w:styleId="136">
    <w:name w:val="l51"/>
    <w:autoRedefine/>
    <w:qFormat/>
    <w:uiPriority w:val="0"/>
    <w:rPr>
      <w:color w:val="999999"/>
    </w:rPr>
  </w:style>
  <w:style w:type="character" w:customStyle="1" w:styleId="137">
    <w:name w:val="Char Char Char"/>
    <w:autoRedefine/>
    <w:qFormat/>
    <w:uiPriority w:val="0"/>
    <w:rPr>
      <w:rFonts w:eastAsia="宋体"/>
      <w:b/>
      <w:bCs/>
      <w:kern w:val="44"/>
      <w:sz w:val="44"/>
      <w:szCs w:val="44"/>
      <w:lang w:val="en-US" w:eastAsia="zh-CN" w:bidi="ar-SA"/>
    </w:rPr>
  </w:style>
  <w:style w:type="character" w:customStyle="1" w:styleId="138">
    <w:name w:val="starting2"/>
    <w:autoRedefine/>
    <w:qFormat/>
    <w:uiPriority w:val="0"/>
    <w:rPr>
      <w:color w:val="B60000"/>
    </w:rPr>
  </w:style>
  <w:style w:type="character" w:customStyle="1" w:styleId="139">
    <w:name w:val="zs"/>
    <w:autoRedefine/>
    <w:qFormat/>
    <w:uiPriority w:val="0"/>
    <w:rPr>
      <w:color w:val="8D744B"/>
      <w:sz w:val="18"/>
      <w:szCs w:val="18"/>
    </w:rPr>
  </w:style>
  <w:style w:type="character" w:customStyle="1" w:styleId="140">
    <w:name w:val="font161"/>
    <w:autoRedefine/>
    <w:qFormat/>
    <w:uiPriority w:val="0"/>
    <w:rPr>
      <w:b/>
      <w:bCs/>
      <w:sz w:val="32"/>
      <w:szCs w:val="32"/>
    </w:rPr>
  </w:style>
  <w:style w:type="character" w:customStyle="1" w:styleId="141">
    <w:name w:val="nostart1"/>
    <w:autoRedefine/>
    <w:qFormat/>
    <w:uiPriority w:val="0"/>
    <w:rPr>
      <w:color w:val="FF0000"/>
    </w:rPr>
  </w:style>
  <w:style w:type="character" w:customStyle="1" w:styleId="142">
    <w:name w:val="标题 字符"/>
    <w:link w:val="47"/>
    <w:autoRedefine/>
    <w:qFormat/>
    <w:uiPriority w:val="0"/>
    <w:rPr>
      <w:rFonts w:ascii="Arial" w:hAnsi="Arial"/>
      <w:b/>
      <w:sz w:val="32"/>
    </w:rPr>
  </w:style>
  <w:style w:type="character" w:customStyle="1" w:styleId="143">
    <w:name w:val="msg-box29"/>
    <w:autoRedefine/>
    <w:qFormat/>
    <w:uiPriority w:val="0"/>
  </w:style>
  <w:style w:type="character" w:customStyle="1" w:styleId="144">
    <w:name w:val="标题 7 字符"/>
    <w:link w:val="8"/>
    <w:autoRedefine/>
    <w:qFormat/>
    <w:uiPriority w:val="0"/>
    <w:rPr>
      <w:b/>
      <w:bCs/>
      <w:sz w:val="24"/>
      <w:szCs w:val="24"/>
    </w:rPr>
  </w:style>
  <w:style w:type="character" w:customStyle="1" w:styleId="145">
    <w:name w:val="over3"/>
    <w:autoRedefine/>
    <w:qFormat/>
    <w:uiPriority w:val="0"/>
  </w:style>
  <w:style w:type="character" w:customStyle="1" w:styleId="146">
    <w:name w:val="l41"/>
    <w:autoRedefine/>
    <w:qFormat/>
    <w:uiPriority w:val="0"/>
    <w:rPr>
      <w:color w:val="999999"/>
    </w:rPr>
  </w:style>
  <w:style w:type="character" w:customStyle="1" w:styleId="147">
    <w:name w:val="批注文字 字符"/>
    <w:link w:val="15"/>
    <w:autoRedefine/>
    <w:qFormat/>
    <w:uiPriority w:val="0"/>
    <w:rPr>
      <w:kern w:val="2"/>
      <w:sz w:val="21"/>
      <w:szCs w:val="24"/>
    </w:rPr>
  </w:style>
  <w:style w:type="character" w:customStyle="1" w:styleId="148">
    <w:name w:val="bigfont"/>
    <w:autoRedefine/>
    <w:qFormat/>
    <w:uiPriority w:val="0"/>
  </w:style>
  <w:style w:type="character" w:customStyle="1" w:styleId="149">
    <w:name w:val="批注主题 字符"/>
    <w:link w:val="48"/>
    <w:autoRedefine/>
    <w:qFormat/>
    <w:uiPriority w:val="0"/>
  </w:style>
  <w:style w:type="character" w:customStyle="1" w:styleId="150">
    <w:name w:val="font41"/>
    <w:autoRedefine/>
    <w:qFormat/>
    <w:uiPriority w:val="0"/>
    <w:rPr>
      <w:rFonts w:hint="eastAsia" w:ascii="宋体" w:hAnsi="宋体" w:eastAsia="宋体" w:cs="宋体"/>
      <w:color w:val="000000"/>
      <w:sz w:val="24"/>
      <w:szCs w:val="24"/>
      <w:u w:val="none"/>
    </w:rPr>
  </w:style>
  <w:style w:type="character" w:customStyle="1" w:styleId="151">
    <w:name w:val="l3"/>
    <w:autoRedefine/>
    <w:qFormat/>
    <w:uiPriority w:val="0"/>
    <w:rPr>
      <w:color w:val="999999"/>
    </w:rPr>
  </w:style>
  <w:style w:type="character" w:customStyle="1" w:styleId="152">
    <w:name w:val="Char Char21"/>
    <w:autoRedefine/>
    <w:qFormat/>
    <w:uiPriority w:val="0"/>
    <w:rPr>
      <w:rFonts w:eastAsia="宋体"/>
      <w:kern w:val="2"/>
      <w:sz w:val="21"/>
      <w:szCs w:val="24"/>
      <w:lang w:val="en-US" w:eastAsia="zh-CN" w:bidi="ar-SA"/>
    </w:rPr>
  </w:style>
  <w:style w:type="character" w:customStyle="1" w:styleId="153">
    <w:name w:val="标题 1 Char Char"/>
    <w:autoRedefine/>
    <w:qFormat/>
    <w:locked/>
    <w:uiPriority w:val="0"/>
    <w:rPr>
      <w:rFonts w:eastAsia="宋体"/>
      <w:b/>
      <w:bCs/>
      <w:kern w:val="44"/>
      <w:sz w:val="44"/>
      <w:szCs w:val="44"/>
      <w:lang w:val="en-US" w:eastAsia="zh-CN" w:bidi="ar-SA"/>
    </w:rPr>
  </w:style>
  <w:style w:type="character" w:customStyle="1" w:styleId="154">
    <w:name w:val="img4"/>
    <w:autoRedefine/>
    <w:qFormat/>
    <w:uiPriority w:val="0"/>
  </w:style>
  <w:style w:type="character" w:customStyle="1" w:styleId="155">
    <w:name w:val="标题 1 字符"/>
    <w:link w:val="2"/>
    <w:autoRedefine/>
    <w:qFormat/>
    <w:uiPriority w:val="0"/>
    <w:rPr>
      <w:rFonts w:ascii="Times New Roman" w:hAnsi="Times New Roman" w:eastAsia="宋体"/>
      <w:b/>
      <w:bCs/>
      <w:kern w:val="44"/>
      <w:sz w:val="24"/>
      <w:szCs w:val="44"/>
    </w:rPr>
  </w:style>
  <w:style w:type="character" w:customStyle="1" w:styleId="156">
    <w:name w:val="name1"/>
    <w:autoRedefine/>
    <w:qFormat/>
    <w:uiPriority w:val="0"/>
    <w:rPr>
      <w:color w:val="695435"/>
      <w:sz w:val="24"/>
      <w:szCs w:val="24"/>
    </w:rPr>
  </w:style>
  <w:style w:type="character" w:customStyle="1" w:styleId="157">
    <w:name w:val="font01"/>
    <w:autoRedefine/>
    <w:qFormat/>
    <w:uiPriority w:val="0"/>
    <w:rPr>
      <w:rFonts w:hint="eastAsia" w:ascii="仿宋_GB2312" w:eastAsia="仿宋_GB2312" w:cs="仿宋_GB2312"/>
      <w:color w:val="000000"/>
      <w:sz w:val="28"/>
      <w:szCs w:val="28"/>
      <w:u w:val="none"/>
    </w:rPr>
  </w:style>
  <w:style w:type="character" w:customStyle="1" w:styleId="158">
    <w:name w:val="HTML 预设格式 字符"/>
    <w:link w:val="45"/>
    <w:autoRedefine/>
    <w:qFormat/>
    <w:uiPriority w:val="0"/>
    <w:rPr>
      <w:rFonts w:ascii="宋体" w:hAnsi="Calibri"/>
      <w:sz w:val="24"/>
      <w:szCs w:val="24"/>
    </w:rPr>
  </w:style>
  <w:style w:type="character" w:customStyle="1" w:styleId="159">
    <w:name w:val="标题 2 Char Char"/>
    <w:autoRedefine/>
    <w:qFormat/>
    <w:locked/>
    <w:uiPriority w:val="0"/>
    <w:rPr>
      <w:rFonts w:ascii="Arial" w:hAnsi="Arial" w:eastAsia="黑体"/>
      <w:b/>
      <w:bCs/>
      <w:kern w:val="2"/>
      <w:sz w:val="32"/>
      <w:szCs w:val="32"/>
      <w:lang w:val="en-US" w:eastAsia="zh-CN" w:bidi="ar-SA"/>
    </w:rPr>
  </w:style>
  <w:style w:type="character" w:customStyle="1" w:styleId="160">
    <w:name w:val="msg-box31"/>
    <w:autoRedefine/>
    <w:qFormat/>
    <w:uiPriority w:val="0"/>
  </w:style>
  <w:style w:type="character" w:customStyle="1" w:styleId="161">
    <w:name w:val="font51"/>
    <w:autoRedefine/>
    <w:qFormat/>
    <w:uiPriority w:val="0"/>
    <w:rPr>
      <w:rFonts w:ascii="Arial" w:hAnsi="Arial" w:cs="Arial"/>
      <w:color w:val="000000"/>
      <w:sz w:val="24"/>
      <w:szCs w:val="24"/>
      <w:u w:val="none"/>
    </w:rPr>
  </w:style>
  <w:style w:type="character" w:customStyle="1" w:styleId="162">
    <w:name w:val="l7"/>
    <w:autoRedefine/>
    <w:qFormat/>
    <w:uiPriority w:val="0"/>
    <w:rPr>
      <w:color w:val="999999"/>
    </w:rPr>
  </w:style>
  <w:style w:type="character" w:customStyle="1" w:styleId="163">
    <w:name w:val="标题 2 Char"/>
    <w:autoRedefine/>
    <w:qFormat/>
    <w:uiPriority w:val="0"/>
    <w:rPr>
      <w:rFonts w:eastAsia="宋体"/>
      <w:sz w:val="24"/>
      <w:lang w:val="en-US" w:eastAsia="zh-CN" w:bidi="ar-SA"/>
    </w:rPr>
  </w:style>
  <w:style w:type="character" w:customStyle="1" w:styleId="164">
    <w:name w:val="标题 9 字符"/>
    <w:link w:val="10"/>
    <w:autoRedefine/>
    <w:qFormat/>
    <w:uiPriority w:val="0"/>
    <w:rPr>
      <w:rFonts w:ascii="Arial" w:hAnsi="Arial" w:eastAsia="黑体"/>
      <w:sz w:val="21"/>
      <w:szCs w:val="21"/>
    </w:rPr>
  </w:style>
  <w:style w:type="character" w:customStyle="1" w:styleId="165">
    <w:name w:val="buvis1"/>
    <w:autoRedefine/>
    <w:qFormat/>
    <w:uiPriority w:val="0"/>
    <w:rPr>
      <w:color w:val="CC0000"/>
    </w:rPr>
  </w:style>
  <w:style w:type="character" w:customStyle="1" w:styleId="166">
    <w:name w:val="标题 2 Char11"/>
    <w:autoRedefine/>
    <w:qFormat/>
    <w:uiPriority w:val="0"/>
    <w:rPr>
      <w:rFonts w:eastAsia="宋体"/>
      <w:sz w:val="24"/>
      <w:lang w:val="en-US" w:eastAsia="zh-CN" w:bidi="ar-SA"/>
    </w:rPr>
  </w:style>
  <w:style w:type="character" w:customStyle="1" w:styleId="167">
    <w:name w:val="txt"/>
    <w:autoRedefine/>
    <w:qFormat/>
    <w:uiPriority w:val="0"/>
    <w:rPr>
      <w:color w:val="C0C0C0"/>
    </w:rPr>
  </w:style>
  <w:style w:type="character" w:customStyle="1" w:styleId="168">
    <w:name w:val="日期 字符"/>
    <w:link w:val="25"/>
    <w:autoRedefine/>
    <w:qFormat/>
    <w:uiPriority w:val="0"/>
    <w:rPr>
      <w:rFonts w:ascii="仿宋_GB2312" w:eastAsia="仿宋_GB2312"/>
      <w:kern w:val="2"/>
      <w:sz w:val="30"/>
      <w:lang w:val="en-US" w:eastAsia="zh-CN" w:bidi="ar-SA"/>
    </w:rPr>
  </w:style>
  <w:style w:type="character" w:customStyle="1" w:styleId="169">
    <w:name w:val="标题 2 Char1"/>
    <w:autoRedefine/>
    <w:qFormat/>
    <w:uiPriority w:val="0"/>
    <w:rPr>
      <w:rFonts w:ascii="Arial" w:hAnsi="Arial" w:eastAsia="黑体"/>
      <w:b/>
      <w:bCs/>
      <w:kern w:val="2"/>
      <w:sz w:val="32"/>
      <w:szCs w:val="32"/>
      <w:lang w:val="en-US" w:eastAsia="zh-CN" w:bidi="ar-SA"/>
    </w:rPr>
  </w:style>
  <w:style w:type="character" w:customStyle="1" w:styleId="170">
    <w:name w:val="正文文本首行缩进 2 字符"/>
    <w:link w:val="49"/>
    <w:autoRedefine/>
    <w:qFormat/>
    <w:uiPriority w:val="0"/>
  </w:style>
  <w:style w:type="character" w:customStyle="1" w:styleId="171">
    <w:name w:val="font31"/>
    <w:autoRedefine/>
    <w:qFormat/>
    <w:uiPriority w:val="0"/>
    <w:rPr>
      <w:rFonts w:hint="eastAsia" w:ascii="仿宋_GB2312" w:eastAsia="仿宋_GB2312" w:cs="仿宋_GB2312"/>
      <w:color w:val="000000"/>
      <w:sz w:val="28"/>
      <w:szCs w:val="28"/>
      <w:u w:val="single"/>
    </w:rPr>
  </w:style>
  <w:style w:type="character" w:customStyle="1" w:styleId="172">
    <w:name w:val="textcontents"/>
    <w:autoRedefine/>
    <w:qFormat/>
    <w:uiPriority w:val="0"/>
  </w:style>
  <w:style w:type="character" w:customStyle="1" w:styleId="173">
    <w:name w:val="文档结构图 字符"/>
    <w:link w:val="14"/>
    <w:autoRedefine/>
    <w:qFormat/>
    <w:uiPriority w:val="0"/>
    <w:rPr>
      <w:kern w:val="2"/>
      <w:sz w:val="21"/>
      <w:szCs w:val="24"/>
      <w:shd w:val="clear" w:color="auto" w:fill="000080"/>
    </w:rPr>
  </w:style>
  <w:style w:type="character" w:customStyle="1" w:styleId="174">
    <w:name w:val="zw"/>
    <w:autoRedefine/>
    <w:qFormat/>
    <w:uiPriority w:val="0"/>
    <w:rPr>
      <w:color w:val="BD1E22"/>
      <w:sz w:val="22"/>
      <w:szCs w:val="22"/>
    </w:rPr>
  </w:style>
  <w:style w:type="character" w:customStyle="1" w:styleId="175">
    <w:name w:val="txt1"/>
    <w:autoRedefine/>
    <w:qFormat/>
    <w:uiPriority w:val="0"/>
  </w:style>
  <w:style w:type="character" w:customStyle="1" w:styleId="176">
    <w:name w:val="tit11"/>
    <w:autoRedefine/>
    <w:qFormat/>
    <w:uiPriority w:val="0"/>
    <w:rPr>
      <w:color w:val="B60000"/>
    </w:rPr>
  </w:style>
  <w:style w:type="character" w:customStyle="1" w:styleId="177">
    <w:name w:val="num71"/>
    <w:autoRedefine/>
    <w:qFormat/>
    <w:uiPriority w:val="0"/>
  </w:style>
  <w:style w:type="character" w:customStyle="1" w:styleId="178">
    <w:name w:val="name2"/>
    <w:autoRedefine/>
    <w:qFormat/>
    <w:uiPriority w:val="0"/>
    <w:rPr>
      <w:color w:val="000000"/>
      <w:sz w:val="39"/>
      <w:szCs w:val="39"/>
    </w:rPr>
  </w:style>
  <w:style w:type="character" w:customStyle="1" w:styleId="179">
    <w:name w:val="c3"/>
    <w:autoRedefine/>
    <w:qFormat/>
    <w:uiPriority w:val="0"/>
  </w:style>
  <w:style w:type="character" w:customStyle="1" w:styleId="180">
    <w:name w:val="Char Char"/>
    <w:autoRedefine/>
    <w:qFormat/>
    <w:uiPriority w:val="0"/>
    <w:rPr>
      <w:rFonts w:ascii="Arial" w:hAnsi="Arial" w:eastAsia="黑体"/>
      <w:b/>
      <w:bCs/>
      <w:kern w:val="2"/>
      <w:sz w:val="32"/>
      <w:szCs w:val="32"/>
      <w:lang w:val="en-US" w:eastAsia="zh-CN" w:bidi="ar-SA"/>
    </w:rPr>
  </w:style>
  <w:style w:type="character" w:customStyle="1" w:styleId="181">
    <w:name w:val="num41"/>
    <w:autoRedefine/>
    <w:qFormat/>
    <w:uiPriority w:val="0"/>
  </w:style>
  <w:style w:type="character" w:customStyle="1" w:styleId="182">
    <w:name w:val="c1"/>
    <w:autoRedefine/>
    <w:qFormat/>
    <w:uiPriority w:val="0"/>
  </w:style>
  <w:style w:type="character" w:customStyle="1" w:styleId="183">
    <w:name w:val="c2"/>
    <w:autoRedefine/>
    <w:qFormat/>
    <w:uiPriority w:val="0"/>
  </w:style>
  <w:style w:type="character" w:customStyle="1" w:styleId="184">
    <w:name w:val="页眉 字符"/>
    <w:link w:val="30"/>
    <w:autoRedefine/>
    <w:qFormat/>
    <w:uiPriority w:val="0"/>
    <w:rPr>
      <w:kern w:val="2"/>
      <w:sz w:val="18"/>
      <w:szCs w:val="18"/>
    </w:rPr>
  </w:style>
  <w:style w:type="character" w:customStyle="1" w:styleId="185">
    <w:name w:val="Char Char4"/>
    <w:autoRedefine/>
    <w:qFormat/>
    <w:uiPriority w:val="0"/>
    <w:rPr>
      <w:rFonts w:eastAsia="宋体"/>
      <w:b/>
      <w:bCs/>
      <w:kern w:val="44"/>
      <w:sz w:val="44"/>
      <w:szCs w:val="44"/>
      <w:lang w:val="en-US" w:eastAsia="zh-CN" w:bidi="ar-SA"/>
    </w:rPr>
  </w:style>
  <w:style w:type="character" w:customStyle="1" w:styleId="186">
    <w:name w:val="tit9"/>
    <w:autoRedefine/>
    <w:qFormat/>
    <w:uiPriority w:val="0"/>
    <w:rPr>
      <w:color w:val="B60000"/>
      <w:sz w:val="27"/>
      <w:szCs w:val="27"/>
      <w:bdr w:val="single" w:color="DFCEB8" w:sz="6" w:space="0"/>
      <w:shd w:val="clear" w:color="auto" w:fill="FFFFFF"/>
    </w:rPr>
  </w:style>
  <w:style w:type="character" w:customStyle="1" w:styleId="187">
    <w:name w:val="Char Char3"/>
    <w:autoRedefine/>
    <w:qFormat/>
    <w:uiPriority w:val="0"/>
    <w:rPr>
      <w:rFonts w:ascii="Arial" w:hAnsi="Arial" w:eastAsia="黑体"/>
      <w:b/>
      <w:bCs/>
      <w:kern w:val="2"/>
      <w:sz w:val="32"/>
      <w:szCs w:val="32"/>
      <w:lang w:val="en-US" w:eastAsia="zh-CN" w:bidi="ar-SA"/>
    </w:rPr>
  </w:style>
  <w:style w:type="paragraph" w:customStyle="1" w:styleId="188">
    <w:name w:val="首行缩进"/>
    <w:basedOn w:val="1"/>
    <w:next w:val="19"/>
    <w:autoRedefine/>
    <w:qFormat/>
    <w:uiPriority w:val="0"/>
    <w:pPr>
      <w:spacing w:line="360" w:lineRule="auto"/>
      <w:ind w:firstLine="480" w:firstLineChars="200"/>
    </w:pPr>
    <w:rPr>
      <w:sz w:val="24"/>
      <w:lang w:val="zh-CN"/>
    </w:rPr>
  </w:style>
  <w:style w:type="paragraph" w:customStyle="1" w:styleId="189">
    <w:name w:val="正文文本缩进1"/>
    <w:basedOn w:val="1"/>
    <w:autoRedefine/>
    <w:qFormat/>
    <w:uiPriority w:val="0"/>
    <w:pPr>
      <w:spacing w:after="120"/>
      <w:ind w:left="420" w:leftChars="200"/>
    </w:pPr>
    <w:rPr>
      <w:color w:val="000000"/>
      <w:kern w:val="0"/>
      <w:szCs w:val="20"/>
      <w:u w:color="000000"/>
    </w:rPr>
  </w:style>
  <w:style w:type="paragraph" w:customStyle="1" w:styleId="190">
    <w:name w:val="Char Char Char Char"/>
    <w:basedOn w:val="1"/>
    <w:autoRedefine/>
    <w:qFormat/>
    <w:uiPriority w:val="0"/>
    <w:rPr>
      <w:rFonts w:ascii="Tahoma" w:hAnsi="Tahoma"/>
      <w:sz w:val="24"/>
      <w:szCs w:val="20"/>
    </w:rPr>
  </w:style>
  <w:style w:type="paragraph" w:customStyle="1" w:styleId="191">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2">
    <w:name w:val="p"/>
    <w:basedOn w:val="1"/>
    <w:autoRedefine/>
    <w:qFormat/>
    <w:uiPriority w:val="0"/>
    <w:rPr>
      <w:rFonts w:ascii="宋体"/>
      <w:sz w:val="24"/>
    </w:rPr>
  </w:style>
  <w:style w:type="paragraph" w:customStyle="1" w:styleId="193">
    <w:name w:val="正文文本首行缩进 21"/>
    <w:basedOn w:val="189"/>
    <w:autoRedefine/>
    <w:qFormat/>
    <w:uiPriority w:val="0"/>
    <w:pPr>
      <w:ind w:firstLine="420" w:firstLineChars="200"/>
    </w:pPr>
  </w:style>
  <w:style w:type="paragraph" w:customStyle="1" w:styleId="194">
    <w:name w:val="表格"/>
    <w:basedOn w:val="1"/>
    <w:autoRedefine/>
    <w:qFormat/>
    <w:uiPriority w:val="0"/>
    <w:pPr>
      <w:jc w:val="center"/>
      <w:textAlignment w:val="center"/>
    </w:pPr>
    <w:rPr>
      <w:rFonts w:ascii="华文细黑" w:hAnsi="华文细黑"/>
      <w:kern w:val="0"/>
      <w:szCs w:val="20"/>
    </w:rPr>
  </w:style>
  <w:style w:type="paragraph" w:customStyle="1" w:styleId="195">
    <w:name w:val="Other|1"/>
    <w:basedOn w:val="1"/>
    <w:autoRedefine/>
    <w:qFormat/>
    <w:uiPriority w:val="0"/>
    <w:rPr>
      <w:rFonts w:ascii="宋体" w:hAnsi="宋体" w:cs="宋体"/>
      <w:sz w:val="20"/>
      <w:szCs w:val="20"/>
      <w:lang w:val="zh-TW" w:eastAsia="zh-TW" w:bidi="zh-TW"/>
    </w:rPr>
  </w:style>
  <w:style w:type="paragraph" w:customStyle="1" w:styleId="196">
    <w:name w:val="Table caption|1"/>
    <w:basedOn w:val="1"/>
    <w:autoRedefine/>
    <w:qFormat/>
    <w:uiPriority w:val="0"/>
    <w:rPr>
      <w:rFonts w:ascii="宋体" w:hAnsi="宋体" w:cs="宋体"/>
      <w:sz w:val="20"/>
      <w:szCs w:val="20"/>
      <w:lang w:val="zh-TW" w:eastAsia="zh-TW" w:bidi="zh-TW"/>
    </w:rPr>
  </w:style>
  <w:style w:type="paragraph" w:customStyle="1" w:styleId="197">
    <w:name w:val="p15"/>
    <w:autoRedefine/>
    <w:qFormat/>
    <w:uiPriority w:val="0"/>
    <w:pPr>
      <w:jc w:val="both"/>
    </w:pPr>
    <w:rPr>
      <w:rFonts w:ascii="宋体" w:hAnsi="Calibri" w:eastAsia="宋体" w:cs="宋体"/>
      <w:sz w:val="21"/>
      <w:szCs w:val="21"/>
      <w:lang w:val="en-US" w:eastAsia="zh-CN" w:bidi="ar-SA"/>
    </w:rPr>
  </w:style>
  <w:style w:type="paragraph" w:customStyle="1" w:styleId="198">
    <w:name w:val="Default Paragraph Char Char Char Char"/>
    <w:basedOn w:val="1"/>
    <w:next w:val="1"/>
    <w:autoRedefine/>
    <w:qFormat/>
    <w:uiPriority w:val="0"/>
    <w:pPr>
      <w:spacing w:line="360" w:lineRule="auto"/>
    </w:pPr>
    <w:rPr>
      <w:rFonts w:ascii="Calibri" w:hAnsi="Calibri"/>
      <w:szCs w:val="20"/>
    </w:rPr>
  </w:style>
  <w:style w:type="paragraph" w:customStyle="1" w:styleId="199">
    <w:name w:val="样式1"/>
    <w:basedOn w:val="4"/>
    <w:autoRedefine/>
    <w:qFormat/>
    <w:uiPriority w:val="0"/>
    <w:pPr>
      <w:spacing w:line="415" w:lineRule="auto"/>
    </w:pPr>
    <w:rPr>
      <w:rFonts w:eastAsia="Arial"/>
    </w:rPr>
  </w:style>
  <w:style w:type="paragraph" w:customStyle="1" w:styleId="200">
    <w:name w:val="表格文字"/>
    <w:basedOn w:val="1"/>
    <w:autoRedefine/>
    <w:qFormat/>
    <w:uiPriority w:val="0"/>
    <w:pPr>
      <w:adjustRightInd w:val="0"/>
      <w:spacing w:line="420" w:lineRule="atLeast"/>
      <w:jc w:val="left"/>
      <w:textAlignment w:val="baseline"/>
    </w:pPr>
    <w:rPr>
      <w:kern w:val="0"/>
      <w:szCs w:val="20"/>
    </w:rPr>
  </w:style>
  <w:style w:type="paragraph" w:customStyle="1" w:styleId="201">
    <w:name w:val="列表段落1"/>
    <w:basedOn w:val="1"/>
    <w:autoRedefine/>
    <w:qFormat/>
    <w:uiPriority w:val="34"/>
    <w:pPr>
      <w:ind w:firstLine="200" w:firstLineChars="200"/>
    </w:pPr>
  </w:style>
  <w:style w:type="paragraph" w:customStyle="1" w:styleId="202">
    <w:name w:val="正文1"/>
    <w:autoRedefine/>
    <w:qFormat/>
    <w:uiPriority w:val="0"/>
    <w:pPr>
      <w:widowControl w:val="0"/>
      <w:adjustRightInd w:val="0"/>
      <w:spacing w:line="312" w:lineRule="atLeast"/>
      <w:jc w:val="both"/>
      <w:textAlignment w:val="baseline"/>
    </w:pPr>
    <w:rPr>
      <w:rFonts w:ascii="宋体" w:hAnsi="Calibri" w:eastAsia="宋体" w:cs="宋体"/>
      <w:sz w:val="24"/>
      <w:szCs w:val="24"/>
      <w:lang w:val="en-US" w:eastAsia="zh-CN" w:bidi="ar-SA"/>
    </w:rPr>
  </w:style>
  <w:style w:type="paragraph" w:customStyle="1" w:styleId="203">
    <w:name w:val="Char1 Char Char Char Char Char Char Char Char Char Char Char Char1 Char Char Char Char Char1 Char Char Char Char Char Char Char Char Char1 Char"/>
    <w:basedOn w:val="1"/>
    <w:autoRedefine/>
    <w:qFormat/>
    <w:uiPriority w:val="0"/>
    <w:pPr>
      <w:widowControl/>
      <w:spacing w:after="160" w:line="240" w:lineRule="exact"/>
      <w:ind w:firstLine="560" w:firstLineChars="200"/>
      <w:jc w:val="left"/>
    </w:pPr>
    <w:rPr>
      <w:rFonts w:ascii="宋体" w:hAnsi="宋体"/>
      <w:kern w:val="0"/>
      <w:sz w:val="28"/>
      <w:szCs w:val="28"/>
      <w:lang w:eastAsia="en-US"/>
    </w:rPr>
  </w:style>
  <w:style w:type="paragraph" w:customStyle="1" w:styleId="204">
    <w:name w:val="Char"/>
    <w:basedOn w:val="1"/>
    <w:next w:val="1"/>
    <w:autoRedefine/>
    <w:qFormat/>
    <w:uiPriority w:val="0"/>
    <w:pPr>
      <w:widowControl/>
      <w:spacing w:line="360" w:lineRule="auto"/>
      <w:jc w:val="left"/>
    </w:pPr>
    <w:rPr>
      <w:kern w:val="0"/>
      <w:szCs w:val="20"/>
      <w:lang w:eastAsia="en-US"/>
    </w:rPr>
  </w:style>
  <w:style w:type="paragraph" w:customStyle="1" w:styleId="205">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Char1"/>
    <w:basedOn w:val="1"/>
    <w:next w:val="1"/>
    <w:autoRedefine/>
    <w:qFormat/>
    <w:uiPriority w:val="0"/>
    <w:pPr>
      <w:widowControl/>
      <w:spacing w:line="360" w:lineRule="auto"/>
      <w:jc w:val="left"/>
    </w:pPr>
    <w:rPr>
      <w:kern w:val="0"/>
      <w:szCs w:val="20"/>
      <w:lang w:eastAsia="en-US"/>
    </w:rPr>
  </w:style>
  <w:style w:type="paragraph" w:customStyle="1" w:styleId="207">
    <w:name w:val="样式3"/>
    <w:basedOn w:val="4"/>
    <w:autoRedefine/>
    <w:qFormat/>
    <w:uiPriority w:val="0"/>
    <w:pPr>
      <w:spacing w:line="415" w:lineRule="auto"/>
    </w:pPr>
    <w:rPr>
      <w:rFonts w:eastAsia="Arial"/>
    </w:rPr>
  </w:style>
  <w:style w:type="paragraph" w:customStyle="1" w:styleId="208">
    <w:name w:val="Table Paragraph"/>
    <w:basedOn w:val="1"/>
    <w:autoRedefine/>
    <w:qFormat/>
    <w:uiPriority w:val="1"/>
    <w:rPr>
      <w:rFonts w:ascii="宋体" w:hAnsi="宋体" w:cs="宋体"/>
      <w:lang w:val="zh-CN" w:bidi="zh-CN"/>
    </w:rPr>
  </w:style>
  <w:style w:type="paragraph" w:customStyle="1" w:styleId="209">
    <w:name w:val="p0"/>
    <w:basedOn w:val="1"/>
    <w:autoRedefine/>
    <w:qFormat/>
    <w:uiPriority w:val="0"/>
    <w:pPr>
      <w:widowControl/>
      <w:jc w:val="left"/>
    </w:pPr>
    <w:rPr>
      <w:rFonts w:ascii="宋体" w:hAnsi="宋体" w:cs="宋体"/>
      <w:kern w:val="0"/>
      <w:sz w:val="18"/>
      <w:szCs w:val="18"/>
    </w:rPr>
  </w:style>
  <w:style w:type="paragraph" w:customStyle="1" w:styleId="210">
    <w:name w:val="WPSOffice手动目录 1"/>
    <w:autoRedefine/>
    <w:qFormat/>
    <w:uiPriority w:val="0"/>
    <w:rPr>
      <w:rFonts w:ascii="Times New Roman" w:hAnsi="Times New Roman" w:eastAsia="宋体" w:cs="Times New Roman"/>
      <w:lang w:val="en-US" w:eastAsia="zh-CN" w:bidi="ar-SA"/>
    </w:rPr>
  </w:style>
  <w:style w:type="paragraph" w:customStyle="1" w:styleId="211">
    <w:name w:val="Char4"/>
    <w:basedOn w:val="1"/>
    <w:autoRedefine/>
    <w:qFormat/>
    <w:uiPriority w:val="0"/>
    <w:pPr>
      <w:widowControl/>
      <w:spacing w:line="360" w:lineRule="auto"/>
      <w:ind w:firstLine="200" w:firstLineChars="200"/>
      <w:textAlignment w:val="baseline"/>
    </w:pPr>
    <w:rPr>
      <w:rFonts w:ascii="Calibri" w:hAnsi="Calibri"/>
      <w:color w:val="000000"/>
      <w:kern w:val="0"/>
      <w:szCs w:val="20"/>
      <w:u w:color="000000"/>
    </w:rPr>
  </w:style>
  <w:style w:type="paragraph" w:customStyle="1" w:styleId="21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13">
    <w:name w:val="样式2"/>
    <w:basedOn w:val="4"/>
    <w:autoRedefine/>
    <w:qFormat/>
    <w:uiPriority w:val="0"/>
    <w:pPr>
      <w:spacing w:line="415" w:lineRule="auto"/>
    </w:pPr>
  </w:style>
  <w:style w:type="paragraph" w:customStyle="1" w:styleId="214">
    <w:name w:val="Picture caption|1"/>
    <w:basedOn w:val="1"/>
    <w:autoRedefine/>
    <w:qFormat/>
    <w:uiPriority w:val="0"/>
    <w:rPr>
      <w:rFonts w:ascii="宋体" w:hAnsi="宋体" w:cs="宋体"/>
      <w:sz w:val="20"/>
      <w:szCs w:val="20"/>
      <w:lang w:val="zh-TW" w:eastAsia="zh-TW" w:bidi="zh-TW"/>
    </w:rPr>
  </w:style>
  <w:style w:type="paragraph" w:customStyle="1" w:styleId="215">
    <w:name w:val="样式 标题 1 + 黑体 三号 非加粗 居中 段前: 6 磅 段后: 6 磅 行距: 固定值 20 磅"/>
    <w:basedOn w:val="2"/>
    <w:autoRedefine/>
    <w:qFormat/>
    <w:uiPriority w:val="0"/>
    <w:pPr>
      <w:spacing w:before="120" w:after="120" w:line="400" w:lineRule="exact"/>
    </w:pPr>
    <w:rPr>
      <w:rFonts w:ascii="黑体" w:hAnsi="黑体" w:eastAsia="黑体" w:cs="宋体"/>
      <w:b w:val="0"/>
      <w:bCs w:val="0"/>
      <w:sz w:val="32"/>
      <w:szCs w:val="20"/>
    </w:rPr>
  </w:style>
  <w:style w:type="paragraph" w:customStyle="1" w:styleId="216">
    <w:name w:val="样式4"/>
    <w:basedOn w:val="4"/>
    <w:autoRedefine/>
    <w:qFormat/>
    <w:uiPriority w:val="0"/>
    <w:pPr>
      <w:spacing w:line="415" w:lineRule="auto"/>
    </w:pPr>
    <w:rPr>
      <w:rFonts w:eastAsia="Arial"/>
    </w:rPr>
  </w:style>
  <w:style w:type="paragraph" w:customStyle="1" w:styleId="217">
    <w:name w:val="p0 New"/>
    <w:basedOn w:val="1"/>
    <w:autoRedefine/>
    <w:qFormat/>
    <w:uiPriority w:val="0"/>
    <w:pPr>
      <w:widowControl/>
      <w:jc w:val="left"/>
    </w:pPr>
    <w:rPr>
      <w:rFonts w:ascii="宋体" w:hAnsi="Calibri" w:cs="宋体"/>
      <w:kern w:val="0"/>
      <w:sz w:val="18"/>
      <w:szCs w:val="18"/>
    </w:rPr>
  </w:style>
  <w:style w:type="paragraph" w:customStyle="1" w:styleId="218">
    <w:name w:val="Char Char6"/>
    <w:basedOn w:val="1"/>
    <w:autoRedefine/>
    <w:qFormat/>
    <w:uiPriority w:val="0"/>
    <w:pPr>
      <w:widowControl/>
      <w:spacing w:after="160" w:line="240" w:lineRule="exact"/>
      <w:jc w:val="left"/>
    </w:pPr>
  </w:style>
  <w:style w:type="paragraph" w:customStyle="1" w:styleId="219">
    <w:name w:val="列出段落1"/>
    <w:basedOn w:val="1"/>
    <w:autoRedefine/>
    <w:qFormat/>
    <w:uiPriority w:val="0"/>
    <w:pPr>
      <w:ind w:firstLine="200" w:firstLineChars="200"/>
    </w:pPr>
    <w:rPr>
      <w:rFonts w:ascii="Calibri" w:hAnsi="Calibri"/>
    </w:rPr>
  </w:style>
  <w:style w:type="paragraph" w:customStyle="1" w:styleId="220">
    <w:name w:val="1"/>
    <w:basedOn w:val="1"/>
    <w:next w:val="1"/>
    <w:autoRedefine/>
    <w:qFormat/>
    <w:uiPriority w:val="0"/>
  </w:style>
  <w:style w:type="paragraph" w:customStyle="1" w:styleId="221">
    <w:name w:val="Body text|2"/>
    <w:basedOn w:val="1"/>
    <w:autoRedefine/>
    <w:qFormat/>
    <w:uiPriority w:val="0"/>
    <w:pPr>
      <w:spacing w:before="3540" w:line="634" w:lineRule="exact"/>
      <w:ind w:left="2920" w:hanging="790"/>
    </w:pPr>
    <w:rPr>
      <w:rFonts w:ascii="宋体" w:hAnsi="宋体" w:cs="宋体"/>
      <w:sz w:val="30"/>
      <w:szCs w:val="30"/>
      <w:u w:val="single"/>
      <w:lang w:val="zh-TW" w:eastAsia="zh-TW" w:bidi="zh-TW"/>
    </w:rPr>
  </w:style>
  <w:style w:type="paragraph" w:customStyle="1" w:styleId="22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23">
    <w:name w:val="Body text|1"/>
    <w:basedOn w:val="1"/>
    <w:autoRedefine/>
    <w:qFormat/>
    <w:uiPriority w:val="0"/>
    <w:pPr>
      <w:spacing w:line="468" w:lineRule="auto"/>
      <w:ind w:firstLine="400"/>
    </w:pPr>
    <w:rPr>
      <w:rFonts w:ascii="宋体" w:hAnsi="宋体" w:cs="宋体"/>
      <w:sz w:val="20"/>
      <w:szCs w:val="20"/>
      <w:lang w:val="zh-TW" w:eastAsia="zh-TW" w:bidi="zh-TW"/>
    </w:rPr>
  </w:style>
  <w:style w:type="paragraph" w:customStyle="1" w:styleId="224">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styleId="225">
    <w:name w:val="List Paragraph"/>
    <w:basedOn w:val="1"/>
    <w:autoRedefine/>
    <w:qFormat/>
    <w:uiPriority w:val="0"/>
    <w:pPr>
      <w:ind w:firstLine="200" w:firstLineChars="200"/>
    </w:pPr>
    <w:rPr>
      <w:rFonts w:ascii="Calibri" w:hAnsi="Calibri"/>
      <w:szCs w:val="22"/>
    </w:rPr>
  </w:style>
  <w:style w:type="paragraph" w:customStyle="1" w:styleId="226">
    <w:name w:val="默认段落字体 Para Char Char Char Char"/>
    <w:basedOn w:val="1"/>
    <w:autoRedefine/>
    <w:qFormat/>
    <w:uiPriority w:val="0"/>
  </w:style>
  <w:style w:type="paragraph" w:customStyle="1" w:styleId="227">
    <w:name w:val="正文2"/>
    <w:autoRedefine/>
    <w:qFormat/>
    <w:uiPriority w:val="0"/>
    <w:pPr>
      <w:widowControl w:val="0"/>
      <w:jc w:val="both"/>
    </w:pPr>
    <w:rPr>
      <w:rFonts w:ascii="Calibri" w:hAnsi="Calibri" w:eastAsia="宋体" w:cs="Times New Roman"/>
      <w:lang w:val="en-US" w:eastAsia="zh-CN" w:bidi="ar-SA"/>
    </w:rPr>
  </w:style>
  <w:style w:type="paragraph" w:customStyle="1" w:styleId="228">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29">
    <w:name w:val="Char Char Char Char Char Char Char Char Char Char Char Char Char"/>
    <w:basedOn w:val="1"/>
    <w:autoRedefine/>
    <w:qFormat/>
    <w:uiPriority w:val="0"/>
    <w:rPr>
      <w:rFonts w:ascii="Calibri" w:hAnsi="Calibri"/>
    </w:rPr>
  </w:style>
  <w:style w:type="paragraph" w:customStyle="1" w:styleId="23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23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232">
    <w:name w:val="Char Char Char Char Char Char Char Char Char Char Char Char Char1"/>
    <w:basedOn w:val="1"/>
    <w:autoRedefine/>
    <w:qFormat/>
    <w:uiPriority w:val="0"/>
  </w:style>
  <w:style w:type="character" w:customStyle="1" w:styleId="233">
    <w:name w:val="未处理的提及1"/>
    <w:basedOn w:val="52"/>
    <w:autoRedefine/>
    <w:semiHidden/>
    <w:unhideWhenUsed/>
    <w:qFormat/>
    <w:uiPriority w:val="99"/>
    <w:rPr>
      <w:color w:val="605E5C"/>
      <w:shd w:val="clear" w:color="auto" w:fill="E1DFDD"/>
    </w:rPr>
  </w:style>
  <w:style w:type="character" w:customStyle="1" w:styleId="234">
    <w:name w:val="NormalCharacter"/>
    <w:autoRedefine/>
    <w:semiHidden/>
    <w:qFormat/>
    <w:uiPriority w:val="0"/>
  </w:style>
  <w:style w:type="table" w:customStyle="1" w:styleId="235">
    <w:name w:val="Table Normal"/>
    <w:autoRedefine/>
    <w:semiHidden/>
    <w:unhideWhenUsed/>
    <w:qFormat/>
    <w:uiPriority w:val="0"/>
    <w:tblPr>
      <w:tblCellMar>
        <w:top w:w="0" w:type="dxa"/>
        <w:left w:w="0" w:type="dxa"/>
        <w:bottom w:w="0" w:type="dxa"/>
        <w:right w:w="0" w:type="dxa"/>
      </w:tblCellMar>
    </w:tblPr>
  </w:style>
  <w:style w:type="table" w:customStyle="1" w:styleId="236">
    <w:name w:val="网格型1"/>
    <w:basedOn w:val="50"/>
    <w:autoRedefine/>
    <w:qFormat/>
    <w:uiPriority w:val="39"/>
    <w:rPr>
      <w:rFonts w:ascii="等线" w:hAnsi="等线" w:eastAsia="等线"/>
      <w:kern w:val="2"/>
      <w:sz w:val="21"/>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7">
    <w:name w:val="text-tag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3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2DBD6-FDE9-45F9-9322-47695EF4DC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18417</Words>
  <Characters>19383</Characters>
  <Lines>176</Lines>
  <Paragraphs>49</Paragraphs>
  <TotalTime>6</TotalTime>
  <ScaleCrop>false</ScaleCrop>
  <LinksUpToDate>false</LinksUpToDate>
  <CharactersWithSpaces>23192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2024-06-26T01:49:00Z</dcterms:created>
  <dc:creator>微软用户</dc:creator>
  <cp:lastModifiedBy>灰灰菇凉</cp:lastModifiedBy>
  <cp:lastPrinted>2022-01-03T08:24:00Z</cp:lastPrinted>
  <dcterms:modified xsi:type="dcterms:W3CDTF">2024-07-03T08:24:11Z</dcterms:modified>
  <dc:title>花亭路等道路绿化工程苗木比价采购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ADFF0E7AC2A04259A096F19B01D96885_13</vt:lpwstr>
  </property>
</Properties>
</file>