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color w:val="auto"/>
          <w:kern w:val="0"/>
          <w:sz w:val="36"/>
          <w:szCs w:val="36"/>
        </w:rPr>
      </w:pPr>
    </w:p>
    <w:p>
      <w:pPr>
        <w:spacing w:after="156" w:afterLines="50"/>
        <w:ind w:left="-850" w:leftChars="-405" w:right="-625"/>
        <w:jc w:val="center"/>
        <w:rPr>
          <w:rFonts w:hint="eastAsia" w:ascii="宋体" w:hAnsi="宋体"/>
          <w:b/>
          <w:color w:val="auto"/>
          <w:sz w:val="48"/>
          <w:szCs w:val="48"/>
          <w:lang w:eastAsia="zh-CN"/>
        </w:rPr>
      </w:pPr>
      <w:bookmarkStart w:id="0" w:name="OLE_LINK2"/>
      <w:bookmarkStart w:id="1" w:name="OLE_LINK3"/>
      <w:bookmarkStart w:id="2" w:name="OLE_LINK1"/>
      <w:bookmarkStart w:id="3" w:name="_Toc21247_WPSOffice_Level1"/>
      <w:r>
        <w:rPr>
          <w:rFonts w:hint="eastAsia" w:ascii="宋体" w:hAnsi="宋体"/>
          <w:b/>
          <w:color w:val="auto"/>
          <w:sz w:val="48"/>
          <w:szCs w:val="48"/>
          <w:lang w:eastAsia="zh-CN"/>
        </w:rPr>
        <w:t>滁州市第二人民医院中央空调维护保养项目</w:t>
      </w:r>
    </w:p>
    <w:p>
      <w:pPr>
        <w:spacing w:after="156" w:afterLines="50"/>
        <w:ind w:left="-850" w:leftChars="-405" w:right="-625"/>
        <w:jc w:val="center"/>
        <w:rPr>
          <w:color w:val="auto"/>
          <w:sz w:val="24"/>
        </w:rPr>
      </w:pPr>
    </w:p>
    <w:p>
      <w:pPr>
        <w:pStyle w:val="50"/>
        <w:ind w:left="0" w:leftChars="0" w:firstLine="3200" w:firstLineChars="1000"/>
        <w:rPr>
          <w:color w:val="auto"/>
          <w:sz w:val="32"/>
          <w:szCs w:val="32"/>
        </w:rPr>
      </w:pPr>
    </w:p>
    <w:p>
      <w:pPr>
        <w:pStyle w:val="50"/>
        <w:ind w:left="0" w:leftChars="0" w:firstLine="0" w:firstLineChars="0"/>
        <w:jc w:val="center"/>
        <w:rPr>
          <w:rFonts w:ascii="宋体" w:hAnsi="宋体" w:cs="宋体"/>
          <w:color w:val="auto"/>
          <w:sz w:val="32"/>
          <w:szCs w:val="32"/>
        </w:rPr>
      </w:pPr>
      <w:r>
        <w:rPr>
          <w:rFonts w:hint="eastAsia"/>
          <w:color w:val="auto"/>
          <w:sz w:val="32"/>
          <w:szCs w:val="32"/>
        </w:rPr>
        <w:t>项目编号：</w:t>
      </w:r>
      <w:r>
        <w:rPr>
          <w:rFonts w:hint="eastAsia"/>
          <w:color w:val="auto"/>
          <w:sz w:val="32"/>
          <w:szCs w:val="32"/>
          <w:lang w:eastAsia="zh-CN"/>
        </w:rPr>
        <w:t>CZEY-2024029</w:t>
      </w:r>
    </w:p>
    <w:p>
      <w:pPr>
        <w:spacing w:line="360" w:lineRule="auto"/>
        <w:rPr>
          <w:rFonts w:ascii="楷体" w:hAnsi="楷体" w:eastAsia="楷体" w:cs="楷体"/>
          <w:b/>
          <w:color w:val="auto"/>
          <w:sz w:val="96"/>
          <w:szCs w:val="96"/>
        </w:rPr>
      </w:pPr>
    </w:p>
    <w:p>
      <w:pPr>
        <w:spacing w:line="360" w:lineRule="auto"/>
        <w:jc w:val="center"/>
        <w:rPr>
          <w:rFonts w:ascii="宋体" w:hAnsi="宋体" w:cs="宋体"/>
          <w:bCs/>
          <w:color w:val="auto"/>
          <w:sz w:val="96"/>
          <w:szCs w:val="96"/>
        </w:rPr>
      </w:pPr>
      <w:r>
        <w:rPr>
          <w:rFonts w:hint="eastAsia" w:ascii="宋体" w:hAnsi="宋体" w:cs="宋体"/>
          <w:b/>
          <w:color w:val="auto"/>
          <w:sz w:val="96"/>
          <w:szCs w:val="96"/>
        </w:rPr>
        <w:t>招 标 文 件</w:t>
      </w:r>
    </w:p>
    <w:p>
      <w:pPr>
        <w:rPr>
          <w:rFonts w:ascii="宋体" w:hAnsi="宋体"/>
          <w:b/>
          <w:color w:val="auto"/>
          <w:sz w:val="84"/>
          <w:szCs w:val="84"/>
        </w:rPr>
      </w:pPr>
    </w:p>
    <w:p>
      <w:pPr>
        <w:pStyle w:val="50"/>
        <w:rPr>
          <w:color w:val="auto"/>
        </w:rPr>
      </w:pPr>
    </w:p>
    <w:p>
      <w:pPr>
        <w:rPr>
          <w:rFonts w:ascii="宋体"/>
          <w:color w:val="auto"/>
          <w:sz w:val="28"/>
          <w:szCs w:val="28"/>
        </w:rPr>
      </w:pPr>
    </w:p>
    <w:p>
      <w:pPr>
        <w:ind w:firstLine="643" w:firstLineChars="200"/>
        <w:rPr>
          <w:rFonts w:ascii="宋体"/>
          <w:b/>
          <w:color w:val="auto"/>
          <w:sz w:val="32"/>
          <w:szCs w:val="32"/>
        </w:rPr>
      </w:pPr>
    </w:p>
    <w:p>
      <w:pPr>
        <w:pStyle w:val="18"/>
        <w:rPr>
          <w:color w:val="auto"/>
        </w:rPr>
      </w:pPr>
    </w:p>
    <w:p>
      <w:pPr>
        <w:rPr>
          <w:rFonts w:ascii="宋体"/>
          <w:b/>
          <w:color w:val="auto"/>
          <w:spacing w:val="-20"/>
          <w:sz w:val="32"/>
          <w:szCs w:val="32"/>
        </w:rPr>
      </w:pPr>
      <w:r>
        <w:rPr>
          <w:rFonts w:hint="eastAsia" w:ascii="宋体"/>
          <w:b/>
          <w:color w:val="auto"/>
          <w:sz w:val="32"/>
          <w:szCs w:val="32"/>
        </w:rPr>
        <w:t>采  购  人：</w:t>
      </w:r>
      <w:r>
        <w:rPr>
          <w:rFonts w:hint="eastAsia" w:ascii="宋体" w:hAnsi="宋体"/>
          <w:b/>
          <w:color w:val="auto"/>
          <w:spacing w:val="-20"/>
          <w:sz w:val="32"/>
          <w:szCs w:val="32"/>
          <w:u w:val="single"/>
        </w:rPr>
        <w:t>滁州市第二人民医院（市传染病医院、市精神病医院）</w:t>
      </w:r>
      <w:r>
        <w:rPr>
          <w:rFonts w:hint="eastAsia" w:ascii="宋体"/>
          <w:b/>
          <w:color w:val="auto"/>
          <w:spacing w:val="-20"/>
          <w:sz w:val="32"/>
          <w:szCs w:val="32"/>
        </w:rPr>
        <w:t>（盖单位章）</w:t>
      </w:r>
    </w:p>
    <w:p>
      <w:pPr>
        <w:rPr>
          <w:rFonts w:ascii="宋体"/>
          <w:b/>
          <w:color w:val="auto"/>
          <w:sz w:val="32"/>
          <w:szCs w:val="32"/>
          <w:u w:val="single"/>
        </w:rPr>
      </w:pPr>
      <w:r>
        <w:rPr>
          <w:rFonts w:hint="eastAsia" w:ascii="宋体"/>
          <w:b/>
          <w:color w:val="auto"/>
          <w:sz w:val="32"/>
          <w:szCs w:val="32"/>
        </w:rPr>
        <w:t>采购代理机构：</w:t>
      </w:r>
      <w:r>
        <w:rPr>
          <w:rFonts w:hint="eastAsia" w:ascii="宋体"/>
          <w:b/>
          <w:color w:val="auto"/>
          <w:sz w:val="32"/>
          <w:szCs w:val="32"/>
          <w:u w:val="single"/>
        </w:rPr>
        <w:t xml:space="preserve"> </w:t>
      </w:r>
      <w:r>
        <w:rPr>
          <w:rFonts w:hint="eastAsia" w:ascii="宋体" w:hAnsi="宋体"/>
          <w:b/>
          <w:color w:val="auto"/>
          <w:spacing w:val="-20"/>
          <w:sz w:val="32"/>
          <w:szCs w:val="32"/>
          <w:u w:val="single"/>
        </w:rPr>
        <w:t xml:space="preserve">江苏川页工程项目管理有限公司  </w:t>
      </w:r>
      <w:r>
        <w:rPr>
          <w:rFonts w:hint="eastAsia" w:ascii="宋体"/>
          <w:b/>
          <w:color w:val="auto"/>
          <w:sz w:val="32"/>
          <w:szCs w:val="32"/>
        </w:rPr>
        <w:t>（盖单位章）</w:t>
      </w:r>
    </w:p>
    <w:p>
      <w:pPr>
        <w:jc w:val="center"/>
        <w:rPr>
          <w:rFonts w:ascii="宋体"/>
          <w:b/>
          <w:color w:val="auto"/>
          <w:sz w:val="32"/>
          <w:szCs w:val="32"/>
        </w:rPr>
      </w:pPr>
      <w:r>
        <w:rPr>
          <w:rFonts w:hint="eastAsia" w:ascii="宋体"/>
          <w:b/>
          <w:color w:val="auto"/>
          <w:sz w:val="32"/>
          <w:szCs w:val="32"/>
          <w:u w:val="single"/>
        </w:rPr>
        <w:t xml:space="preserve">二〇二四 </w:t>
      </w:r>
      <w:r>
        <w:rPr>
          <w:rFonts w:hint="eastAsia" w:ascii="宋体"/>
          <w:b/>
          <w:color w:val="auto"/>
          <w:sz w:val="32"/>
          <w:szCs w:val="32"/>
        </w:rPr>
        <w:t xml:space="preserve">年 </w:t>
      </w:r>
      <w:r>
        <w:rPr>
          <w:rFonts w:hint="eastAsia" w:ascii="宋体"/>
          <w:b/>
          <w:color w:val="auto"/>
          <w:sz w:val="32"/>
          <w:szCs w:val="32"/>
          <w:u w:val="single"/>
        </w:rPr>
        <w:t xml:space="preserve"> </w:t>
      </w:r>
      <w:r>
        <w:rPr>
          <w:rFonts w:hint="eastAsia" w:ascii="宋体"/>
          <w:b/>
          <w:color w:val="auto"/>
          <w:sz w:val="32"/>
          <w:szCs w:val="32"/>
          <w:u w:val="single"/>
          <w:lang w:val="en-US" w:eastAsia="zh-CN"/>
        </w:rPr>
        <w:t>六</w:t>
      </w:r>
      <w:r>
        <w:rPr>
          <w:rFonts w:hint="eastAsia" w:ascii="宋体"/>
          <w:b/>
          <w:color w:val="auto"/>
          <w:sz w:val="32"/>
          <w:szCs w:val="32"/>
          <w:u w:val="single"/>
        </w:rPr>
        <w:t xml:space="preserve"> </w:t>
      </w:r>
      <w:r>
        <w:rPr>
          <w:rFonts w:hint="eastAsia" w:ascii="宋体"/>
          <w:b/>
          <w:color w:val="auto"/>
          <w:sz w:val="32"/>
          <w:szCs w:val="32"/>
        </w:rPr>
        <w:t>月</w:t>
      </w:r>
    </w:p>
    <w:p>
      <w:pPr>
        <w:adjustRightInd w:val="0"/>
        <w:snapToGrid w:val="0"/>
        <w:spacing w:line="460" w:lineRule="exact"/>
        <w:jc w:val="center"/>
        <w:rPr>
          <w:rFonts w:hint="eastAsia" w:ascii="宋体" w:hAnsi="宋体" w:cs="宋体"/>
          <w:b/>
          <w:color w:val="auto"/>
          <w:spacing w:val="20"/>
          <w:sz w:val="32"/>
          <w:szCs w:val="32"/>
        </w:rPr>
      </w:pPr>
    </w:p>
    <w:p>
      <w:pPr>
        <w:pStyle w:val="50"/>
        <w:rPr>
          <w:rFonts w:hint="eastAsia"/>
        </w:rPr>
      </w:pPr>
    </w:p>
    <w:p>
      <w:pPr>
        <w:rPr>
          <w:rFonts w:hint="eastAsia"/>
        </w:rPr>
      </w:pPr>
    </w:p>
    <w:p>
      <w:pPr>
        <w:adjustRightInd w:val="0"/>
        <w:snapToGrid w:val="0"/>
        <w:spacing w:line="460" w:lineRule="exact"/>
        <w:jc w:val="center"/>
        <w:rPr>
          <w:rFonts w:hint="eastAsia" w:ascii="宋体" w:hAnsi="宋体" w:cs="宋体"/>
          <w:b/>
          <w:color w:val="auto"/>
          <w:spacing w:val="20"/>
          <w:sz w:val="32"/>
          <w:szCs w:val="32"/>
        </w:rPr>
      </w:pPr>
    </w:p>
    <w:p>
      <w:pPr>
        <w:adjustRightInd w:val="0"/>
        <w:snapToGrid w:val="0"/>
        <w:spacing w:line="460" w:lineRule="exact"/>
        <w:jc w:val="center"/>
        <w:rPr>
          <w:rFonts w:hint="eastAsia" w:ascii="宋体" w:hAnsi="宋体" w:cs="宋体"/>
          <w:b/>
          <w:color w:val="auto"/>
          <w:spacing w:val="20"/>
          <w:sz w:val="32"/>
          <w:szCs w:val="32"/>
        </w:rPr>
      </w:pPr>
      <w:r>
        <w:rPr>
          <w:rFonts w:hint="eastAsia" w:ascii="宋体" w:hAnsi="宋体" w:cs="宋体"/>
          <w:b/>
          <w:color w:val="auto"/>
          <w:spacing w:val="20"/>
          <w:sz w:val="32"/>
          <w:szCs w:val="32"/>
        </w:rPr>
        <w:t>目 录</w:t>
      </w:r>
    </w:p>
    <w:p>
      <w:pPr>
        <w:pStyle w:val="32"/>
        <w:tabs>
          <w:tab w:val="right" w:leader="dot" w:pos="10120"/>
        </w:tabs>
        <w:rPr>
          <w:rStyle w:val="62"/>
          <w:b w:val="0"/>
          <w:bCs w:val="0"/>
          <w:color w:val="auto"/>
          <w:sz w:val="28"/>
          <w:highlight w:val="none"/>
        </w:rPr>
      </w:pPr>
    </w:p>
    <w:p>
      <w:pPr>
        <w:spacing w:line="360" w:lineRule="exact"/>
        <w:jc w:val="center"/>
        <w:rPr>
          <w:b/>
          <w:color w:val="auto"/>
          <w:sz w:val="36"/>
        </w:rPr>
      </w:pPr>
    </w:p>
    <w:p>
      <w:pPr>
        <w:pStyle w:val="32"/>
        <w:tabs>
          <w:tab w:val="right" w:leader="dot" w:pos="8296"/>
        </w:tabs>
        <w:spacing w:line="440" w:lineRule="exact"/>
        <w:rPr>
          <w:rFonts w:ascii="宋体" w:hAnsi="宋体"/>
          <w:b/>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TOC \o "1-3" \h \z \u </w:instrText>
      </w:r>
      <w:r>
        <w:rPr>
          <w:rFonts w:hint="eastAsia" w:ascii="宋体" w:hAnsi="宋体" w:cs="宋体"/>
          <w:color w:val="auto"/>
          <w:sz w:val="24"/>
        </w:rPr>
        <w:fldChar w:fldCharType="separate"/>
      </w:r>
      <w:r>
        <w:rPr>
          <w:color w:val="auto"/>
        </w:rPr>
        <w:fldChar w:fldCharType="begin"/>
      </w:r>
      <w:r>
        <w:rPr>
          <w:color w:val="auto"/>
        </w:rPr>
        <w:instrText xml:space="preserve"> HYPERLINK \l "_Toc58430304" </w:instrText>
      </w:r>
      <w:r>
        <w:rPr>
          <w:color w:val="auto"/>
        </w:rPr>
        <w:fldChar w:fldCharType="separate"/>
      </w:r>
      <w:r>
        <w:rPr>
          <w:rStyle w:val="62"/>
          <w:rFonts w:hint="eastAsia" w:ascii="宋体" w:hAnsi="宋体"/>
          <w:b/>
          <w:color w:val="auto"/>
          <w:sz w:val="24"/>
        </w:rPr>
        <w:t>第一章</w:t>
      </w:r>
      <w:r>
        <w:rPr>
          <w:rStyle w:val="62"/>
          <w:rFonts w:ascii="宋体" w:hAnsi="宋体"/>
          <w:b/>
          <w:color w:val="auto"/>
          <w:sz w:val="24"/>
        </w:rPr>
        <w:t xml:space="preserve"> </w:t>
      </w:r>
      <w:r>
        <w:rPr>
          <w:rStyle w:val="62"/>
          <w:rFonts w:hint="eastAsia" w:ascii="宋体" w:hAnsi="宋体"/>
          <w:b/>
          <w:color w:val="auto"/>
          <w:sz w:val="24"/>
          <w:lang w:val="en-US" w:eastAsia="zh-CN"/>
        </w:rPr>
        <w:t>招标</w:t>
      </w:r>
      <w:r>
        <w:rPr>
          <w:rStyle w:val="62"/>
          <w:rFonts w:hint="eastAsia" w:ascii="宋体" w:hAnsi="宋体"/>
          <w:b/>
          <w:color w:val="auto"/>
          <w:sz w:val="24"/>
        </w:rPr>
        <w:t>公告</w:t>
      </w:r>
      <w:r>
        <w:rPr>
          <w:rFonts w:ascii="宋体" w:hAnsi="宋体"/>
          <w:b/>
          <w:color w:val="auto"/>
          <w:sz w:val="24"/>
        </w:rPr>
        <w:tab/>
      </w:r>
      <w:r>
        <w:rPr>
          <w:rFonts w:hint="eastAsia" w:ascii="宋体" w:hAnsi="宋体"/>
          <w:b/>
          <w:color w:val="auto"/>
          <w:sz w:val="24"/>
        </w:rPr>
        <w:t>3</w:t>
      </w:r>
      <w:r>
        <w:rPr>
          <w:rFonts w:hint="eastAsia" w:ascii="宋体" w:hAnsi="宋体"/>
          <w:b/>
          <w:color w:val="auto"/>
          <w:sz w:val="24"/>
        </w:rPr>
        <w:fldChar w:fldCharType="end"/>
      </w:r>
    </w:p>
    <w:p>
      <w:pPr>
        <w:pStyle w:val="32"/>
        <w:tabs>
          <w:tab w:val="right" w:leader="dot" w:pos="8296"/>
        </w:tabs>
        <w:spacing w:line="440" w:lineRule="exact"/>
        <w:rPr>
          <w:rFonts w:ascii="宋体" w:hAnsi="宋体"/>
          <w:b/>
          <w:color w:val="auto"/>
          <w:sz w:val="24"/>
        </w:rPr>
      </w:pPr>
      <w:r>
        <w:rPr>
          <w:color w:val="auto"/>
        </w:rPr>
        <w:fldChar w:fldCharType="begin"/>
      </w:r>
      <w:r>
        <w:rPr>
          <w:color w:val="auto"/>
        </w:rPr>
        <w:instrText xml:space="preserve"> HYPERLINK \l "_Toc58430313" </w:instrText>
      </w:r>
      <w:r>
        <w:rPr>
          <w:color w:val="auto"/>
        </w:rPr>
        <w:fldChar w:fldCharType="separate"/>
      </w:r>
      <w:r>
        <w:rPr>
          <w:rStyle w:val="62"/>
          <w:rFonts w:hint="eastAsia" w:ascii="宋体" w:hAnsi="宋体"/>
          <w:b/>
          <w:color w:val="auto"/>
          <w:sz w:val="24"/>
        </w:rPr>
        <w:t>第二章</w:t>
      </w:r>
      <w:r>
        <w:rPr>
          <w:rStyle w:val="62"/>
          <w:rFonts w:ascii="宋体" w:hAnsi="宋体"/>
          <w:b/>
          <w:color w:val="auto"/>
          <w:sz w:val="24"/>
        </w:rPr>
        <w:t xml:space="preserve"> </w:t>
      </w:r>
      <w:r>
        <w:rPr>
          <w:rStyle w:val="62"/>
          <w:rFonts w:hint="eastAsia" w:ascii="宋体" w:hAnsi="宋体"/>
          <w:b/>
          <w:color w:val="auto"/>
          <w:sz w:val="24"/>
        </w:rPr>
        <w:t>投标人须知前附表</w:t>
      </w:r>
      <w:r>
        <w:rPr>
          <w:rFonts w:ascii="宋体" w:hAnsi="宋体"/>
          <w:b/>
          <w:color w:val="auto"/>
          <w:sz w:val="24"/>
        </w:rPr>
        <w:tab/>
      </w:r>
      <w:r>
        <w:rPr>
          <w:rFonts w:hint="eastAsia" w:ascii="宋体" w:hAnsi="宋体"/>
          <w:b/>
          <w:color w:val="auto"/>
          <w:sz w:val="24"/>
        </w:rPr>
        <w:t>5</w:t>
      </w:r>
      <w:r>
        <w:rPr>
          <w:rFonts w:hint="eastAsia" w:ascii="宋体" w:hAnsi="宋体"/>
          <w:b/>
          <w:color w:val="auto"/>
          <w:sz w:val="24"/>
        </w:rPr>
        <w:fldChar w:fldCharType="end"/>
      </w:r>
    </w:p>
    <w:p>
      <w:pPr>
        <w:pStyle w:val="32"/>
        <w:tabs>
          <w:tab w:val="right" w:leader="dot" w:pos="8296"/>
        </w:tabs>
        <w:spacing w:line="440" w:lineRule="exact"/>
        <w:rPr>
          <w:rFonts w:hint="eastAsia" w:ascii="宋体" w:hAnsi="宋体" w:eastAsia="宋体"/>
          <w:b/>
          <w:color w:val="auto"/>
          <w:sz w:val="24"/>
          <w:lang w:val="en-US" w:eastAsia="zh-CN"/>
        </w:rPr>
      </w:pPr>
      <w:r>
        <w:rPr>
          <w:color w:val="auto"/>
        </w:rPr>
        <w:fldChar w:fldCharType="begin"/>
      </w:r>
      <w:r>
        <w:rPr>
          <w:color w:val="auto"/>
        </w:rPr>
        <w:instrText xml:space="preserve"> HYPERLINK \l "_Toc58430316" </w:instrText>
      </w:r>
      <w:r>
        <w:rPr>
          <w:color w:val="auto"/>
        </w:rPr>
        <w:fldChar w:fldCharType="separate"/>
      </w:r>
      <w:r>
        <w:rPr>
          <w:rStyle w:val="62"/>
          <w:rFonts w:hint="eastAsia" w:ascii="宋体" w:hAnsi="宋体"/>
          <w:b/>
          <w:color w:val="auto"/>
          <w:sz w:val="24"/>
        </w:rPr>
        <w:t>第三章</w:t>
      </w:r>
      <w:r>
        <w:rPr>
          <w:rStyle w:val="62"/>
          <w:rFonts w:ascii="宋体" w:hAnsi="宋体"/>
          <w:b/>
          <w:color w:val="auto"/>
          <w:sz w:val="24"/>
        </w:rPr>
        <w:t xml:space="preserve"> </w:t>
      </w:r>
      <w:r>
        <w:rPr>
          <w:rStyle w:val="62"/>
          <w:rFonts w:hint="eastAsia" w:ascii="宋体" w:hAnsi="宋体"/>
          <w:b/>
          <w:color w:val="auto"/>
          <w:sz w:val="24"/>
        </w:rPr>
        <w:t>评标办法</w:t>
      </w:r>
      <w:r>
        <w:rPr>
          <w:rFonts w:ascii="宋体" w:hAnsi="宋体"/>
          <w:b/>
          <w:color w:val="auto"/>
          <w:sz w:val="24"/>
        </w:rPr>
        <w:tab/>
      </w:r>
      <w:r>
        <w:rPr>
          <w:rFonts w:hint="eastAsia" w:ascii="宋体" w:hAnsi="宋体"/>
          <w:b/>
          <w:color w:val="auto"/>
          <w:sz w:val="24"/>
          <w:lang w:val="en-US" w:eastAsia="zh-CN"/>
        </w:rPr>
        <w:t>1</w:t>
      </w:r>
      <w:r>
        <w:rPr>
          <w:rFonts w:ascii="宋体" w:hAnsi="宋体"/>
          <w:b/>
          <w:color w:val="auto"/>
          <w:sz w:val="24"/>
        </w:rPr>
        <w:fldChar w:fldCharType="end"/>
      </w:r>
      <w:r>
        <w:rPr>
          <w:rFonts w:hint="eastAsia" w:ascii="宋体" w:hAnsi="宋体"/>
          <w:b/>
          <w:color w:val="auto"/>
          <w:sz w:val="24"/>
          <w:lang w:val="en-US" w:eastAsia="zh-CN"/>
        </w:rPr>
        <w:t>3</w:t>
      </w:r>
    </w:p>
    <w:p>
      <w:pPr>
        <w:pStyle w:val="32"/>
        <w:tabs>
          <w:tab w:val="right" w:leader="dot" w:pos="8296"/>
        </w:tabs>
        <w:spacing w:line="440" w:lineRule="exact"/>
        <w:rPr>
          <w:rFonts w:ascii="宋体" w:hAnsi="宋体"/>
          <w:b/>
          <w:color w:val="auto"/>
          <w:sz w:val="24"/>
        </w:rPr>
      </w:pPr>
      <w:r>
        <w:rPr>
          <w:color w:val="auto"/>
        </w:rPr>
        <w:fldChar w:fldCharType="begin"/>
      </w:r>
      <w:r>
        <w:rPr>
          <w:color w:val="auto"/>
        </w:rPr>
        <w:instrText xml:space="preserve"> HYPERLINK \l "_Toc58430328" </w:instrText>
      </w:r>
      <w:r>
        <w:rPr>
          <w:color w:val="auto"/>
        </w:rPr>
        <w:fldChar w:fldCharType="separate"/>
      </w:r>
      <w:r>
        <w:rPr>
          <w:rStyle w:val="62"/>
          <w:rFonts w:hint="eastAsia" w:ascii="宋体" w:hAnsi="宋体"/>
          <w:b/>
          <w:color w:val="auto"/>
          <w:sz w:val="24"/>
        </w:rPr>
        <w:t>第四章</w:t>
      </w:r>
      <w:r>
        <w:rPr>
          <w:rStyle w:val="62"/>
          <w:rFonts w:ascii="宋体" w:hAnsi="宋体"/>
          <w:b/>
          <w:color w:val="auto"/>
          <w:sz w:val="24"/>
        </w:rPr>
        <w:t xml:space="preserve"> </w:t>
      </w:r>
      <w:r>
        <w:rPr>
          <w:rStyle w:val="62"/>
          <w:rFonts w:hint="eastAsia" w:ascii="宋体" w:hAnsi="宋体"/>
          <w:b/>
          <w:color w:val="auto"/>
          <w:sz w:val="24"/>
        </w:rPr>
        <w:t>服务需求</w:t>
      </w:r>
      <w:r>
        <w:rPr>
          <w:rFonts w:ascii="宋体" w:hAnsi="宋体"/>
          <w:b/>
          <w:color w:val="auto"/>
          <w:sz w:val="24"/>
        </w:rPr>
        <w:tab/>
      </w:r>
      <w:r>
        <w:rPr>
          <w:rFonts w:hint="eastAsia" w:ascii="宋体" w:hAnsi="宋体"/>
          <w:b/>
          <w:color w:val="auto"/>
          <w:sz w:val="24"/>
        </w:rPr>
        <w:t>1</w:t>
      </w:r>
      <w:r>
        <w:rPr>
          <w:rFonts w:hint="eastAsia" w:ascii="宋体" w:hAnsi="宋体"/>
          <w:b/>
          <w:color w:val="auto"/>
          <w:sz w:val="24"/>
          <w:lang w:val="en-US" w:eastAsia="zh-CN"/>
        </w:rPr>
        <w:t>9</w:t>
      </w:r>
      <w:r>
        <w:rPr>
          <w:rFonts w:hint="eastAsia" w:ascii="宋体" w:hAnsi="宋体"/>
          <w:b/>
          <w:color w:val="auto"/>
          <w:sz w:val="24"/>
        </w:rPr>
        <w:fldChar w:fldCharType="end"/>
      </w:r>
    </w:p>
    <w:p>
      <w:pPr>
        <w:pStyle w:val="32"/>
        <w:tabs>
          <w:tab w:val="right" w:leader="dot" w:pos="8296"/>
        </w:tabs>
        <w:spacing w:line="440" w:lineRule="exact"/>
        <w:rPr>
          <w:rFonts w:hint="eastAsia" w:ascii="宋体" w:hAnsi="宋体" w:eastAsia="宋体"/>
          <w:b/>
          <w:color w:val="auto"/>
          <w:sz w:val="24"/>
          <w:lang w:val="en-US" w:eastAsia="zh-CN"/>
        </w:rPr>
      </w:pPr>
      <w:r>
        <w:rPr>
          <w:color w:val="auto"/>
        </w:rPr>
        <w:fldChar w:fldCharType="begin"/>
      </w:r>
      <w:r>
        <w:rPr>
          <w:color w:val="auto"/>
        </w:rPr>
        <w:instrText xml:space="preserve"> HYPERLINK \l "_Toc58430329" </w:instrText>
      </w:r>
      <w:r>
        <w:rPr>
          <w:color w:val="auto"/>
        </w:rPr>
        <w:fldChar w:fldCharType="separate"/>
      </w:r>
      <w:r>
        <w:rPr>
          <w:rStyle w:val="62"/>
          <w:rFonts w:hint="eastAsia" w:ascii="宋体" w:hAnsi="宋体"/>
          <w:b/>
          <w:color w:val="auto"/>
          <w:sz w:val="24"/>
        </w:rPr>
        <w:t>第五章</w:t>
      </w:r>
      <w:r>
        <w:rPr>
          <w:rStyle w:val="62"/>
          <w:rFonts w:ascii="宋体" w:hAnsi="宋体"/>
          <w:b/>
          <w:color w:val="auto"/>
          <w:sz w:val="24"/>
        </w:rPr>
        <w:t xml:space="preserve"> </w:t>
      </w:r>
      <w:r>
        <w:rPr>
          <w:rStyle w:val="62"/>
          <w:rFonts w:hint="eastAsia" w:ascii="宋体" w:hAnsi="宋体"/>
          <w:b/>
          <w:color w:val="auto"/>
          <w:sz w:val="24"/>
        </w:rPr>
        <w:t>合同条款及格式</w:t>
      </w:r>
      <w:r>
        <w:rPr>
          <w:rFonts w:ascii="宋体" w:hAnsi="宋体"/>
          <w:b/>
          <w:color w:val="auto"/>
          <w:sz w:val="24"/>
        </w:rPr>
        <w:tab/>
      </w:r>
      <w:r>
        <w:rPr>
          <w:rFonts w:hint="eastAsia" w:ascii="宋体" w:hAnsi="宋体"/>
          <w:b/>
          <w:color w:val="auto"/>
          <w:sz w:val="24"/>
          <w:lang w:val="en-US" w:eastAsia="zh-CN"/>
        </w:rPr>
        <w:t>2</w:t>
      </w:r>
      <w:r>
        <w:rPr>
          <w:rFonts w:hint="eastAsia" w:ascii="宋体" w:hAnsi="宋体"/>
          <w:b/>
          <w:color w:val="auto"/>
          <w:sz w:val="24"/>
        </w:rPr>
        <w:fldChar w:fldCharType="end"/>
      </w:r>
      <w:r>
        <w:rPr>
          <w:rFonts w:hint="eastAsia" w:ascii="宋体" w:hAnsi="宋体"/>
          <w:b/>
          <w:color w:val="auto"/>
          <w:sz w:val="24"/>
          <w:lang w:val="en-US" w:eastAsia="zh-CN"/>
        </w:rPr>
        <w:t>1</w:t>
      </w:r>
    </w:p>
    <w:p>
      <w:pPr>
        <w:pStyle w:val="32"/>
        <w:tabs>
          <w:tab w:val="right" w:leader="dot" w:pos="8296"/>
        </w:tabs>
        <w:spacing w:line="440" w:lineRule="exact"/>
        <w:rPr>
          <w:rFonts w:hint="eastAsia" w:ascii="宋体" w:hAnsi="宋体" w:eastAsia="宋体"/>
          <w:b/>
          <w:color w:val="auto"/>
          <w:sz w:val="24"/>
          <w:lang w:eastAsia="zh-CN"/>
        </w:rPr>
      </w:pPr>
      <w:r>
        <w:rPr>
          <w:color w:val="auto"/>
        </w:rPr>
        <w:fldChar w:fldCharType="begin"/>
      </w:r>
      <w:r>
        <w:rPr>
          <w:color w:val="auto"/>
        </w:rPr>
        <w:instrText xml:space="preserve"> HYPERLINK \l "_Toc58430332" </w:instrText>
      </w:r>
      <w:r>
        <w:rPr>
          <w:color w:val="auto"/>
        </w:rPr>
        <w:fldChar w:fldCharType="separate"/>
      </w:r>
      <w:r>
        <w:rPr>
          <w:rStyle w:val="62"/>
          <w:rFonts w:hint="eastAsia" w:ascii="宋体" w:hAnsi="宋体"/>
          <w:b/>
          <w:color w:val="auto"/>
          <w:sz w:val="24"/>
        </w:rPr>
        <w:t>第六章</w:t>
      </w:r>
      <w:r>
        <w:rPr>
          <w:rStyle w:val="62"/>
          <w:rFonts w:ascii="宋体" w:hAnsi="宋体"/>
          <w:b/>
          <w:color w:val="auto"/>
          <w:sz w:val="24"/>
        </w:rPr>
        <w:t xml:space="preserve"> </w:t>
      </w:r>
      <w:r>
        <w:rPr>
          <w:rStyle w:val="62"/>
          <w:rFonts w:hint="eastAsia" w:ascii="宋体" w:hAnsi="宋体"/>
          <w:b/>
          <w:color w:val="auto"/>
          <w:sz w:val="24"/>
        </w:rPr>
        <w:t>投标文件格式</w:t>
      </w:r>
      <w:r>
        <w:rPr>
          <w:rFonts w:ascii="宋体" w:hAnsi="宋体"/>
          <w:b/>
          <w:color w:val="auto"/>
          <w:sz w:val="24"/>
        </w:rPr>
        <w:tab/>
      </w:r>
      <w:r>
        <w:rPr>
          <w:rFonts w:hint="eastAsia" w:ascii="宋体" w:hAnsi="宋体"/>
          <w:b/>
          <w:color w:val="auto"/>
          <w:sz w:val="24"/>
          <w:lang w:val="en-US" w:eastAsia="zh-CN"/>
        </w:rPr>
        <w:t>2</w:t>
      </w:r>
      <w:r>
        <w:rPr>
          <w:rFonts w:hint="eastAsia" w:ascii="宋体" w:hAnsi="宋体"/>
          <w:b/>
          <w:color w:val="auto"/>
          <w:sz w:val="24"/>
        </w:rPr>
        <w:fldChar w:fldCharType="end"/>
      </w:r>
      <w:r>
        <w:rPr>
          <w:rFonts w:hint="eastAsia" w:ascii="宋体" w:hAnsi="宋体"/>
          <w:b/>
          <w:color w:val="auto"/>
          <w:sz w:val="24"/>
          <w:lang w:val="en-US" w:eastAsia="zh-CN"/>
        </w:rPr>
        <w:t>8</w:t>
      </w:r>
    </w:p>
    <w:p>
      <w:pPr>
        <w:pStyle w:val="32"/>
        <w:tabs>
          <w:tab w:val="right" w:leader="dot" w:pos="8296"/>
        </w:tabs>
        <w:spacing w:line="440" w:lineRule="exact"/>
        <w:rPr>
          <w:rStyle w:val="62"/>
          <w:rFonts w:hint="default" w:ascii="宋体" w:hAnsi="宋体" w:eastAsia="宋体"/>
          <w:b/>
          <w:color w:val="auto"/>
          <w:sz w:val="24"/>
          <w:lang w:val="en-US" w:eastAsia="zh-CN"/>
        </w:rPr>
      </w:pPr>
      <w:r>
        <w:rPr>
          <w:rStyle w:val="62"/>
          <w:rFonts w:hint="eastAsia" w:hAnsi="宋体"/>
          <w:b/>
          <w:color w:val="auto"/>
          <w:sz w:val="24"/>
        </w:rPr>
        <w:t>第七章 采购人、采购代理机构对本招标文件的确认</w:t>
      </w:r>
      <w:r>
        <w:rPr>
          <w:rFonts w:ascii="宋体" w:hAnsi="宋体"/>
          <w:b/>
          <w:color w:val="auto"/>
          <w:sz w:val="24"/>
        </w:rPr>
        <w:tab/>
      </w:r>
      <w:r>
        <w:rPr>
          <w:rStyle w:val="62"/>
          <w:rFonts w:hint="eastAsia" w:hAnsi="宋体"/>
          <w:b/>
          <w:color w:val="auto"/>
          <w:sz w:val="24"/>
          <w:lang w:val="en-US" w:eastAsia="zh-CN"/>
        </w:rPr>
        <w:t>40</w:t>
      </w:r>
    </w:p>
    <w:p>
      <w:pPr>
        <w:rPr>
          <w:rFonts w:ascii="宋体" w:hAnsi="宋体" w:cs="宋体"/>
          <w:bCs/>
          <w:color w:val="auto"/>
          <w:spacing w:val="20"/>
          <w:sz w:val="24"/>
        </w:rPr>
      </w:pPr>
      <w:r>
        <w:rPr>
          <w:rFonts w:hint="eastAsia" w:ascii="宋体" w:hAnsi="宋体" w:cs="宋体"/>
          <w:color w:val="auto"/>
          <w:sz w:val="24"/>
        </w:rPr>
        <w:fldChar w:fldCharType="end"/>
      </w:r>
    </w:p>
    <w:p>
      <w:pPr>
        <w:rPr>
          <w:rFonts w:ascii="宋体" w:hAnsi="宋体" w:cs="宋体"/>
          <w:bCs/>
          <w:color w:val="auto"/>
          <w:sz w:val="24"/>
        </w:rPr>
      </w:pPr>
    </w:p>
    <w:p>
      <w:pPr>
        <w:rPr>
          <w:rFonts w:ascii="宋体" w:hAnsi="宋体" w:cs="宋体"/>
          <w:bCs/>
          <w:color w:val="auto"/>
          <w:sz w:val="24"/>
        </w:rPr>
      </w:pPr>
    </w:p>
    <w:p>
      <w:pPr>
        <w:pStyle w:val="32"/>
        <w:tabs>
          <w:tab w:val="right" w:leader="dot" w:pos="9071"/>
        </w:tabs>
        <w:spacing w:line="360" w:lineRule="auto"/>
        <w:rPr>
          <w:rFonts w:ascii="宋体" w:hAnsi="宋体" w:cs="宋体"/>
          <w:b w:val="0"/>
          <w:color w:val="auto"/>
          <w:szCs w:val="24"/>
        </w:rPr>
      </w:pPr>
    </w:p>
    <w:p>
      <w:pPr>
        <w:rPr>
          <w:rFonts w:ascii="宋体" w:hAnsi="宋体" w:cs="宋体"/>
          <w:bCs/>
          <w:color w:val="auto"/>
          <w:sz w:val="24"/>
        </w:rPr>
      </w:pPr>
    </w:p>
    <w:p>
      <w:pPr>
        <w:spacing w:before="156" w:beforeLines="50" w:after="156" w:afterLines="50"/>
        <w:jc w:val="center"/>
        <w:rPr>
          <w:rFonts w:ascii="宋体" w:hAnsi="宋体" w:cs="宋体"/>
          <w:b/>
          <w:color w:val="auto"/>
          <w:sz w:val="32"/>
          <w:szCs w:val="32"/>
        </w:rPr>
        <w:sectPr>
          <w:footerReference r:id="rId5" w:type="first"/>
          <w:headerReference r:id="rId3" w:type="default"/>
          <w:footerReference r:id="rId4" w:type="default"/>
          <w:pgSz w:w="11907" w:h="16840"/>
          <w:pgMar w:top="1440" w:right="1800" w:bottom="1440" w:left="1800" w:header="680" w:footer="680" w:gutter="0"/>
          <w:cols w:space="720" w:num="1"/>
          <w:titlePg/>
          <w:docGrid w:type="lines" w:linePitch="312" w:charSpace="0"/>
        </w:sectPr>
      </w:pPr>
      <w:bookmarkStart w:id="4" w:name="_Toc20534"/>
      <w:r>
        <w:rPr>
          <w:rFonts w:hint="eastAsia" w:ascii="宋体"/>
          <w:b/>
          <w:color w:val="auto"/>
          <w:sz w:val="28"/>
          <w:szCs w:val="28"/>
        </w:rPr>
        <w:br w:type="page"/>
      </w:r>
    </w:p>
    <w:p>
      <w:pPr>
        <w:spacing w:before="156" w:beforeLines="50" w:after="156" w:afterLines="50" w:line="560" w:lineRule="exact"/>
        <w:jc w:val="center"/>
        <w:outlineLvl w:val="0"/>
        <w:rPr>
          <w:rFonts w:ascii="宋体" w:hAnsi="宋体" w:cs="宋体"/>
          <w:color w:val="auto"/>
          <w:sz w:val="32"/>
          <w:szCs w:val="32"/>
        </w:rPr>
      </w:pPr>
      <w:bookmarkStart w:id="5" w:name="_Toc58430304"/>
      <w:bookmarkStart w:id="6" w:name="_Toc16307"/>
      <w:bookmarkStart w:id="7" w:name="_Toc32457"/>
      <w:r>
        <w:rPr>
          <w:rFonts w:hint="eastAsia" w:ascii="宋体" w:hAnsi="宋体" w:cs="宋体"/>
          <w:b/>
          <w:bCs/>
          <w:color w:val="auto"/>
          <w:kern w:val="44"/>
          <w:sz w:val="32"/>
          <w:szCs w:val="32"/>
        </w:rPr>
        <w:t>第一章</w:t>
      </w:r>
      <w:r>
        <w:rPr>
          <w:rFonts w:hint="eastAsia" w:ascii="宋体" w:hAnsi="宋体" w:cs="宋体"/>
          <w:b/>
          <w:color w:val="auto"/>
          <w:sz w:val="32"/>
          <w:szCs w:val="32"/>
        </w:rPr>
        <w:t xml:space="preserve">  </w:t>
      </w:r>
      <w:r>
        <w:rPr>
          <w:rFonts w:hint="eastAsia" w:ascii="宋体" w:hAnsi="宋体" w:cs="宋体"/>
          <w:b/>
          <w:bCs/>
          <w:color w:val="auto"/>
          <w:kern w:val="44"/>
          <w:sz w:val="32"/>
          <w:szCs w:val="32"/>
          <w:lang w:eastAsia="zh-CN"/>
        </w:rPr>
        <w:t>滁州市第二人民医院中央空调维护保养项目</w:t>
      </w:r>
      <w:r>
        <w:rPr>
          <w:rFonts w:hint="eastAsia" w:ascii="宋体" w:hAnsi="宋体" w:cs="宋体"/>
          <w:b/>
          <w:bCs/>
          <w:color w:val="auto"/>
          <w:kern w:val="44"/>
          <w:sz w:val="32"/>
          <w:szCs w:val="32"/>
        </w:rPr>
        <w:t>招标公告</w:t>
      </w:r>
      <w:bookmarkEnd w:id="5"/>
    </w:p>
    <w:p>
      <w:pPr>
        <w:spacing w:line="440" w:lineRule="exact"/>
        <w:ind w:firstLine="482" w:firstLineChars="200"/>
        <w:rPr>
          <w:rFonts w:ascii="宋体" w:hAnsi="宋体" w:cs="宋体"/>
          <w:b/>
          <w:bCs/>
          <w:color w:val="auto"/>
          <w:sz w:val="24"/>
        </w:rPr>
      </w:pPr>
      <w:bookmarkStart w:id="8" w:name="_Toc35393621"/>
      <w:bookmarkStart w:id="9" w:name="_Toc58430305"/>
      <w:bookmarkStart w:id="10" w:name="_Toc28359079"/>
      <w:bookmarkStart w:id="11" w:name="_Toc28359002"/>
      <w:bookmarkStart w:id="12" w:name="_Toc35393790"/>
      <w:bookmarkStart w:id="13" w:name="_Hlk24379207"/>
      <w:r>
        <w:rPr>
          <w:rFonts w:hint="eastAsia" w:ascii="宋体" w:hAnsi="宋体" w:cs="宋体"/>
          <w:b/>
          <w:bCs/>
          <w:color w:val="auto"/>
          <w:sz w:val="24"/>
        </w:rPr>
        <w:t>一、项目基本情况</w:t>
      </w:r>
      <w:bookmarkEnd w:id="8"/>
      <w:bookmarkEnd w:id="9"/>
      <w:bookmarkEnd w:id="10"/>
      <w:bookmarkEnd w:id="11"/>
      <w:bookmarkEnd w:id="12"/>
    </w:p>
    <w:p>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滁州市第二人民医院中央空调维护保养项目</w:t>
      </w:r>
    </w:p>
    <w:p>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CZEY-2024029</w:t>
      </w:r>
    </w:p>
    <w:bookmarkEnd w:id="13"/>
    <w:p>
      <w:pPr>
        <w:spacing w:line="440" w:lineRule="exact"/>
        <w:ind w:firstLine="480" w:firstLineChars="200"/>
        <w:rPr>
          <w:rFonts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15万元/年</w:t>
      </w:r>
    </w:p>
    <w:p>
      <w:pPr>
        <w:spacing w:line="440" w:lineRule="exact"/>
        <w:ind w:firstLine="480" w:firstLineChars="200"/>
        <w:rPr>
          <w:rFonts w:ascii="宋体" w:hAnsi="宋体" w:cs="宋体"/>
          <w:color w:val="auto"/>
          <w:sz w:val="24"/>
          <w:highlight w:val="yellow"/>
        </w:rPr>
      </w:pPr>
      <w:r>
        <w:rPr>
          <w:rFonts w:hint="eastAsia" w:ascii="宋体" w:hAnsi="宋体" w:cs="宋体"/>
          <w:color w:val="auto"/>
          <w:sz w:val="24"/>
          <w:highlight w:val="yellow"/>
        </w:rPr>
        <w:t>最高限价：</w:t>
      </w:r>
      <w:r>
        <w:rPr>
          <w:rFonts w:hint="eastAsia" w:ascii="宋体" w:hAnsi="宋体" w:cs="宋体"/>
          <w:color w:val="auto"/>
          <w:sz w:val="24"/>
          <w:highlight w:val="yellow"/>
          <w:lang w:val="en-US" w:eastAsia="zh-CN"/>
        </w:rPr>
        <w:t>15万元/年</w:t>
      </w:r>
      <w:r>
        <w:rPr>
          <w:rFonts w:hint="eastAsia" w:ascii="宋体" w:hAnsi="宋体" w:cs="宋体"/>
          <w:color w:val="auto"/>
          <w:sz w:val="24"/>
          <w:highlight w:val="yellow"/>
        </w:rPr>
        <w:t>，投标人报价高于此限价的，其投标文件按无效标处理（小于等于此报价的为有效报价）</w:t>
      </w:r>
    </w:p>
    <w:p>
      <w:pPr>
        <w:spacing w:line="440" w:lineRule="exact"/>
        <w:ind w:firstLine="480" w:firstLineChars="200"/>
        <w:rPr>
          <w:rFonts w:hint="eastAsia" w:ascii="宋体" w:hAnsi="宋体" w:eastAsia="宋体" w:cs="宋体"/>
          <w:color w:val="auto"/>
          <w:sz w:val="24"/>
          <w:highlight w:val="yellow"/>
          <w:lang w:val="en-US" w:eastAsia="zh-CN"/>
        </w:rPr>
      </w:pPr>
      <w:r>
        <w:rPr>
          <w:rFonts w:hint="eastAsia" w:ascii="宋体" w:hAnsi="宋体" w:cs="宋体"/>
          <w:color w:val="auto"/>
          <w:sz w:val="24"/>
          <w:highlight w:val="yellow"/>
        </w:rPr>
        <w:t>采购需求：</w:t>
      </w:r>
      <w:r>
        <w:rPr>
          <w:rFonts w:hint="eastAsia" w:ascii="宋体" w:hAnsi="宋体" w:cs="宋体"/>
          <w:color w:val="auto"/>
          <w:sz w:val="24"/>
          <w:highlight w:val="yellow"/>
          <w:lang w:val="en-US" w:eastAsia="zh-CN"/>
        </w:rPr>
        <w:t>三年（合同一年一签）</w:t>
      </w:r>
    </w:p>
    <w:p>
      <w:pPr>
        <w:spacing w:line="440" w:lineRule="exact"/>
        <w:ind w:firstLine="480" w:firstLineChars="200"/>
        <w:rPr>
          <w:rFonts w:ascii="宋体" w:hAnsi="宋体" w:cs="宋体"/>
          <w:color w:val="auto"/>
          <w:sz w:val="24"/>
        </w:rPr>
      </w:pPr>
      <w:r>
        <w:rPr>
          <w:rFonts w:hint="eastAsia" w:ascii="宋体" w:hAnsi="宋体" w:cs="宋体"/>
          <w:color w:val="auto"/>
          <w:sz w:val="24"/>
        </w:rPr>
        <w:t>本项目不接受联合体投标。</w:t>
      </w:r>
    </w:p>
    <w:p>
      <w:pPr>
        <w:spacing w:line="440" w:lineRule="exact"/>
        <w:ind w:firstLine="482" w:firstLineChars="200"/>
        <w:rPr>
          <w:rFonts w:ascii="宋体" w:hAnsi="宋体" w:cs="宋体"/>
          <w:b/>
          <w:bCs/>
          <w:color w:val="auto"/>
          <w:sz w:val="24"/>
        </w:rPr>
      </w:pPr>
      <w:bookmarkStart w:id="14" w:name="_Toc35393791"/>
      <w:bookmarkStart w:id="15" w:name="_Toc28359003"/>
      <w:bookmarkStart w:id="16" w:name="_Toc28359080"/>
      <w:bookmarkStart w:id="17" w:name="_Toc58430306"/>
      <w:bookmarkStart w:id="18" w:name="_Toc35393622"/>
      <w:r>
        <w:rPr>
          <w:rFonts w:hint="eastAsia" w:ascii="宋体" w:hAnsi="宋体" w:cs="宋体"/>
          <w:b/>
          <w:bCs/>
          <w:color w:val="auto"/>
          <w:sz w:val="24"/>
        </w:rPr>
        <w:t>二、申请人的资格要求</w:t>
      </w:r>
      <w:bookmarkEnd w:id="14"/>
      <w:bookmarkEnd w:id="15"/>
      <w:bookmarkEnd w:id="16"/>
      <w:bookmarkEnd w:id="17"/>
      <w:bookmarkEnd w:id="18"/>
    </w:p>
    <w:p>
      <w:pPr>
        <w:spacing w:line="440" w:lineRule="exact"/>
        <w:ind w:firstLine="480" w:firstLineChars="200"/>
        <w:rPr>
          <w:rFonts w:hint="eastAsia" w:ascii="宋体" w:hAnsi="宋体" w:cs="宋体"/>
          <w:color w:val="auto"/>
          <w:sz w:val="24"/>
        </w:rPr>
      </w:pPr>
      <w:bookmarkStart w:id="19" w:name="_Toc28359004"/>
      <w:bookmarkStart w:id="20" w:name="_Toc28359081"/>
      <w:r>
        <w:rPr>
          <w:rFonts w:hint="eastAsia" w:ascii="宋体" w:hAnsi="宋体" w:cs="宋体"/>
          <w:color w:val="auto"/>
          <w:sz w:val="24"/>
        </w:rPr>
        <w:t>1.满足《中华人民共和国政府采购法》第二十二条规定；</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2.落实政府采购政策需满足的资格要求：无</w:t>
      </w:r>
    </w:p>
    <w:p>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3.本项目的特定资格要求：</w:t>
      </w:r>
      <w:r>
        <w:rPr>
          <w:rFonts w:hint="eastAsia" w:ascii="宋体" w:hAnsi="宋体" w:cs="宋体"/>
          <w:color w:val="auto"/>
          <w:sz w:val="24"/>
          <w:highlight w:val="yellow"/>
          <w:u w:val="single"/>
          <w:lang w:val="en-US" w:eastAsia="zh-CN"/>
        </w:rPr>
        <w:t>具有有效的营业执照且具有相应服务范围</w:t>
      </w:r>
      <w:r>
        <w:rPr>
          <w:rFonts w:hint="eastAsia" w:ascii="宋体" w:hAnsi="宋体" w:cs="宋体"/>
          <w:color w:val="auto"/>
          <w:sz w:val="24"/>
          <w:highlight w:val="none"/>
          <w:lang w:eastAsia="zh-CN"/>
        </w:rPr>
        <w:t>；</w:t>
      </w:r>
    </w:p>
    <w:p>
      <w:pPr>
        <w:spacing w:line="440" w:lineRule="exact"/>
        <w:ind w:firstLine="480" w:firstLineChars="200"/>
        <w:rPr>
          <w:rFonts w:ascii="宋体" w:hAnsi="宋体" w:cs="宋体"/>
          <w:color w:val="auto"/>
          <w:sz w:val="24"/>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.信誉</w:t>
      </w:r>
      <w:r>
        <w:rPr>
          <w:rFonts w:hint="eastAsia" w:ascii="宋体" w:hAnsi="宋体" w:cs="宋体"/>
          <w:color w:val="auto"/>
          <w:sz w:val="24"/>
        </w:rPr>
        <w:t>要求：投标人不得存在以下情形：</w:t>
      </w:r>
    </w:p>
    <w:p>
      <w:pPr>
        <w:spacing w:line="440" w:lineRule="exact"/>
        <w:ind w:firstLine="480" w:firstLineChars="200"/>
        <w:rPr>
          <w:rFonts w:ascii="宋体" w:hAnsi="宋体" w:cs="宋体"/>
          <w:color w:val="auto"/>
          <w:sz w:val="24"/>
        </w:rPr>
      </w:pPr>
      <w:r>
        <w:rPr>
          <w:rFonts w:hint="eastAsia" w:ascii="宋体" w:hAnsi="宋体" w:cs="宋体"/>
          <w:color w:val="auto"/>
          <w:sz w:val="24"/>
        </w:rPr>
        <w:t>①投标人被人民法院列入失信被执行人的；</w:t>
      </w:r>
    </w:p>
    <w:p>
      <w:pPr>
        <w:spacing w:line="440" w:lineRule="exact"/>
        <w:ind w:firstLine="480" w:firstLineChars="200"/>
        <w:rPr>
          <w:rFonts w:ascii="宋体" w:hAnsi="宋体" w:cs="宋体"/>
          <w:color w:val="auto"/>
          <w:sz w:val="24"/>
        </w:rPr>
      </w:pPr>
      <w:r>
        <w:rPr>
          <w:rFonts w:hint="eastAsia" w:ascii="宋体" w:hAnsi="宋体" w:cs="宋体"/>
          <w:color w:val="auto"/>
          <w:sz w:val="24"/>
        </w:rPr>
        <w:t>②投标人或其法定代表人或拟派项目负责人前三年有行贿犯罪行为的；</w:t>
      </w:r>
    </w:p>
    <w:p>
      <w:pPr>
        <w:spacing w:line="440" w:lineRule="exact"/>
        <w:ind w:firstLine="480" w:firstLineChars="200"/>
        <w:rPr>
          <w:rFonts w:ascii="宋体" w:hAnsi="宋体" w:cs="宋体"/>
          <w:color w:val="auto"/>
          <w:sz w:val="24"/>
        </w:rPr>
      </w:pPr>
      <w:r>
        <w:rPr>
          <w:rFonts w:hint="eastAsia" w:ascii="宋体" w:hAnsi="宋体" w:cs="宋体"/>
          <w:color w:val="auto"/>
          <w:sz w:val="24"/>
        </w:rPr>
        <w:t>③投标人被市场监督管理部门列入经营异常名录或者严重违法企业名单的；</w:t>
      </w:r>
    </w:p>
    <w:p>
      <w:pPr>
        <w:spacing w:line="440" w:lineRule="exact"/>
        <w:ind w:firstLine="480" w:firstLineChars="200"/>
        <w:rPr>
          <w:rFonts w:ascii="宋体" w:hAnsi="宋体" w:cs="宋体"/>
          <w:color w:val="auto"/>
          <w:sz w:val="24"/>
        </w:rPr>
      </w:pPr>
      <w:r>
        <w:rPr>
          <w:rFonts w:hint="eastAsia" w:ascii="宋体" w:hAnsi="宋体" w:cs="宋体"/>
          <w:color w:val="auto"/>
          <w:sz w:val="24"/>
        </w:rPr>
        <w:t>④投标人被税务部门列入重大税收违法案件当事人的；</w:t>
      </w:r>
    </w:p>
    <w:p>
      <w:pPr>
        <w:spacing w:line="440" w:lineRule="exact"/>
        <w:ind w:firstLine="480" w:firstLineChars="200"/>
        <w:rPr>
          <w:rFonts w:ascii="宋体" w:hAnsi="宋体" w:cs="宋体"/>
          <w:color w:val="auto"/>
          <w:sz w:val="24"/>
        </w:rPr>
      </w:pPr>
      <w:r>
        <w:rPr>
          <w:rFonts w:hint="eastAsia" w:ascii="宋体" w:hAnsi="宋体" w:cs="宋体"/>
          <w:color w:val="auto"/>
          <w:sz w:val="24"/>
        </w:rPr>
        <w:t>⑤在“信用中国”网站上披露仍在公示期的严重失信行为的。</w:t>
      </w:r>
    </w:p>
    <w:p>
      <w:pPr>
        <w:spacing w:line="440" w:lineRule="exact"/>
        <w:ind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.投标人所属分公司、办事处等分支机构存在第4款信誉要求①-⑤项情形之一的，接受投标人参加本项目。</w:t>
      </w:r>
    </w:p>
    <w:p>
      <w:pPr>
        <w:spacing w:line="440" w:lineRule="exact"/>
        <w:ind w:firstLine="480" w:firstLineChars="200"/>
        <w:rPr>
          <w:rFonts w:ascii="宋体" w:hAnsi="宋体" w:cs="宋体"/>
          <w:color w:val="auto"/>
          <w:sz w:val="24"/>
        </w:rPr>
      </w:pPr>
      <w:r>
        <w:rPr>
          <w:rFonts w:hint="eastAsia" w:ascii="宋体" w:hAnsi="宋体" w:cs="宋体"/>
          <w:color w:val="auto"/>
          <w:sz w:val="24"/>
        </w:rPr>
        <w:t>备注：第</w:t>
      </w:r>
      <w:r>
        <w:rPr>
          <w:rFonts w:hint="eastAsia" w:ascii="宋体" w:hAnsi="宋体" w:cs="宋体"/>
          <w:color w:val="auto"/>
          <w:sz w:val="24"/>
          <w:lang w:val="en-US" w:eastAsia="zh-CN"/>
        </w:rPr>
        <w:t>3、4</w:t>
      </w:r>
      <w:r>
        <w:rPr>
          <w:rFonts w:hint="eastAsia" w:ascii="宋体" w:hAnsi="宋体" w:cs="宋体"/>
          <w:color w:val="auto"/>
          <w:sz w:val="24"/>
        </w:rPr>
        <w:t>条自行查询或承诺。</w:t>
      </w:r>
    </w:p>
    <w:bookmarkEnd w:id="19"/>
    <w:bookmarkEnd w:id="20"/>
    <w:p>
      <w:pPr>
        <w:spacing w:line="440" w:lineRule="exact"/>
        <w:ind w:firstLine="482" w:firstLineChars="200"/>
        <w:rPr>
          <w:rFonts w:ascii="宋体" w:hAnsi="宋体" w:cs="宋体"/>
          <w:b/>
          <w:bCs/>
          <w:color w:val="auto"/>
          <w:sz w:val="24"/>
        </w:rPr>
      </w:pPr>
      <w:bookmarkStart w:id="21" w:name="_Toc28359007"/>
      <w:bookmarkStart w:id="22" w:name="_Toc28359084"/>
      <w:bookmarkStart w:id="23" w:name="_Toc35393625"/>
      <w:bookmarkStart w:id="24" w:name="_Toc58430309"/>
      <w:bookmarkStart w:id="25" w:name="_Toc35393794"/>
      <w:r>
        <w:rPr>
          <w:rFonts w:hint="eastAsia" w:ascii="宋体" w:hAnsi="宋体" w:cs="宋体"/>
          <w:b/>
          <w:bCs/>
          <w:color w:val="auto"/>
          <w:sz w:val="24"/>
        </w:rPr>
        <w:t>三、招标公告发布时间及文件领取方式：</w:t>
      </w:r>
    </w:p>
    <w:p>
      <w:pPr>
        <w:spacing w:line="440" w:lineRule="exact"/>
        <w:ind w:firstLine="480" w:firstLineChars="200"/>
        <w:rPr>
          <w:rFonts w:ascii="宋体" w:hAnsi="宋体" w:cs="宋体"/>
          <w:color w:val="auto"/>
          <w:sz w:val="24"/>
        </w:rPr>
      </w:pPr>
      <w:r>
        <w:rPr>
          <w:rFonts w:hint="eastAsia" w:ascii="宋体" w:hAnsi="宋体" w:cs="宋体"/>
          <w:color w:val="auto"/>
          <w:sz w:val="24"/>
        </w:rPr>
        <w:t>发布时间：2024年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w:t>
      </w:r>
      <w:r>
        <w:rPr>
          <w:rFonts w:hint="eastAsia" w:ascii="宋体" w:hAnsi="宋体" w:cs="宋体"/>
          <w:color w:val="auto"/>
          <w:sz w:val="24"/>
          <w:lang w:val="en-US" w:eastAsia="zh-CN"/>
        </w:rPr>
        <w:t>12</w:t>
      </w:r>
      <w:r>
        <w:rPr>
          <w:rFonts w:hint="eastAsia" w:ascii="宋体" w:hAnsi="宋体" w:cs="宋体"/>
          <w:color w:val="auto"/>
          <w:sz w:val="24"/>
        </w:rPr>
        <w:t>时后</w:t>
      </w:r>
    </w:p>
    <w:p>
      <w:pPr>
        <w:spacing w:line="440" w:lineRule="exact"/>
        <w:ind w:firstLine="480" w:firstLineChars="200"/>
        <w:rPr>
          <w:rFonts w:ascii="宋体" w:hAnsi="宋体" w:cs="宋体"/>
          <w:color w:val="auto"/>
          <w:sz w:val="24"/>
        </w:rPr>
      </w:pPr>
      <w:r>
        <w:rPr>
          <w:rFonts w:hint="eastAsia" w:ascii="宋体" w:hAnsi="宋体" w:cs="宋体"/>
          <w:color w:val="auto"/>
          <w:sz w:val="24"/>
        </w:rPr>
        <w:t>领取方式：滁州市第二人民医院官网，自行下载</w:t>
      </w:r>
    </w:p>
    <w:p>
      <w:pPr>
        <w:spacing w:line="440" w:lineRule="exact"/>
        <w:ind w:firstLine="482" w:firstLineChars="200"/>
        <w:rPr>
          <w:rFonts w:ascii="宋体" w:hAnsi="宋体" w:cs="宋体"/>
          <w:b/>
          <w:bCs/>
          <w:color w:val="auto"/>
          <w:sz w:val="24"/>
        </w:rPr>
      </w:pPr>
      <w:bookmarkStart w:id="26" w:name="_Toc28359005"/>
      <w:bookmarkStart w:id="27" w:name="_Toc28359082"/>
      <w:bookmarkStart w:id="28" w:name="_Toc35393793"/>
      <w:bookmarkStart w:id="29" w:name="_Toc35393624"/>
      <w:bookmarkStart w:id="30" w:name="_Toc58430308"/>
      <w:r>
        <w:rPr>
          <w:rFonts w:hint="eastAsia" w:ascii="宋体" w:hAnsi="宋体" w:cs="宋体"/>
          <w:b/>
          <w:bCs/>
          <w:color w:val="auto"/>
          <w:sz w:val="24"/>
        </w:rPr>
        <w:t>四、投标文件递交</w:t>
      </w:r>
      <w:bookmarkEnd w:id="26"/>
      <w:bookmarkEnd w:id="27"/>
      <w:r>
        <w:rPr>
          <w:rFonts w:hint="eastAsia" w:ascii="宋体" w:hAnsi="宋体" w:cs="宋体"/>
          <w:b/>
          <w:bCs/>
          <w:color w:val="auto"/>
          <w:sz w:val="24"/>
        </w:rPr>
        <w:t>截止时间、开标时间和地点</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2024年</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eastAsia="zh-CN"/>
        </w:rPr>
        <w:t>月</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eastAsia="zh-CN"/>
        </w:rPr>
        <w:t>日</w:t>
      </w:r>
      <w:r>
        <w:rPr>
          <w:rFonts w:hint="eastAsia" w:ascii="宋体" w:hAnsi="宋体" w:cs="宋体"/>
          <w:b/>
          <w:bCs/>
          <w:color w:val="auto"/>
          <w:sz w:val="24"/>
          <w:szCs w:val="24"/>
          <w:lang w:val="en-US" w:eastAsia="zh-CN"/>
        </w:rPr>
        <w:t>11</w:t>
      </w:r>
      <w:r>
        <w:rPr>
          <w:rFonts w:hint="eastAsia" w:ascii="宋体" w:hAnsi="宋体" w:eastAsia="宋体" w:cs="宋体"/>
          <w:b/>
          <w:bCs/>
          <w:color w:val="auto"/>
          <w:sz w:val="24"/>
          <w:szCs w:val="24"/>
          <w:lang w:eastAsia="zh-CN"/>
        </w:rPr>
        <w:t>时</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0</w:t>
      </w:r>
      <w:r>
        <w:rPr>
          <w:rFonts w:hint="eastAsia" w:ascii="宋体" w:hAnsi="宋体" w:eastAsia="宋体" w:cs="宋体"/>
          <w:b/>
          <w:bCs/>
          <w:color w:val="auto"/>
          <w:sz w:val="24"/>
          <w:szCs w:val="24"/>
          <w:lang w:eastAsia="zh-CN"/>
        </w:rPr>
        <w:t>分</w:t>
      </w:r>
      <w:r>
        <w:rPr>
          <w:rFonts w:hint="eastAsia" w:ascii="宋体" w:hAnsi="宋体" w:eastAsia="宋体" w:cs="宋体"/>
          <w:b/>
          <w:bCs/>
          <w:color w:val="auto"/>
          <w:sz w:val="24"/>
          <w:szCs w:val="24"/>
          <w:lang w:val="en-US" w:eastAsia="zh-CN"/>
        </w:rPr>
        <w:t>前</w:t>
      </w:r>
      <w:r>
        <w:rPr>
          <w:rFonts w:hint="eastAsia" w:ascii="宋体" w:hAnsi="宋体" w:eastAsia="宋体" w:cs="宋体"/>
          <w:b/>
          <w:bCs/>
          <w:color w:val="auto"/>
          <w:sz w:val="24"/>
          <w:szCs w:val="24"/>
          <w:lang w:eastAsia="zh-CN"/>
        </w:rPr>
        <w:t>(北京时间)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注：各投标人可以采用直接送达或邮寄的方式，递交时间以直接送达或快递送达的时间为准，逾期不予接收。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eastAsia="宋体" w:cs="宋体"/>
          <w:color w:val="auto"/>
          <w:sz w:val="24"/>
          <w:szCs w:val="24"/>
          <w:lang w:val="en-US" w:eastAsia="zh-CN"/>
        </w:rPr>
        <w:t>滁州市第二人民医院西区至善楼三楼第三会议室</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五、公告期限</w:t>
      </w:r>
      <w:bookmarkEnd w:id="21"/>
      <w:bookmarkEnd w:id="22"/>
      <w:bookmarkEnd w:id="23"/>
      <w:bookmarkEnd w:id="24"/>
      <w:bookmarkEnd w:id="25"/>
    </w:p>
    <w:p>
      <w:pPr>
        <w:spacing w:line="440" w:lineRule="exact"/>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六、投标保证金金额及缴纳账户</w:t>
      </w:r>
    </w:p>
    <w:p>
      <w:pPr>
        <w:spacing w:line="440" w:lineRule="exact"/>
        <w:ind w:firstLine="480" w:firstLineChars="200"/>
        <w:rPr>
          <w:rFonts w:hint="eastAsia" w:ascii="宋体" w:hAnsi="宋体" w:cs="宋体"/>
          <w:color w:val="auto"/>
          <w:sz w:val="24"/>
          <w:lang w:val="en-US" w:eastAsia="zh-CN"/>
        </w:rPr>
      </w:pPr>
      <w:bookmarkStart w:id="31" w:name="_Toc58430312"/>
      <w:r>
        <w:rPr>
          <w:rFonts w:hint="eastAsia" w:ascii="宋体" w:hAnsi="宋体" w:cs="宋体"/>
          <w:color w:val="auto"/>
          <w:sz w:val="24"/>
          <w:lang w:val="en-US" w:eastAsia="zh-CN"/>
        </w:rPr>
        <w:t>不要求</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七、对本次招标提出询问，请按以下方式联系</w:t>
      </w:r>
      <w:bookmarkEnd w:id="31"/>
    </w:p>
    <w:p>
      <w:pPr>
        <w:spacing w:line="440" w:lineRule="exact"/>
        <w:ind w:firstLine="480" w:firstLineChars="200"/>
        <w:rPr>
          <w:rFonts w:ascii="宋体" w:hAnsi="宋体" w:cs="宋体"/>
          <w:color w:val="auto"/>
          <w:sz w:val="24"/>
        </w:rPr>
      </w:pPr>
      <w:r>
        <w:rPr>
          <w:rFonts w:hint="eastAsia" w:ascii="宋体" w:hAnsi="宋体" w:cs="宋体"/>
          <w:color w:val="auto"/>
          <w:sz w:val="24"/>
        </w:rPr>
        <w:t>1.采购人信息</w:t>
      </w:r>
    </w:p>
    <w:p>
      <w:pPr>
        <w:spacing w:line="440" w:lineRule="exact"/>
        <w:ind w:firstLine="480" w:firstLineChars="200"/>
        <w:rPr>
          <w:rFonts w:ascii="宋体" w:hAnsi="宋体" w:cs="宋体"/>
          <w:color w:val="auto"/>
          <w:sz w:val="24"/>
        </w:rPr>
      </w:pPr>
      <w:r>
        <w:rPr>
          <w:rFonts w:hint="eastAsia" w:ascii="宋体" w:hAnsi="宋体" w:cs="宋体"/>
          <w:color w:val="auto"/>
          <w:sz w:val="24"/>
        </w:rPr>
        <w:t>名    称：滁州市第二人民医院（市传染病医院、市精神病医院）</w:t>
      </w:r>
    </w:p>
    <w:p>
      <w:pPr>
        <w:spacing w:line="440" w:lineRule="exact"/>
        <w:ind w:firstLine="480" w:firstLineChars="200"/>
        <w:rPr>
          <w:rFonts w:ascii="宋体" w:hAnsi="宋体" w:cs="宋体"/>
          <w:color w:val="auto"/>
          <w:sz w:val="24"/>
        </w:rPr>
      </w:pPr>
      <w:r>
        <w:rPr>
          <w:rFonts w:hint="eastAsia" w:ascii="宋体" w:hAnsi="宋体" w:cs="宋体"/>
          <w:color w:val="auto"/>
          <w:sz w:val="24"/>
        </w:rPr>
        <w:t>地    址：滁州市清流中路1401号</w:t>
      </w:r>
    </w:p>
    <w:p>
      <w:pPr>
        <w:spacing w:line="440" w:lineRule="exact"/>
        <w:ind w:firstLine="480" w:firstLineChars="200"/>
        <w:rPr>
          <w:rFonts w:ascii="宋体" w:hAnsi="宋体" w:cs="宋体"/>
          <w:color w:val="auto"/>
          <w:sz w:val="24"/>
        </w:rPr>
      </w:pPr>
      <w:r>
        <w:rPr>
          <w:rFonts w:hint="eastAsia" w:ascii="宋体" w:hAnsi="宋体" w:cs="宋体"/>
          <w:color w:val="auto"/>
          <w:sz w:val="24"/>
        </w:rPr>
        <w:t>联系方式：</w:t>
      </w:r>
      <w:bookmarkStart w:id="32" w:name="_Toc28359086"/>
      <w:bookmarkStart w:id="33" w:name="_Toc28359009"/>
      <w:r>
        <w:rPr>
          <w:rFonts w:hint="eastAsia" w:ascii="宋体" w:hAnsi="宋体" w:cs="宋体"/>
          <w:color w:val="auto"/>
          <w:sz w:val="24"/>
          <w:lang w:eastAsia="zh-CN"/>
        </w:rPr>
        <w:t>招标办</w:t>
      </w:r>
      <w:r>
        <w:rPr>
          <w:rFonts w:hint="eastAsia" w:ascii="宋体" w:hAnsi="宋体" w:cs="宋体"/>
          <w:color w:val="auto"/>
          <w:sz w:val="24"/>
        </w:rPr>
        <w:t xml:space="preserve">0550-3523822 </w:t>
      </w:r>
    </w:p>
    <w:p>
      <w:pPr>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bookmarkEnd w:id="32"/>
      <w:bookmarkEnd w:id="33"/>
    </w:p>
    <w:p>
      <w:pPr>
        <w:spacing w:line="440" w:lineRule="exact"/>
        <w:ind w:firstLine="480" w:firstLineChars="200"/>
        <w:rPr>
          <w:rFonts w:ascii="宋体" w:hAnsi="宋体" w:cs="宋体"/>
          <w:color w:val="auto"/>
          <w:sz w:val="24"/>
        </w:rPr>
      </w:pPr>
      <w:r>
        <w:rPr>
          <w:rFonts w:hint="eastAsia" w:ascii="宋体" w:hAnsi="宋体" w:cs="宋体"/>
          <w:color w:val="auto"/>
          <w:sz w:val="24"/>
        </w:rPr>
        <w:t>名    称：江苏川页工程项目管理有限公司</w:t>
      </w:r>
    </w:p>
    <w:p>
      <w:pPr>
        <w:spacing w:line="440" w:lineRule="exact"/>
        <w:ind w:firstLine="480" w:firstLineChars="200"/>
        <w:rPr>
          <w:rFonts w:ascii="宋体" w:hAnsi="宋体" w:cs="宋体"/>
          <w:color w:val="auto"/>
          <w:sz w:val="24"/>
        </w:rPr>
      </w:pPr>
      <w:r>
        <w:rPr>
          <w:rFonts w:hint="eastAsia" w:ascii="宋体" w:hAnsi="宋体" w:cs="宋体"/>
          <w:color w:val="auto"/>
          <w:sz w:val="24"/>
        </w:rPr>
        <w:t>地  　址：滁州市世贸大厦A座18楼1818室</w:t>
      </w:r>
    </w:p>
    <w:p>
      <w:pPr>
        <w:spacing w:line="440" w:lineRule="exact"/>
        <w:ind w:firstLine="480" w:firstLineChars="200"/>
        <w:rPr>
          <w:rFonts w:ascii="宋体" w:hAnsi="宋体" w:cs="宋体"/>
          <w:color w:val="auto"/>
          <w:sz w:val="24"/>
        </w:rPr>
      </w:pPr>
      <w:r>
        <w:rPr>
          <w:rFonts w:hint="eastAsia" w:ascii="宋体" w:hAnsi="宋体" w:cs="宋体"/>
          <w:color w:val="auto"/>
          <w:sz w:val="24"/>
        </w:rPr>
        <w:t>联系方式：</w:t>
      </w:r>
      <w:bookmarkStart w:id="34" w:name="_Toc28359087"/>
      <w:bookmarkStart w:id="35" w:name="_Toc28359010"/>
      <w:r>
        <w:rPr>
          <w:rFonts w:hint="eastAsia" w:ascii="宋体" w:hAnsi="宋体" w:cs="宋体"/>
          <w:color w:val="auto"/>
          <w:sz w:val="24"/>
        </w:rPr>
        <w:t>赵建飞18755018236</w:t>
      </w:r>
    </w:p>
    <w:p>
      <w:pPr>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bookmarkEnd w:id="34"/>
      <w:bookmarkEnd w:id="35"/>
    </w:p>
    <w:p>
      <w:pPr>
        <w:spacing w:line="440" w:lineRule="exact"/>
        <w:ind w:firstLine="480" w:firstLineChars="200"/>
        <w:rPr>
          <w:rFonts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lang w:eastAsia="zh-CN"/>
        </w:rPr>
        <w:t>招标办</w:t>
      </w:r>
      <w:r>
        <w:rPr>
          <w:rFonts w:hint="eastAsia" w:ascii="宋体" w:hAnsi="宋体" w:cs="宋体"/>
          <w:color w:val="auto"/>
          <w:sz w:val="24"/>
        </w:rPr>
        <w:t>、赵建飞</w:t>
      </w:r>
    </w:p>
    <w:p>
      <w:pPr>
        <w:spacing w:line="440" w:lineRule="exact"/>
        <w:ind w:firstLine="480" w:firstLineChars="200"/>
        <w:rPr>
          <w:rFonts w:ascii="宋体" w:hAnsi="宋体" w:cs="宋体"/>
          <w:color w:val="auto"/>
          <w:sz w:val="24"/>
        </w:rPr>
      </w:pPr>
      <w:r>
        <w:rPr>
          <w:rFonts w:hint="eastAsia" w:ascii="宋体" w:hAnsi="宋体" w:cs="宋体"/>
          <w:color w:val="auto"/>
          <w:sz w:val="24"/>
        </w:rPr>
        <w:t>电　  话：0550-3523822 、18755018236</w:t>
      </w: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before="156" w:beforeLines="50" w:after="156" w:afterLines="50"/>
        <w:jc w:val="center"/>
        <w:outlineLvl w:val="0"/>
        <w:rPr>
          <w:rFonts w:ascii="宋体"/>
          <w:b/>
          <w:color w:val="auto"/>
          <w:sz w:val="32"/>
          <w:szCs w:val="32"/>
        </w:rPr>
      </w:pPr>
      <w:bookmarkStart w:id="36" w:name="_Toc58430313"/>
      <w:r>
        <w:rPr>
          <w:rFonts w:hint="eastAsia" w:ascii="宋体"/>
          <w:b/>
          <w:color w:val="auto"/>
          <w:sz w:val="32"/>
          <w:szCs w:val="32"/>
        </w:rPr>
        <w:t>第二章 投标人须知</w:t>
      </w:r>
      <w:bookmarkEnd w:id="36"/>
    </w:p>
    <w:p>
      <w:pPr>
        <w:snapToGrid w:val="0"/>
        <w:spacing w:line="500" w:lineRule="exact"/>
        <w:jc w:val="center"/>
        <w:outlineLvl w:val="1"/>
        <w:rPr>
          <w:rFonts w:ascii="宋体"/>
          <w:b/>
          <w:color w:val="auto"/>
          <w:sz w:val="28"/>
          <w:szCs w:val="28"/>
        </w:rPr>
      </w:pPr>
      <w:bookmarkStart w:id="37" w:name="_Toc58430314"/>
      <w:bookmarkStart w:id="38" w:name="_Toc449028865"/>
      <w:r>
        <w:rPr>
          <w:rFonts w:hint="eastAsia" w:ascii="宋体"/>
          <w:b/>
          <w:color w:val="auto"/>
          <w:sz w:val="32"/>
          <w:szCs w:val="32"/>
        </w:rPr>
        <w:t>一、</w:t>
      </w:r>
      <w:r>
        <w:rPr>
          <w:rFonts w:hint="eastAsia" w:ascii="宋体"/>
          <w:b/>
          <w:color w:val="auto"/>
          <w:sz w:val="28"/>
          <w:szCs w:val="28"/>
        </w:rPr>
        <w:t>投标人须知前附表</w:t>
      </w:r>
      <w:bookmarkEnd w:id="37"/>
      <w:bookmarkEnd w:id="38"/>
    </w:p>
    <w:tbl>
      <w:tblPr>
        <w:tblStyle w:val="51"/>
        <w:tblW w:w="101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0"/>
        <w:gridCol w:w="2400"/>
        <w:gridCol w:w="712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670" w:type="dxa"/>
            <w:vAlign w:val="center"/>
          </w:tcPr>
          <w:p>
            <w:pPr>
              <w:pStyle w:val="24"/>
              <w:spacing w:line="360" w:lineRule="exact"/>
              <w:jc w:val="center"/>
              <w:rPr>
                <w:rFonts w:ascii="宋体" w:hAnsi="宋体" w:cs="宋体"/>
                <w:b/>
                <w:color w:val="auto"/>
                <w:szCs w:val="21"/>
              </w:rPr>
            </w:pPr>
            <w:r>
              <w:rPr>
                <w:rFonts w:hint="eastAsia" w:ascii="宋体" w:hAnsi="宋体" w:cs="宋体"/>
                <w:b/>
                <w:color w:val="auto"/>
                <w:szCs w:val="21"/>
              </w:rPr>
              <w:t>序号</w:t>
            </w:r>
          </w:p>
        </w:tc>
        <w:tc>
          <w:tcPr>
            <w:tcW w:w="2400" w:type="dxa"/>
            <w:vAlign w:val="center"/>
          </w:tcPr>
          <w:p>
            <w:pPr>
              <w:pStyle w:val="24"/>
              <w:spacing w:line="360" w:lineRule="exact"/>
              <w:jc w:val="center"/>
              <w:rPr>
                <w:rFonts w:ascii="宋体" w:hAnsi="宋体" w:cs="宋体"/>
                <w:b/>
                <w:color w:val="auto"/>
                <w:szCs w:val="21"/>
              </w:rPr>
            </w:pPr>
            <w:r>
              <w:rPr>
                <w:rFonts w:hint="eastAsia" w:ascii="宋体" w:hAnsi="宋体" w:cs="宋体"/>
                <w:b/>
                <w:color w:val="auto"/>
                <w:szCs w:val="21"/>
              </w:rPr>
              <w:t>内容</w:t>
            </w:r>
          </w:p>
        </w:tc>
        <w:tc>
          <w:tcPr>
            <w:tcW w:w="7127" w:type="dxa"/>
            <w:vAlign w:val="center"/>
          </w:tcPr>
          <w:p>
            <w:pPr>
              <w:pStyle w:val="24"/>
              <w:spacing w:line="360" w:lineRule="exact"/>
              <w:jc w:val="center"/>
              <w:rPr>
                <w:rFonts w:ascii="宋体" w:hAnsi="宋体" w:cs="宋体"/>
                <w:b/>
                <w:color w:val="auto"/>
                <w:szCs w:val="21"/>
              </w:rPr>
            </w:pPr>
            <w:r>
              <w:rPr>
                <w:rFonts w:hint="eastAsia" w:ascii="宋体" w:hAnsi="宋体" w:cs="宋体"/>
                <w:b/>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项目名称</w:t>
            </w:r>
          </w:p>
        </w:tc>
        <w:tc>
          <w:tcPr>
            <w:tcW w:w="7127" w:type="dxa"/>
            <w:vAlign w:val="center"/>
          </w:tcPr>
          <w:p>
            <w:pPr>
              <w:pStyle w:val="24"/>
              <w:spacing w:line="360" w:lineRule="exact"/>
              <w:rPr>
                <w:rFonts w:hint="eastAsia" w:ascii="宋体" w:hAnsi="宋体" w:eastAsia="宋体" w:cs="宋体"/>
                <w:color w:val="auto"/>
                <w:szCs w:val="21"/>
                <w:lang w:eastAsia="zh-CN"/>
              </w:rPr>
            </w:pPr>
            <w:r>
              <w:rPr>
                <w:rFonts w:hint="eastAsia" w:ascii="宋体" w:hAnsi="宋体" w:cs="宋体"/>
                <w:color w:val="auto"/>
                <w:szCs w:val="21"/>
                <w:lang w:eastAsia="zh-CN"/>
              </w:rPr>
              <w:t>滁州市第二人民医院中央空调维护保养项目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670" w:type="dxa"/>
            <w:vAlign w:val="center"/>
          </w:tcPr>
          <w:p>
            <w:pPr>
              <w:pStyle w:val="24"/>
              <w:numPr>
                <w:ilvl w:val="0"/>
                <w:numId w:val="1"/>
              </w:numPr>
              <w:spacing w:line="360" w:lineRule="exact"/>
              <w:jc w:val="center"/>
              <w:rPr>
                <w:rFonts w:ascii="宋体" w:hAnsi="宋体" w:cs="宋体"/>
                <w:b/>
                <w:bCs/>
                <w:color w:val="auto"/>
                <w:szCs w:val="21"/>
                <w:highlight w:val="none"/>
              </w:rPr>
            </w:pPr>
          </w:p>
        </w:tc>
        <w:tc>
          <w:tcPr>
            <w:tcW w:w="2400" w:type="dxa"/>
            <w:vAlign w:val="center"/>
          </w:tcPr>
          <w:p>
            <w:pPr>
              <w:pStyle w:val="24"/>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服务期</w:t>
            </w:r>
          </w:p>
        </w:tc>
        <w:tc>
          <w:tcPr>
            <w:tcW w:w="7127" w:type="dxa"/>
            <w:vAlign w:val="center"/>
          </w:tcPr>
          <w:p>
            <w:pPr>
              <w:pStyle w:val="24"/>
              <w:spacing w:line="360" w:lineRule="exact"/>
              <w:rPr>
                <w:rFonts w:ascii="宋体" w:hAnsi="宋体" w:cs="宋体"/>
                <w:b/>
                <w:bCs/>
                <w:color w:val="auto"/>
                <w:szCs w:val="21"/>
                <w:highlight w:val="none"/>
              </w:rPr>
            </w:pPr>
            <w:r>
              <w:rPr>
                <w:rFonts w:hint="eastAsia" w:ascii="宋体" w:hAnsi="宋体" w:cs="宋体"/>
                <w:b/>
                <w:bCs/>
                <w:color w:val="auto"/>
                <w:szCs w:val="21"/>
                <w:highlight w:val="none"/>
                <w:lang w:eastAsia="zh-CN"/>
              </w:rPr>
              <w:t>三年（合同一年一签）</w:t>
            </w:r>
            <w:r>
              <w:rPr>
                <w:rFonts w:hint="eastAsia" w:ascii="宋体" w:hAnsi="宋体" w:cs="宋体"/>
                <w:b/>
                <w:bCs/>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服务地点</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采购人联系人及电话</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lang w:eastAsia="zh-CN"/>
              </w:rPr>
              <w:t>招标办</w:t>
            </w:r>
            <w:r>
              <w:rPr>
                <w:rFonts w:hint="eastAsia" w:ascii="宋体" w:hAnsi="宋体" w:cs="宋体"/>
                <w:color w:val="auto"/>
                <w:szCs w:val="21"/>
              </w:rPr>
              <w:t xml:space="preserve"> 0550-3523822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采购代理机构联系人及电话</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赵建飞 18755018236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 xml:space="preserve">资金来源                                                                                                                                                                 </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采购预算</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b/>
                <w:color w:val="auto"/>
                <w:kern w:val="0"/>
                <w:szCs w:val="21"/>
                <w:lang w:val="en-US" w:eastAsia="zh-CN"/>
              </w:rPr>
              <w:t>15万元/年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4"/>
              <w:numPr>
                <w:ilvl w:val="0"/>
                <w:numId w:val="1"/>
              </w:numPr>
              <w:spacing w:line="360" w:lineRule="exact"/>
              <w:jc w:val="center"/>
              <w:rPr>
                <w:rFonts w:ascii="宋体" w:hAnsi="宋体" w:cs="宋体"/>
                <w:b/>
                <w:bCs/>
                <w:color w:val="auto"/>
                <w:szCs w:val="21"/>
              </w:rPr>
            </w:pPr>
          </w:p>
        </w:tc>
        <w:tc>
          <w:tcPr>
            <w:tcW w:w="2400" w:type="dxa"/>
            <w:vAlign w:val="center"/>
          </w:tcPr>
          <w:p>
            <w:pPr>
              <w:pStyle w:val="24"/>
              <w:spacing w:line="360" w:lineRule="exact"/>
              <w:jc w:val="left"/>
              <w:rPr>
                <w:rFonts w:ascii="宋体" w:hAnsi="宋体" w:cs="宋体"/>
                <w:b/>
                <w:bCs/>
                <w:color w:val="auto"/>
                <w:szCs w:val="21"/>
              </w:rPr>
            </w:pPr>
            <w:r>
              <w:rPr>
                <w:rFonts w:hint="eastAsia" w:ascii="宋体" w:hAnsi="宋体" w:cs="宋体"/>
                <w:b/>
                <w:bCs/>
                <w:color w:val="auto"/>
                <w:szCs w:val="21"/>
              </w:rPr>
              <w:t>最高限价</w:t>
            </w:r>
          </w:p>
        </w:tc>
        <w:tc>
          <w:tcPr>
            <w:tcW w:w="7127" w:type="dxa"/>
            <w:vAlign w:val="center"/>
          </w:tcPr>
          <w:p>
            <w:pPr>
              <w:pStyle w:val="50"/>
              <w:spacing w:after="0" w:line="360" w:lineRule="exact"/>
              <w:ind w:left="0" w:leftChars="0" w:firstLine="0" w:firstLineChars="0"/>
              <w:rPr>
                <w:rFonts w:ascii="宋体" w:hAnsi="宋体" w:cs="宋体"/>
                <w:b/>
                <w:bCs/>
                <w:color w:val="auto"/>
                <w:kern w:val="0"/>
                <w:szCs w:val="21"/>
              </w:rPr>
            </w:pPr>
            <w:r>
              <w:rPr>
                <w:rFonts w:hint="eastAsia" w:ascii="宋体" w:hAnsi="宋体" w:cs="宋体"/>
                <w:b/>
                <w:bCs/>
                <w:color w:val="auto"/>
                <w:kern w:val="0"/>
                <w:szCs w:val="21"/>
                <w:lang w:val="en-US" w:eastAsia="zh-CN"/>
              </w:rPr>
              <w:t>15万元/年</w:t>
            </w:r>
            <w:r>
              <w:rPr>
                <w:rFonts w:hint="eastAsia" w:ascii="宋体" w:hAnsi="宋体" w:cs="宋体"/>
                <w:b/>
                <w:bCs/>
                <w:color w:val="auto"/>
                <w:kern w:val="0"/>
                <w:szCs w:val="21"/>
              </w:rPr>
              <w:t>，各单位投标总报价不得高于最高限价，否则其投标文件按无效标处理。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yellow"/>
              </w:rPr>
            </w:pPr>
          </w:p>
        </w:tc>
        <w:tc>
          <w:tcPr>
            <w:tcW w:w="2400" w:type="dxa"/>
            <w:vAlign w:val="center"/>
          </w:tcPr>
          <w:p>
            <w:pPr>
              <w:pStyle w:val="24"/>
              <w:spacing w:line="360" w:lineRule="exact"/>
              <w:jc w:val="left"/>
              <w:rPr>
                <w:rFonts w:ascii="宋体" w:hAnsi="宋体" w:cs="宋体"/>
                <w:color w:val="auto"/>
                <w:szCs w:val="21"/>
                <w:highlight w:val="yellow"/>
              </w:rPr>
            </w:pPr>
            <w:r>
              <w:rPr>
                <w:rFonts w:hint="eastAsia" w:ascii="宋体" w:hAnsi="宋体" w:cs="宋体"/>
                <w:color w:val="auto"/>
                <w:szCs w:val="21"/>
                <w:highlight w:val="yellow"/>
              </w:rPr>
              <w:t>采购内容</w:t>
            </w:r>
          </w:p>
        </w:tc>
        <w:tc>
          <w:tcPr>
            <w:tcW w:w="7127" w:type="dxa"/>
            <w:vAlign w:val="center"/>
          </w:tcPr>
          <w:p>
            <w:pPr>
              <w:pStyle w:val="24"/>
              <w:spacing w:line="360" w:lineRule="exact"/>
              <w:jc w:val="left"/>
              <w:rPr>
                <w:rFonts w:hint="eastAsia" w:ascii="宋体" w:hAnsi="宋体" w:eastAsia="宋体" w:cs="宋体"/>
                <w:b/>
                <w:bCs/>
                <w:color w:val="auto"/>
                <w:szCs w:val="21"/>
                <w:highlight w:val="yellow"/>
                <w:lang w:val="en-US" w:eastAsia="zh-CN"/>
              </w:rPr>
            </w:pPr>
            <w:r>
              <w:rPr>
                <w:rFonts w:hint="eastAsia" w:ascii="宋体" w:hAnsi="宋体" w:eastAsia="宋体" w:cs="宋体"/>
                <w:b/>
                <w:bCs/>
                <w:color w:val="auto"/>
                <w:szCs w:val="21"/>
                <w:highlight w:val="yellow"/>
                <w:lang w:val="en-US" w:eastAsia="zh-CN"/>
              </w:rPr>
              <w:t>为</w:t>
            </w:r>
            <w:r>
              <w:rPr>
                <w:rFonts w:hint="eastAsia" w:ascii="宋体" w:hAnsi="宋体" w:eastAsia="宋体" w:cs="宋体"/>
                <w:b/>
                <w:bCs/>
                <w:color w:val="auto"/>
                <w:szCs w:val="21"/>
                <w:highlight w:val="yellow"/>
              </w:rPr>
              <w:t>保证</w:t>
            </w:r>
            <w:r>
              <w:rPr>
                <w:rFonts w:hint="eastAsia" w:ascii="宋体" w:hAnsi="宋体" w:eastAsia="宋体" w:cs="宋体"/>
                <w:b/>
                <w:bCs/>
                <w:color w:val="auto"/>
                <w:szCs w:val="21"/>
                <w:highlight w:val="yellow"/>
                <w:lang w:val="en-US" w:eastAsia="zh-CN"/>
              </w:rPr>
              <w:t>我院</w:t>
            </w:r>
            <w:r>
              <w:rPr>
                <w:rFonts w:hint="eastAsia" w:ascii="宋体" w:hAnsi="宋体" w:eastAsia="宋体" w:cs="宋体"/>
                <w:b/>
                <w:bCs/>
                <w:color w:val="auto"/>
                <w:szCs w:val="21"/>
                <w:highlight w:val="yellow"/>
              </w:rPr>
              <w:t>中央空调机组设备的正常使用，</w:t>
            </w:r>
            <w:r>
              <w:rPr>
                <w:rFonts w:hint="eastAsia" w:ascii="宋体" w:hAnsi="宋体" w:eastAsia="宋体" w:cs="宋体"/>
                <w:b/>
                <w:bCs/>
                <w:color w:val="auto"/>
                <w:szCs w:val="21"/>
                <w:highlight w:val="yellow"/>
                <w:lang w:val="en-US" w:eastAsia="zh-CN"/>
              </w:rPr>
              <w:t>拟采购一家维保单位</w:t>
            </w:r>
            <w:r>
              <w:rPr>
                <w:rFonts w:hint="eastAsia" w:ascii="宋体" w:hAnsi="宋体" w:eastAsia="宋体" w:cs="宋体"/>
                <w:b/>
                <w:bCs/>
                <w:color w:val="auto"/>
                <w:szCs w:val="21"/>
                <w:highlight w:val="yellow"/>
              </w:rPr>
              <w:t>对</w:t>
            </w:r>
            <w:r>
              <w:rPr>
                <w:rFonts w:hint="eastAsia" w:ascii="宋体" w:hAnsi="宋体" w:eastAsia="宋体" w:cs="宋体"/>
                <w:b/>
                <w:bCs/>
                <w:color w:val="auto"/>
                <w:szCs w:val="21"/>
                <w:highlight w:val="yellow"/>
                <w:lang w:val="en-US" w:eastAsia="zh-CN"/>
              </w:rPr>
              <w:t>我院中央空调进行</w:t>
            </w:r>
            <w:r>
              <w:rPr>
                <w:rFonts w:hint="eastAsia" w:ascii="宋体" w:hAnsi="宋体" w:eastAsia="宋体" w:cs="宋体"/>
                <w:b/>
                <w:bCs/>
                <w:color w:val="auto"/>
                <w:szCs w:val="21"/>
                <w:highlight w:val="yellow"/>
              </w:rPr>
              <w:t>的日常维护以及维修等，使</w:t>
            </w:r>
            <w:r>
              <w:rPr>
                <w:rFonts w:hint="eastAsia" w:ascii="宋体" w:hAnsi="宋体" w:eastAsia="宋体" w:cs="宋体"/>
                <w:b/>
                <w:bCs/>
                <w:color w:val="auto"/>
                <w:szCs w:val="21"/>
                <w:highlight w:val="yellow"/>
                <w:lang w:val="en-US" w:eastAsia="zh-CN"/>
              </w:rPr>
              <w:t>我院空调</w:t>
            </w:r>
            <w:r>
              <w:rPr>
                <w:rFonts w:hint="eastAsia" w:ascii="宋体" w:hAnsi="宋体" w:eastAsia="宋体" w:cs="宋体"/>
                <w:b/>
                <w:bCs/>
                <w:color w:val="auto"/>
                <w:szCs w:val="21"/>
                <w:highlight w:val="yellow"/>
              </w:rPr>
              <w:t>设备正常、安全的运行</w:t>
            </w:r>
            <w:r>
              <w:rPr>
                <w:rFonts w:hint="eastAsia" w:ascii="宋体" w:hAnsi="宋体" w:eastAsia="宋体" w:cs="宋体"/>
                <w:b/>
                <w:bCs/>
                <w:color w:val="auto"/>
                <w:szCs w:val="21"/>
                <w:highlight w:val="yellow"/>
                <w:lang w:val="en-US" w:eastAsia="zh-CN"/>
              </w:rPr>
              <w:t>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标包划分</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本项目划分为</w:t>
            </w:r>
            <w:r>
              <w:rPr>
                <w:rFonts w:hint="eastAsia" w:ascii="宋体" w:hAnsi="宋体" w:cs="宋体"/>
                <w:color w:val="auto"/>
                <w:szCs w:val="21"/>
                <w:u w:val="single"/>
              </w:rPr>
              <w:t>壹</w:t>
            </w:r>
            <w:r>
              <w:rPr>
                <w:rFonts w:hint="eastAsia" w:ascii="宋体" w:hAnsi="宋体" w:cs="宋体"/>
                <w:color w:val="auto"/>
                <w:szCs w:val="21"/>
              </w:rPr>
              <w:t>个标包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招标方式</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投标人资格条件及其他要求</w:t>
            </w:r>
          </w:p>
        </w:tc>
        <w:tc>
          <w:tcPr>
            <w:tcW w:w="7127" w:type="dxa"/>
            <w:vAlign w:val="center"/>
          </w:tcPr>
          <w:p>
            <w:pPr>
              <w:spacing w:line="360" w:lineRule="exact"/>
              <w:jc w:val="left"/>
              <w:rPr>
                <w:rFonts w:ascii="宋体" w:hAnsi="宋体" w:cs="宋体"/>
                <w:color w:val="auto"/>
                <w:szCs w:val="21"/>
              </w:rPr>
            </w:pPr>
            <w:r>
              <w:rPr>
                <w:rFonts w:hint="eastAsia" w:ascii="宋体" w:hAnsi="宋体" w:cs="宋体"/>
                <w:bCs/>
                <w:color w:val="auto"/>
                <w:szCs w:val="21"/>
                <w:lang w:bidi="ar"/>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踏勘现场</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不组织,投标人自行踏勘现场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投标预备会</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投标人提出</w:t>
            </w:r>
            <w:r>
              <w:rPr>
                <w:rFonts w:hint="eastAsia" w:ascii="宋体" w:hAnsi="宋体" w:cs="宋体"/>
                <w:color w:val="auto"/>
                <w:szCs w:val="21"/>
                <w:u w:val="single"/>
              </w:rPr>
              <w:t>质疑</w:t>
            </w:r>
            <w:r>
              <w:rPr>
                <w:rFonts w:hint="eastAsia" w:ascii="宋体" w:hAnsi="宋体" w:cs="宋体"/>
                <w:color w:val="auto"/>
                <w:szCs w:val="21"/>
              </w:rPr>
              <w:t>的截止时间及方式</w:t>
            </w:r>
          </w:p>
        </w:tc>
        <w:tc>
          <w:tcPr>
            <w:tcW w:w="7127" w:type="dxa"/>
            <w:vAlign w:val="center"/>
          </w:tcPr>
          <w:p>
            <w:pPr>
              <w:spacing w:line="360" w:lineRule="exact"/>
              <w:jc w:val="left"/>
              <w:rPr>
                <w:rFonts w:ascii="宋体" w:hAnsi="宋体" w:cs="宋体"/>
                <w:color w:val="auto"/>
                <w:szCs w:val="21"/>
              </w:rPr>
            </w:pPr>
            <w:r>
              <w:rPr>
                <w:rFonts w:hint="eastAsia" w:ascii="宋体" w:hAnsi="宋体" w:cs="宋体"/>
                <w:color w:val="auto"/>
                <w:szCs w:val="21"/>
              </w:rPr>
              <w:t>如投标人对招标文件有疑问，请于 2024年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 xml:space="preserve">1 </w:t>
            </w:r>
            <w:r>
              <w:rPr>
                <w:rFonts w:hint="eastAsia" w:ascii="宋体" w:hAnsi="宋体" w:cs="宋体"/>
                <w:color w:val="auto"/>
                <w:szCs w:val="21"/>
              </w:rPr>
              <w:t>日17时前以邮件的形式发送到招标代理公司邮箱：290407638@qq.com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采购人澄清的时间及方式</w:t>
            </w:r>
          </w:p>
        </w:tc>
        <w:tc>
          <w:tcPr>
            <w:tcW w:w="7127" w:type="dxa"/>
            <w:vAlign w:val="center"/>
          </w:tcPr>
          <w:p>
            <w:pPr>
              <w:spacing w:line="360" w:lineRule="exact"/>
              <w:rPr>
                <w:rFonts w:ascii="宋体" w:hAnsi="宋体" w:cs="宋体"/>
                <w:color w:val="auto"/>
                <w:szCs w:val="21"/>
              </w:rPr>
            </w:pPr>
            <w:r>
              <w:rPr>
                <w:rFonts w:hint="eastAsia" w:ascii="宋体" w:hAnsi="宋体" w:cs="宋体"/>
                <w:bCs/>
                <w:color w:val="auto"/>
                <w:szCs w:val="21"/>
              </w:rPr>
              <w:t>2024年</w:t>
            </w:r>
            <w:r>
              <w:rPr>
                <w:rFonts w:hint="eastAsia" w:ascii="宋体" w:hAnsi="宋体" w:cs="宋体"/>
                <w:bCs/>
                <w:color w:val="auto"/>
                <w:szCs w:val="21"/>
                <w:lang w:val="en-US" w:eastAsia="zh-CN"/>
              </w:rPr>
              <w:t>7</w:t>
            </w:r>
            <w:r>
              <w:rPr>
                <w:rFonts w:hint="eastAsia" w:ascii="宋体" w:hAnsi="宋体" w:cs="宋体"/>
                <w:bCs/>
                <w:color w:val="auto"/>
                <w:szCs w:val="21"/>
              </w:rPr>
              <w:t>月</w:t>
            </w:r>
            <w:r>
              <w:rPr>
                <w:rFonts w:hint="eastAsia" w:ascii="宋体" w:hAnsi="宋体" w:cs="宋体"/>
                <w:bCs/>
                <w:color w:val="auto"/>
                <w:szCs w:val="21"/>
                <w:lang w:val="en-US" w:eastAsia="zh-CN"/>
              </w:rPr>
              <w:t>2</w:t>
            </w:r>
            <w:r>
              <w:rPr>
                <w:rFonts w:hint="eastAsia" w:ascii="宋体" w:hAnsi="宋体" w:cs="宋体"/>
                <w:bCs/>
                <w:color w:val="auto"/>
                <w:szCs w:val="21"/>
              </w:rPr>
              <w:t>日17时</w:t>
            </w:r>
            <w:r>
              <w:rPr>
                <w:rFonts w:hint="eastAsia" w:ascii="宋体" w:hAnsi="宋体" w:cs="宋体"/>
                <w:color w:val="auto"/>
                <w:szCs w:val="21"/>
              </w:rPr>
              <w:t>前，以澄清公告形式在滁州市第二人民医院官网予以公告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5"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联合体投标</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本次招标☑</w:t>
            </w:r>
            <w:r>
              <w:rPr>
                <w:rFonts w:hint="eastAsia" w:ascii="宋体" w:hAnsi="宋体" w:cs="宋体"/>
                <w:color w:val="auto"/>
                <w:szCs w:val="21"/>
                <w:u w:val="single"/>
              </w:rPr>
              <w:t>不接受</w:t>
            </w:r>
            <w:r>
              <w:rPr>
                <w:rFonts w:hint="eastAsia" w:ascii="宋体" w:hAnsi="宋体" w:cs="宋体"/>
                <w:color w:val="auto"/>
                <w:szCs w:val="21"/>
              </w:rPr>
              <w:t>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招标代理费</w:t>
            </w:r>
          </w:p>
        </w:tc>
        <w:tc>
          <w:tcPr>
            <w:tcW w:w="7127" w:type="dxa"/>
            <w:vAlign w:val="center"/>
          </w:tcPr>
          <w:p>
            <w:pPr>
              <w:spacing w:line="360" w:lineRule="exact"/>
              <w:jc w:val="left"/>
              <w:rPr>
                <w:rFonts w:ascii="宋体" w:hAnsi="宋体" w:cs="宋体"/>
                <w:color w:val="auto"/>
                <w:kern w:val="0"/>
                <w:szCs w:val="21"/>
              </w:rPr>
            </w:pPr>
            <w:r>
              <w:rPr>
                <w:rFonts w:hint="eastAsia" w:ascii="宋体" w:hAnsi="宋体" w:cs="宋体"/>
                <w:color w:val="auto"/>
                <w:szCs w:val="21"/>
              </w:rPr>
              <w:t>代理服务费：</w:t>
            </w:r>
            <w:r>
              <w:rPr>
                <w:rFonts w:hint="eastAsia" w:ascii="宋体" w:hAnsi="宋体" w:cs="宋体"/>
                <w:color w:val="auto"/>
                <w:szCs w:val="21"/>
                <w:lang w:val="en-US" w:eastAsia="zh-CN"/>
              </w:rPr>
              <w:t>30</w:t>
            </w:r>
            <w:r>
              <w:rPr>
                <w:rFonts w:hint="eastAsia" w:ascii="宋体" w:hAnsi="宋体" w:cs="宋体"/>
                <w:color w:val="auto"/>
                <w:szCs w:val="21"/>
              </w:rPr>
              <w:t>00元（专家评审费另计，以实际支付为准）。</w:t>
            </w:r>
          </w:p>
          <w:p>
            <w:pPr>
              <w:spacing w:line="360" w:lineRule="exact"/>
              <w:rPr>
                <w:rFonts w:ascii="宋体" w:hAnsi="宋体" w:cs="宋体"/>
                <w:color w:val="auto"/>
                <w:szCs w:val="21"/>
              </w:rPr>
            </w:pPr>
            <w:r>
              <w:rPr>
                <w:rFonts w:hint="eastAsia" w:ascii="宋体" w:hAnsi="宋体" w:cs="宋体"/>
                <w:color w:val="auto"/>
                <w:szCs w:val="21"/>
              </w:rPr>
              <w:t>代理服务费及专家评审费支付主体：中标人，由中标人在领取中标通知书时，一次性支付给代理公司。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ind w:right="-27" w:rightChars="-13"/>
              <w:jc w:val="left"/>
              <w:rPr>
                <w:rFonts w:ascii="宋体" w:hAnsi="宋体" w:cs="宋体"/>
                <w:color w:val="auto"/>
                <w:szCs w:val="21"/>
              </w:rPr>
            </w:pPr>
            <w:r>
              <w:rPr>
                <w:rFonts w:hint="eastAsia" w:ascii="宋体" w:hAnsi="宋体" w:cs="宋体"/>
                <w:color w:val="auto"/>
                <w:szCs w:val="21"/>
              </w:rPr>
              <w:t>投标人要求澄清招标文件的截止时间及方式</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同表</w:t>
            </w:r>
            <w:r>
              <w:rPr>
                <w:rFonts w:hint="eastAsia" w:ascii="宋体" w:hAnsi="宋体" w:cs="宋体"/>
                <w:color w:val="auto"/>
                <w:szCs w:val="21"/>
                <w:lang w:val="en-US" w:eastAsia="zh-CN"/>
              </w:rPr>
              <w:t>15</w:t>
            </w:r>
            <w:r>
              <w:rPr>
                <w:rFonts w:hint="eastAsia" w:ascii="宋体" w:hAnsi="宋体" w:cs="宋体"/>
                <w:color w:val="auto"/>
                <w:szCs w:val="21"/>
              </w:rPr>
              <w:t>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投标有效期</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投标有效期为</w:t>
            </w:r>
            <w:r>
              <w:rPr>
                <w:rFonts w:hint="eastAsia" w:ascii="宋体" w:hAnsi="宋体" w:cs="宋体"/>
                <w:color w:val="auto"/>
                <w:szCs w:val="21"/>
                <w:u w:val="single"/>
              </w:rPr>
              <w:t xml:space="preserve">30 </w:t>
            </w:r>
            <w:r>
              <w:rPr>
                <w:rFonts w:hint="eastAsia" w:ascii="宋体" w:hAnsi="宋体" w:cs="宋体"/>
                <w:color w:val="auto"/>
                <w:szCs w:val="21"/>
              </w:rPr>
              <w:t>日历天（从投标截止之日算起）。在此期限内，凡符合本招标文件要求的投标文件均保持有效。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5" w:hRule="atLeast"/>
          <w:jc w:val="center"/>
        </w:trPr>
        <w:tc>
          <w:tcPr>
            <w:tcW w:w="670" w:type="dxa"/>
            <w:vAlign w:val="center"/>
          </w:tcPr>
          <w:p>
            <w:pPr>
              <w:pStyle w:val="24"/>
              <w:numPr>
                <w:ilvl w:val="0"/>
                <w:numId w:val="1"/>
              </w:numPr>
              <w:spacing w:line="360" w:lineRule="exact"/>
              <w:jc w:val="center"/>
              <w:rPr>
                <w:rFonts w:ascii="宋体" w:hAnsi="宋体" w:cs="宋体"/>
                <w:b/>
                <w:bCs/>
                <w:color w:val="auto"/>
                <w:szCs w:val="21"/>
              </w:rPr>
            </w:pPr>
          </w:p>
        </w:tc>
        <w:tc>
          <w:tcPr>
            <w:tcW w:w="2400" w:type="dxa"/>
            <w:vAlign w:val="center"/>
          </w:tcPr>
          <w:p>
            <w:pPr>
              <w:pStyle w:val="24"/>
              <w:spacing w:line="360" w:lineRule="exact"/>
              <w:jc w:val="left"/>
              <w:rPr>
                <w:rFonts w:ascii="宋体" w:hAnsi="宋体" w:cs="宋体"/>
                <w:b/>
                <w:bCs/>
                <w:color w:val="auto"/>
                <w:szCs w:val="21"/>
              </w:rPr>
            </w:pPr>
            <w:r>
              <w:rPr>
                <w:rFonts w:hint="eastAsia" w:ascii="宋体" w:hAnsi="宋体" w:cs="宋体"/>
                <w:b/>
                <w:bCs/>
                <w:color w:val="auto"/>
                <w:szCs w:val="21"/>
              </w:rPr>
              <w:t>投标文件数量</w:t>
            </w:r>
          </w:p>
        </w:tc>
        <w:tc>
          <w:tcPr>
            <w:tcW w:w="7127" w:type="dxa"/>
            <w:vAlign w:val="center"/>
          </w:tcPr>
          <w:p>
            <w:pPr>
              <w:widowControl/>
              <w:spacing w:line="360" w:lineRule="exact"/>
              <w:ind w:firstLine="89" w:firstLineChars="42"/>
              <w:jc w:val="left"/>
              <w:rPr>
                <w:rFonts w:ascii="宋体" w:hAnsi="宋体" w:cs="宋体"/>
                <w:b/>
                <w:bCs/>
                <w:color w:val="auto"/>
                <w:szCs w:val="21"/>
              </w:rPr>
            </w:pPr>
            <w:r>
              <w:rPr>
                <w:rFonts w:hint="eastAsia" w:ascii="宋体" w:hAnsi="宋体" w:cs="宋体"/>
                <w:b/>
                <w:color w:val="auto"/>
                <w:kern w:val="0"/>
                <w:szCs w:val="21"/>
              </w:rPr>
              <w:t>正本</w:t>
            </w:r>
            <w:r>
              <w:rPr>
                <w:rFonts w:hint="eastAsia" w:ascii="宋体" w:hAnsi="宋体" w:cs="宋体"/>
                <w:b/>
                <w:color w:val="auto"/>
                <w:kern w:val="0"/>
                <w:szCs w:val="21"/>
                <w:u w:val="single"/>
              </w:rPr>
              <w:t xml:space="preserve"> 1 </w:t>
            </w:r>
            <w:r>
              <w:rPr>
                <w:rFonts w:hint="eastAsia" w:ascii="宋体" w:hAnsi="宋体" w:cs="宋体"/>
                <w:b/>
                <w:color w:val="auto"/>
                <w:kern w:val="0"/>
                <w:szCs w:val="21"/>
              </w:rPr>
              <w:t>份，副本</w:t>
            </w:r>
            <w:r>
              <w:rPr>
                <w:rFonts w:hint="eastAsia" w:ascii="宋体" w:hAnsi="宋体" w:cs="宋体"/>
                <w:b/>
                <w:color w:val="auto"/>
                <w:kern w:val="0"/>
                <w:szCs w:val="21"/>
                <w:u w:val="single"/>
              </w:rPr>
              <w:t xml:space="preserve"> 2 </w:t>
            </w:r>
            <w:r>
              <w:rPr>
                <w:rFonts w:hint="eastAsia" w:ascii="宋体" w:hAnsi="宋体" w:cs="宋体"/>
                <w:b/>
                <w:color w:val="auto"/>
                <w:kern w:val="0"/>
                <w:szCs w:val="21"/>
              </w:rPr>
              <w:t>份，正副本不一致时，以正本为准。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numPr>
                <w:ilvl w:val="0"/>
                <w:numId w:val="1"/>
              </w:numPr>
              <w:spacing w:line="360" w:lineRule="exact"/>
              <w:jc w:val="center"/>
              <w:rPr>
                <w:rFonts w:ascii="宋体" w:hAnsi="宋体" w:cs="宋体"/>
                <w:color w:val="auto"/>
                <w:szCs w:val="21"/>
                <w:highlight w:val="none"/>
              </w:rPr>
            </w:pPr>
          </w:p>
        </w:tc>
        <w:tc>
          <w:tcPr>
            <w:tcW w:w="2400"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签字或盖章及密封要求</w:t>
            </w:r>
          </w:p>
        </w:tc>
        <w:tc>
          <w:tcPr>
            <w:tcW w:w="7127" w:type="dxa"/>
            <w:vAlign w:val="center"/>
          </w:tcPr>
          <w:p>
            <w:pPr>
              <w:spacing w:line="360" w:lineRule="exact"/>
              <w:rPr>
                <w:rFonts w:ascii="宋体" w:hAnsi="宋体" w:cs="宋体"/>
                <w:b/>
                <w:color w:val="auto"/>
                <w:kern w:val="0"/>
                <w:szCs w:val="21"/>
                <w:highlight w:val="none"/>
              </w:rPr>
            </w:pPr>
            <w:r>
              <w:rPr>
                <w:rFonts w:hint="eastAsia" w:ascii="宋体" w:hAnsi="宋体" w:cs="宋体"/>
                <w:b/>
                <w:color w:val="auto"/>
                <w:spacing w:val="-4"/>
                <w:kern w:val="0"/>
                <w:szCs w:val="21"/>
                <w:highlight w:val="none"/>
              </w:rPr>
              <w:t>一正两副装订成册，密封</w:t>
            </w:r>
            <w:r>
              <w:rPr>
                <w:rFonts w:hint="eastAsia" w:ascii="宋体" w:hAnsi="宋体" w:cs="宋体"/>
                <w:b/>
                <w:color w:val="auto"/>
                <w:spacing w:val="-4"/>
                <w:kern w:val="0"/>
                <w:szCs w:val="21"/>
                <w:highlight w:val="none"/>
                <w:lang w:val="en-US" w:eastAsia="zh-CN"/>
              </w:rPr>
              <w:t>于</w:t>
            </w:r>
            <w:r>
              <w:rPr>
                <w:rFonts w:hint="eastAsia" w:ascii="宋体" w:hAnsi="宋体" w:cs="宋体"/>
                <w:b/>
                <w:color w:val="auto"/>
                <w:spacing w:val="-4"/>
                <w:kern w:val="0"/>
                <w:szCs w:val="21"/>
                <w:highlight w:val="none"/>
              </w:rPr>
              <w:t>档案袋中，各部分档案袋封面注明项目名称、单位、联系人及联系方式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投标文件提交截止时间</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递交投标文件截止时间：</w:t>
            </w:r>
            <w:r>
              <w:rPr>
                <w:rFonts w:hint="eastAsia" w:ascii="宋体" w:hAnsi="宋体" w:cs="宋体"/>
                <w:b/>
                <w:bCs/>
                <w:color w:val="auto"/>
                <w:szCs w:val="21"/>
              </w:rPr>
              <w:t>2024年</w:t>
            </w:r>
            <w:r>
              <w:rPr>
                <w:rFonts w:hint="eastAsia" w:ascii="宋体" w:hAnsi="宋体" w:cs="宋体"/>
                <w:b/>
                <w:bCs/>
                <w:color w:val="auto"/>
                <w:szCs w:val="21"/>
                <w:lang w:val="en-US" w:eastAsia="zh-CN"/>
              </w:rPr>
              <w:t xml:space="preserve">7 </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4 </w:t>
            </w:r>
            <w:r>
              <w:rPr>
                <w:rFonts w:hint="eastAsia" w:ascii="宋体" w:hAnsi="宋体" w:cs="宋体"/>
                <w:b/>
                <w:bCs/>
                <w:color w:val="auto"/>
                <w:szCs w:val="21"/>
              </w:rPr>
              <w:t>日</w:t>
            </w:r>
            <w:r>
              <w:rPr>
                <w:rFonts w:hint="eastAsia" w:ascii="宋体" w:hAnsi="宋体" w:cs="宋体"/>
                <w:b/>
                <w:bCs/>
                <w:color w:val="auto"/>
                <w:szCs w:val="21"/>
                <w:lang w:val="en-US" w:eastAsia="zh-CN"/>
              </w:rPr>
              <w:t>11</w:t>
            </w:r>
            <w:r>
              <w:rPr>
                <w:rFonts w:hint="eastAsia" w:ascii="宋体" w:hAnsi="宋体" w:cs="宋体"/>
                <w:b/>
                <w:bCs/>
                <w:color w:val="auto"/>
                <w:szCs w:val="21"/>
              </w:rPr>
              <w:t>时</w:t>
            </w:r>
            <w:r>
              <w:rPr>
                <w:rFonts w:hint="eastAsia" w:ascii="宋体" w:hAnsi="宋体" w:cs="宋体"/>
                <w:b/>
                <w:bCs/>
                <w:color w:val="auto"/>
                <w:szCs w:val="21"/>
                <w:lang w:val="en-US" w:eastAsia="zh-CN"/>
              </w:rPr>
              <w:t>30</w:t>
            </w:r>
            <w:r>
              <w:rPr>
                <w:rFonts w:hint="eastAsia" w:ascii="宋体" w:hAnsi="宋体" w:cs="宋体"/>
                <w:b/>
                <w:bCs/>
                <w:color w:val="auto"/>
                <w:szCs w:val="21"/>
              </w:rPr>
              <w:t>分（北京时间）</w:t>
            </w:r>
          </w:p>
          <w:p>
            <w:pPr>
              <w:spacing w:line="360" w:lineRule="exact"/>
              <w:rPr>
                <w:rFonts w:ascii="宋体" w:hAnsi="宋体" w:cs="宋体"/>
                <w:color w:val="auto"/>
                <w:szCs w:val="21"/>
              </w:rPr>
            </w:pPr>
            <w:r>
              <w:rPr>
                <w:rFonts w:hint="eastAsia" w:ascii="宋体" w:hAnsi="宋体" w:cs="宋体"/>
                <w:b/>
                <w:color w:val="auto"/>
                <w:szCs w:val="21"/>
              </w:rPr>
              <w:t>注：以投标人在投标截止时间前递交的投标文件为准，逾期提交的，投标文件将被拒绝。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是否退还投标文件</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开标程序</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开标顺序：投标文件启封后，由评审委员会评审。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评标委员会的组建</w:t>
            </w:r>
          </w:p>
        </w:tc>
        <w:tc>
          <w:tcPr>
            <w:tcW w:w="7127" w:type="dxa"/>
          </w:tcPr>
          <w:p>
            <w:pPr>
              <w:pStyle w:val="24"/>
              <w:spacing w:line="360" w:lineRule="exact"/>
              <w:rPr>
                <w:rFonts w:ascii="宋体" w:hAnsi="宋体" w:cs="宋体"/>
                <w:color w:val="auto"/>
                <w:szCs w:val="21"/>
              </w:rPr>
            </w:pPr>
            <w:r>
              <w:rPr>
                <w:rFonts w:hint="eastAsia" w:ascii="宋体" w:hAnsi="宋体" w:cs="宋体"/>
                <w:color w:val="auto"/>
                <w:szCs w:val="21"/>
              </w:rPr>
              <w:t>依法组建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是否授权评标委员会确定中标候选人</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是，评标委员会推荐</w:t>
            </w:r>
            <w:r>
              <w:rPr>
                <w:rFonts w:hint="eastAsia" w:ascii="宋体" w:hAnsi="宋体" w:cs="宋体"/>
                <w:color w:val="auto"/>
                <w:szCs w:val="21"/>
                <w:u w:val="single"/>
              </w:rPr>
              <w:t>3</w:t>
            </w:r>
            <w:r>
              <w:rPr>
                <w:rFonts w:hint="eastAsia" w:ascii="宋体" w:hAnsi="宋体" w:cs="宋体"/>
                <w:color w:val="auto"/>
                <w:szCs w:val="21"/>
              </w:rPr>
              <w:t>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bCs/>
                <w:color w:val="auto"/>
                <w:szCs w:val="21"/>
                <w:u w:color="000000"/>
              </w:rPr>
              <w:t>中标结果公告媒介</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bCs/>
                <w:color w:val="auto"/>
                <w:szCs w:val="21"/>
              </w:rPr>
              <w:t>滁州市第二人民医院官网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bCs/>
                <w:color w:val="auto"/>
                <w:szCs w:val="21"/>
                <w:u w:color="000000"/>
              </w:rPr>
              <w:t>中标结果公告期限</w:t>
            </w:r>
          </w:p>
        </w:tc>
        <w:tc>
          <w:tcPr>
            <w:tcW w:w="7127" w:type="dxa"/>
            <w:vAlign w:val="center"/>
          </w:tcPr>
          <w:p>
            <w:pPr>
              <w:pStyle w:val="24"/>
              <w:spacing w:line="360" w:lineRule="exact"/>
              <w:rPr>
                <w:rFonts w:ascii="宋体" w:hAnsi="宋体" w:cs="宋体"/>
                <w:bCs/>
                <w:color w:val="auto"/>
                <w:szCs w:val="21"/>
              </w:rPr>
            </w:pPr>
            <w:r>
              <w:rPr>
                <w:rFonts w:hint="eastAsia" w:ascii="宋体" w:hAnsi="宋体" w:cs="宋体"/>
                <w:bCs/>
                <w:color w:val="auto"/>
                <w:szCs w:val="21"/>
              </w:rPr>
              <w:t>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中标通知书</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中标通知书须加盖采购人及代理机构公章后方可发出。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中标通知书发放形式</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纸质版通知书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spacing w:line="360" w:lineRule="exact"/>
              <w:jc w:val="center"/>
              <w:rPr>
                <w:rFonts w:ascii="宋体" w:hAnsi="宋体" w:cs="宋体"/>
                <w:b/>
                <w:bCs/>
                <w:color w:val="auto"/>
                <w:szCs w:val="21"/>
                <w:highlight w:val="yellow"/>
              </w:rPr>
            </w:pPr>
            <w:r>
              <w:rPr>
                <w:rFonts w:hint="eastAsia" w:ascii="宋体" w:hAnsi="宋体" w:cs="宋体"/>
                <w:b/>
                <w:bCs/>
                <w:color w:val="auto"/>
                <w:szCs w:val="21"/>
                <w:highlight w:val="yellow"/>
              </w:rPr>
              <w:t>付款方式、时间、条件</w:t>
            </w:r>
          </w:p>
        </w:tc>
        <w:tc>
          <w:tcPr>
            <w:tcW w:w="7127" w:type="dxa"/>
            <w:vAlign w:val="center"/>
          </w:tcPr>
          <w:p>
            <w:pPr>
              <w:spacing w:line="360" w:lineRule="exact"/>
              <w:jc w:val="left"/>
              <w:rPr>
                <w:rFonts w:hint="eastAsia" w:ascii="宋体" w:hAnsi="宋体" w:eastAsia="宋体" w:cs="宋体"/>
                <w:b/>
                <w:bCs/>
                <w:color w:val="auto"/>
                <w:szCs w:val="21"/>
                <w:highlight w:val="yellow"/>
                <w:lang w:val="en-US" w:eastAsia="zh-CN"/>
              </w:rPr>
            </w:pPr>
            <w:r>
              <w:rPr>
                <w:rFonts w:hint="eastAsia" w:ascii="宋体" w:hAnsi="宋体" w:cs="宋体"/>
                <w:b/>
                <w:bCs/>
                <w:color w:val="auto"/>
                <w:szCs w:val="21"/>
                <w:highlight w:val="yellow"/>
                <w:lang w:eastAsia="zh-CN"/>
              </w:rPr>
              <w:t>按季度支付（甲方每季度汇总结付一次，如乙方提供票据迟于当季度最后一个月的20日，则延至次季度结付，乙方出具的发票应为国家规定的正规发票，费用由甲方直接转入乙方账户）。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spacing w:line="360" w:lineRule="exact"/>
              <w:jc w:val="center"/>
              <w:rPr>
                <w:rFonts w:hint="default" w:ascii="宋体" w:hAnsi="宋体" w:eastAsia="宋体" w:cs="宋体"/>
                <w:b/>
                <w:bCs/>
                <w:color w:val="auto"/>
                <w:szCs w:val="21"/>
                <w:highlight w:val="yellow"/>
                <w:lang w:val="en-US" w:eastAsia="zh-CN"/>
              </w:rPr>
            </w:pPr>
            <w:bookmarkStart w:id="39" w:name="_Toc26342"/>
            <w:bookmarkStart w:id="40" w:name="_Toc35424887"/>
            <w:bookmarkStart w:id="41" w:name="_Toc35425053"/>
            <w:bookmarkStart w:id="42" w:name="_Toc20532"/>
            <w:bookmarkStart w:id="43" w:name="_Toc35947170"/>
            <w:bookmarkStart w:id="44" w:name="_Toc15058846"/>
            <w:bookmarkStart w:id="45" w:name="_Toc8242"/>
            <w:bookmarkStart w:id="46" w:name="_Toc13234"/>
            <w:bookmarkStart w:id="47" w:name="_Toc531771949"/>
            <w:bookmarkStart w:id="48" w:name="_Toc8218_WPSOffice_Level1"/>
            <w:r>
              <w:rPr>
                <w:rFonts w:hint="eastAsia" w:ascii="宋体" w:hAnsi="宋体" w:cs="宋体"/>
                <w:b/>
                <w:bCs/>
                <w:color w:val="auto"/>
                <w:szCs w:val="21"/>
                <w:highlight w:val="yellow"/>
                <w:lang w:val="en-US" w:eastAsia="zh-CN"/>
              </w:rPr>
              <w:t>重要说明</w:t>
            </w:r>
          </w:p>
        </w:tc>
        <w:tc>
          <w:tcPr>
            <w:tcW w:w="7127" w:type="dxa"/>
            <w:vAlign w:val="center"/>
          </w:tcPr>
          <w:p>
            <w:pPr>
              <w:spacing w:line="360" w:lineRule="exact"/>
              <w:jc w:val="left"/>
              <w:rPr>
                <w:rFonts w:hint="eastAsia" w:ascii="宋体" w:hAnsi="宋体" w:eastAsia="宋体" w:cs="宋体"/>
                <w:b/>
                <w:bCs/>
                <w:color w:val="auto"/>
                <w:szCs w:val="21"/>
                <w:highlight w:val="yellow"/>
                <w:lang w:eastAsia="zh-CN"/>
              </w:rPr>
            </w:pPr>
            <w:r>
              <w:rPr>
                <w:rFonts w:hint="eastAsia" w:ascii="宋体" w:hAnsi="宋体" w:eastAsia="宋体" w:cs="宋体"/>
                <w:b/>
                <w:bCs/>
                <w:color w:val="auto"/>
                <w:szCs w:val="21"/>
                <w:highlight w:val="yellow"/>
                <w:lang w:eastAsia="zh-CN"/>
              </w:rPr>
              <w:t>在合同期内，</w:t>
            </w:r>
            <w:r>
              <w:rPr>
                <w:rFonts w:hint="eastAsia" w:ascii="宋体" w:hAnsi="宋体" w:eastAsia="宋体" w:cs="宋体"/>
                <w:b/>
                <w:bCs/>
                <w:color w:val="auto"/>
                <w:szCs w:val="21"/>
                <w:highlight w:val="yellow"/>
                <w:lang w:val="en-US" w:eastAsia="zh-CN"/>
              </w:rPr>
              <w:t>中央空调</w:t>
            </w:r>
            <w:r>
              <w:rPr>
                <w:rFonts w:hint="eastAsia" w:ascii="宋体" w:hAnsi="宋体" w:eastAsia="宋体" w:cs="宋体"/>
                <w:b/>
                <w:bCs/>
                <w:color w:val="auto"/>
                <w:szCs w:val="21"/>
                <w:highlight w:val="yellow"/>
                <w:lang w:eastAsia="zh-CN"/>
              </w:rPr>
              <w:t>机组等所有零部件发生损坏，如需更换配件，配件材料的价格需经甲方需求部门确认同意后方可更换。配件费用</w:t>
            </w:r>
            <w:r>
              <w:rPr>
                <w:rFonts w:hint="eastAsia" w:ascii="宋体" w:hAnsi="宋体" w:eastAsia="宋体" w:cs="宋体"/>
                <w:b/>
                <w:bCs/>
                <w:color w:val="auto"/>
                <w:szCs w:val="21"/>
                <w:highlight w:val="yellow"/>
                <w:lang w:val="en-US" w:eastAsia="zh-CN"/>
              </w:rPr>
              <w:t>≥300元</w:t>
            </w:r>
            <w:r>
              <w:rPr>
                <w:rFonts w:hint="eastAsia" w:ascii="宋体" w:hAnsi="宋体" w:eastAsia="宋体" w:cs="宋体"/>
                <w:b/>
                <w:bCs/>
                <w:color w:val="auto"/>
                <w:szCs w:val="21"/>
                <w:highlight w:val="yellow"/>
                <w:lang w:eastAsia="zh-CN"/>
              </w:rPr>
              <w:t>由采购方承担，</w:t>
            </w:r>
            <w:r>
              <w:rPr>
                <w:rFonts w:hint="eastAsia" w:ascii="宋体" w:hAnsi="宋体" w:eastAsia="宋体" w:cs="宋体"/>
                <w:b/>
                <w:bCs/>
                <w:color w:val="auto"/>
                <w:szCs w:val="21"/>
                <w:highlight w:val="yellow"/>
                <w:lang w:val="en-US" w:eastAsia="zh-CN"/>
              </w:rPr>
              <w:t>＜300元由中标人承担。</w:t>
            </w:r>
            <w:r>
              <w:rPr>
                <w:rFonts w:hint="eastAsia" w:ascii="宋体" w:hAnsi="宋体" w:eastAsia="宋体" w:cs="宋体"/>
                <w:b/>
                <w:bCs/>
                <w:color w:val="auto"/>
                <w:szCs w:val="21"/>
                <w:highlight w:val="yellow"/>
                <w:lang w:eastAsia="zh-CN"/>
              </w:rPr>
              <w:t>中标单位不得另行收取拆装及服务费用。所更换易损件质保期依据厂家质保期限执行。同时提供更换配件明细及单价报价表做为结算依据。</w:t>
            </w:r>
          </w:p>
        </w:tc>
      </w:tr>
      <w:bookmarkEnd w:id="0"/>
      <w:bookmarkEnd w:id="1"/>
      <w:bookmarkEnd w:id="2"/>
      <w:bookmarkEnd w:id="3"/>
      <w:bookmarkEnd w:id="4"/>
      <w:bookmarkEnd w:id="6"/>
      <w:bookmarkEnd w:id="7"/>
    </w:tbl>
    <w:p>
      <w:pPr>
        <w:pStyle w:val="4"/>
        <w:rPr>
          <w:rFonts w:hint="eastAsia"/>
          <w:color w:val="auto"/>
          <w:lang w:eastAsia="zh-CN"/>
        </w:rPr>
      </w:pPr>
    </w:p>
    <w:p>
      <w:pPr>
        <w:rPr>
          <w:rFonts w:hint="eastAsia"/>
          <w:color w:val="auto"/>
          <w:lang w:eastAsia="zh-CN"/>
        </w:rPr>
      </w:pPr>
    </w:p>
    <w:p>
      <w:pPr>
        <w:pStyle w:val="50"/>
        <w:rPr>
          <w:rFonts w:hint="eastAsia"/>
          <w:color w:val="auto"/>
          <w:lang w:eastAsia="zh-CN"/>
        </w:rPr>
      </w:pPr>
    </w:p>
    <w:p>
      <w:pPr>
        <w:pStyle w:val="21"/>
        <w:rPr>
          <w:rFonts w:hint="eastAsia"/>
          <w:color w:val="auto"/>
          <w:lang w:eastAsia="zh-CN"/>
        </w:rPr>
      </w:pPr>
    </w:p>
    <w:p>
      <w:pPr>
        <w:pStyle w:val="18"/>
        <w:rPr>
          <w:rFonts w:hint="eastAsia"/>
          <w:color w:val="auto"/>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color w:val="auto"/>
          <w:lang w:eastAsia="zh-CN"/>
        </w:rPr>
      </w:pPr>
    </w:p>
    <w:p>
      <w:pPr>
        <w:pStyle w:val="50"/>
        <w:rPr>
          <w:rFonts w:hint="eastAsia"/>
          <w:color w:val="auto"/>
          <w:lang w:eastAsia="zh-CN"/>
        </w:rPr>
      </w:pPr>
    </w:p>
    <w:p>
      <w:pPr>
        <w:pStyle w:val="21"/>
        <w:rPr>
          <w:rFonts w:hint="eastAsia"/>
          <w:color w:val="auto"/>
          <w:lang w:eastAsia="zh-CN"/>
        </w:rPr>
      </w:pPr>
    </w:p>
    <w:p>
      <w:pPr>
        <w:rPr>
          <w:rFonts w:hint="eastAsia"/>
          <w:color w:val="auto"/>
          <w:lang w:eastAsia="zh-CN"/>
        </w:rPr>
      </w:pPr>
    </w:p>
    <w:p>
      <w:pPr>
        <w:pStyle w:val="4"/>
        <w:rPr>
          <w:color w:val="auto"/>
        </w:rPr>
      </w:pPr>
      <w:r>
        <w:rPr>
          <w:rFonts w:hint="eastAsia"/>
          <w:color w:val="auto"/>
        </w:rPr>
        <w:t>1. 总则</w:t>
      </w:r>
      <w:bookmarkEnd w:id="39"/>
      <w:bookmarkEnd w:id="40"/>
      <w:bookmarkEnd w:id="41"/>
      <w:bookmarkEnd w:id="42"/>
      <w:bookmarkEnd w:id="43"/>
      <w:bookmarkEnd w:id="44"/>
      <w:bookmarkEnd w:id="45"/>
      <w:bookmarkEnd w:id="46"/>
    </w:p>
    <w:p>
      <w:pPr>
        <w:snapToGrid w:val="0"/>
        <w:spacing w:line="440" w:lineRule="exact"/>
        <w:ind w:firstLine="422" w:firstLineChars="200"/>
        <w:rPr>
          <w:rFonts w:ascii="宋体"/>
          <w:b/>
          <w:color w:val="auto"/>
          <w:szCs w:val="21"/>
        </w:rPr>
      </w:pPr>
      <w:bookmarkStart w:id="49" w:name="_Toc35425065"/>
      <w:bookmarkStart w:id="50" w:name="_Toc152042318"/>
      <w:bookmarkStart w:id="51" w:name="_Toc15058858"/>
      <w:bookmarkStart w:id="52" w:name="_Toc179632560"/>
      <w:bookmarkStart w:id="53" w:name="_Toc324404827"/>
      <w:bookmarkStart w:id="54" w:name="_Toc152045542"/>
      <w:bookmarkStart w:id="55" w:name="_Toc144974510"/>
      <w:bookmarkStart w:id="56" w:name="_Toc35947182"/>
      <w:bookmarkStart w:id="57" w:name="_Toc246996187"/>
      <w:bookmarkStart w:id="58" w:name="_Toc247085701"/>
      <w:bookmarkStart w:id="59" w:name="_Toc246996930"/>
      <w:bookmarkStart w:id="60" w:name="_Toc35424899"/>
      <w:bookmarkStart w:id="61" w:name="_Toc506107281"/>
      <w:bookmarkStart w:id="62" w:name="_Toc11696"/>
      <w:bookmarkStart w:id="63" w:name="_Toc24080"/>
      <w:bookmarkStart w:id="64" w:name="_Toc26510"/>
      <w:bookmarkStart w:id="65" w:name="_Toc32316"/>
      <w:r>
        <w:rPr>
          <w:rFonts w:hint="eastAsia" w:ascii="宋体"/>
          <w:b/>
          <w:color w:val="auto"/>
          <w:szCs w:val="21"/>
        </w:rPr>
        <w:t>1.项目概况</w:t>
      </w:r>
    </w:p>
    <w:p>
      <w:pPr>
        <w:snapToGrid w:val="0"/>
        <w:spacing w:line="440" w:lineRule="exact"/>
        <w:ind w:firstLine="420" w:firstLineChars="200"/>
        <w:rPr>
          <w:rFonts w:hint="eastAsia"/>
          <w:color w:val="auto"/>
          <w:szCs w:val="21"/>
          <w:lang w:eastAsia="zh-CN"/>
        </w:rPr>
      </w:pPr>
      <w:r>
        <w:rPr>
          <w:rFonts w:hint="eastAsia"/>
          <w:color w:val="auto"/>
          <w:szCs w:val="21"/>
        </w:rPr>
        <w:t>本次招标采购项目名称：</w:t>
      </w:r>
      <w:r>
        <w:rPr>
          <w:rFonts w:hint="eastAsia"/>
          <w:color w:val="auto"/>
          <w:szCs w:val="21"/>
          <w:lang w:eastAsia="zh-CN"/>
        </w:rPr>
        <w:t>滁州市第二人民医院中央空调维护保养项目</w:t>
      </w:r>
    </w:p>
    <w:p>
      <w:pPr>
        <w:snapToGrid w:val="0"/>
        <w:spacing w:line="440" w:lineRule="exact"/>
        <w:ind w:firstLine="420" w:firstLineChars="200"/>
        <w:rPr>
          <w:color w:val="auto"/>
          <w:szCs w:val="21"/>
        </w:rPr>
      </w:pPr>
      <w:r>
        <w:rPr>
          <w:rFonts w:hint="eastAsia"/>
          <w:color w:val="auto"/>
          <w:szCs w:val="21"/>
        </w:rPr>
        <w:t>采 购 人：滁州市第二人民医院（市传染病医院、市精神病医院）</w:t>
      </w:r>
    </w:p>
    <w:p>
      <w:pPr>
        <w:snapToGrid w:val="0"/>
        <w:spacing w:line="440" w:lineRule="exact"/>
        <w:ind w:firstLine="420" w:firstLineChars="200"/>
        <w:rPr>
          <w:color w:val="auto"/>
          <w:szCs w:val="21"/>
          <w:highlight w:val="none"/>
        </w:rPr>
      </w:pPr>
      <w:r>
        <w:rPr>
          <w:rFonts w:hint="eastAsia"/>
          <w:color w:val="auto"/>
          <w:szCs w:val="21"/>
          <w:highlight w:val="none"/>
        </w:rPr>
        <w:t>服务期限：</w:t>
      </w:r>
      <w:r>
        <w:rPr>
          <w:rFonts w:hint="eastAsia"/>
          <w:color w:val="auto"/>
          <w:szCs w:val="21"/>
          <w:highlight w:val="none"/>
          <w:lang w:eastAsia="zh-CN"/>
        </w:rPr>
        <w:t xml:space="preserve"> 三年（合同一年一签）</w:t>
      </w:r>
      <w:r>
        <w:rPr>
          <w:rFonts w:hint="eastAsia"/>
          <w:color w:val="auto"/>
          <w:szCs w:val="21"/>
          <w:highlight w:val="none"/>
        </w:rPr>
        <w:t>。</w:t>
      </w:r>
    </w:p>
    <w:p>
      <w:pPr>
        <w:snapToGrid w:val="0"/>
        <w:spacing w:line="440" w:lineRule="exact"/>
        <w:ind w:firstLine="422" w:firstLineChars="200"/>
        <w:rPr>
          <w:rFonts w:ascii="宋体"/>
          <w:b/>
          <w:color w:val="auto"/>
          <w:szCs w:val="21"/>
        </w:rPr>
      </w:pPr>
      <w:r>
        <w:rPr>
          <w:rFonts w:hint="eastAsia" w:ascii="宋体"/>
          <w:b/>
          <w:color w:val="auto"/>
          <w:szCs w:val="21"/>
        </w:rPr>
        <w:t>2.招标范围：</w:t>
      </w:r>
    </w:p>
    <w:p>
      <w:pPr>
        <w:snapToGrid w:val="0"/>
        <w:spacing w:line="440" w:lineRule="exact"/>
        <w:ind w:firstLine="420" w:firstLineChars="20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为</w:t>
      </w:r>
      <w:r>
        <w:rPr>
          <w:rFonts w:hint="eastAsia" w:ascii="Times New Roman" w:hAnsi="Times New Roman" w:eastAsia="宋体" w:cs="Times New Roman"/>
          <w:color w:val="auto"/>
          <w:szCs w:val="21"/>
        </w:rPr>
        <w:t>保证</w:t>
      </w:r>
      <w:r>
        <w:rPr>
          <w:rFonts w:hint="eastAsia" w:ascii="Times New Roman" w:hAnsi="Times New Roman" w:eastAsia="宋体" w:cs="Times New Roman"/>
          <w:color w:val="auto"/>
          <w:szCs w:val="21"/>
          <w:lang w:val="en-US" w:eastAsia="zh-CN"/>
        </w:rPr>
        <w:t>我院</w:t>
      </w:r>
      <w:r>
        <w:rPr>
          <w:rFonts w:hint="eastAsia" w:ascii="Times New Roman" w:hAnsi="Times New Roman" w:eastAsia="宋体" w:cs="Times New Roman"/>
          <w:color w:val="auto"/>
          <w:szCs w:val="21"/>
        </w:rPr>
        <w:t>中央空调机组设备的正常使用，</w:t>
      </w:r>
      <w:r>
        <w:rPr>
          <w:rFonts w:hint="eastAsia" w:ascii="Times New Roman" w:hAnsi="Times New Roman" w:eastAsia="宋体" w:cs="Times New Roman"/>
          <w:color w:val="auto"/>
          <w:szCs w:val="21"/>
          <w:lang w:val="en-US" w:eastAsia="zh-CN"/>
        </w:rPr>
        <w:t>拟采购一家维保单位</w:t>
      </w:r>
      <w:r>
        <w:rPr>
          <w:rFonts w:hint="eastAsia" w:ascii="Times New Roman" w:hAnsi="Times New Roman" w:eastAsia="宋体" w:cs="Times New Roman"/>
          <w:color w:val="auto"/>
          <w:szCs w:val="21"/>
        </w:rPr>
        <w:t>对</w:t>
      </w:r>
      <w:r>
        <w:rPr>
          <w:rFonts w:hint="eastAsia" w:ascii="Times New Roman" w:hAnsi="Times New Roman" w:eastAsia="宋体" w:cs="Times New Roman"/>
          <w:color w:val="auto"/>
          <w:szCs w:val="21"/>
          <w:lang w:val="en-US" w:eastAsia="zh-CN"/>
        </w:rPr>
        <w:t>我院中央空调进行</w:t>
      </w:r>
      <w:r>
        <w:rPr>
          <w:rFonts w:hint="eastAsia" w:ascii="Times New Roman" w:hAnsi="Times New Roman" w:eastAsia="宋体" w:cs="Times New Roman"/>
          <w:color w:val="auto"/>
          <w:szCs w:val="21"/>
        </w:rPr>
        <w:t>的日常维护以及维修等，使</w:t>
      </w:r>
      <w:r>
        <w:rPr>
          <w:rFonts w:hint="eastAsia" w:ascii="Times New Roman" w:hAnsi="Times New Roman" w:eastAsia="宋体" w:cs="Times New Roman"/>
          <w:color w:val="auto"/>
          <w:szCs w:val="21"/>
          <w:lang w:val="en-US" w:eastAsia="zh-CN"/>
        </w:rPr>
        <w:t>我院空调</w:t>
      </w:r>
      <w:r>
        <w:rPr>
          <w:rFonts w:hint="eastAsia" w:ascii="Times New Roman" w:hAnsi="Times New Roman" w:eastAsia="宋体" w:cs="Times New Roman"/>
          <w:color w:val="auto"/>
          <w:szCs w:val="21"/>
        </w:rPr>
        <w:t>设备正常、安全的运行</w:t>
      </w:r>
      <w:r>
        <w:rPr>
          <w:rFonts w:hint="eastAsia" w:ascii="Times New Roman" w:hAnsi="Times New Roman" w:eastAsia="宋体" w:cs="Times New Roman"/>
          <w:color w:val="auto"/>
          <w:szCs w:val="21"/>
          <w:lang w:val="en-US" w:eastAsia="zh-CN"/>
        </w:rPr>
        <w:t>等</w:t>
      </w:r>
      <w:r>
        <w:rPr>
          <w:rFonts w:hint="eastAsia" w:ascii="Times New Roman" w:hAnsi="Times New Roman" w:eastAsia="宋体" w:cs="Times New Roman"/>
          <w:color w:val="auto"/>
          <w:szCs w:val="21"/>
          <w:lang w:eastAsia="zh-CN"/>
        </w:rPr>
        <w:t>。</w:t>
      </w:r>
    </w:p>
    <w:p>
      <w:pPr>
        <w:snapToGrid w:val="0"/>
        <w:spacing w:line="440" w:lineRule="exact"/>
        <w:ind w:firstLine="422" w:firstLineChars="200"/>
        <w:rPr>
          <w:rFonts w:ascii="宋体"/>
          <w:color w:val="auto"/>
          <w:szCs w:val="21"/>
        </w:rPr>
      </w:pPr>
      <w:r>
        <w:rPr>
          <w:rFonts w:hint="eastAsia" w:ascii="宋体"/>
          <w:b/>
          <w:color w:val="auto"/>
          <w:szCs w:val="21"/>
        </w:rPr>
        <w:t>3.标包划分：</w:t>
      </w:r>
      <w:r>
        <w:rPr>
          <w:rFonts w:hint="eastAsia" w:ascii="宋体"/>
          <w:color w:val="auto"/>
          <w:szCs w:val="21"/>
        </w:rPr>
        <w:t>一个标段。</w:t>
      </w:r>
    </w:p>
    <w:p>
      <w:pPr>
        <w:snapToGrid w:val="0"/>
        <w:spacing w:line="440" w:lineRule="exact"/>
        <w:ind w:firstLine="422" w:firstLineChars="200"/>
        <w:rPr>
          <w:rFonts w:ascii="宋体"/>
          <w:color w:val="auto"/>
          <w:szCs w:val="21"/>
        </w:rPr>
      </w:pPr>
      <w:r>
        <w:rPr>
          <w:rFonts w:hint="eastAsia" w:ascii="宋体"/>
          <w:b/>
          <w:color w:val="auto"/>
          <w:szCs w:val="21"/>
        </w:rPr>
        <w:t>4.招标方式：</w:t>
      </w:r>
      <w:r>
        <w:rPr>
          <w:rFonts w:hint="eastAsia" w:ascii="宋体"/>
          <w:color w:val="auto"/>
          <w:szCs w:val="21"/>
        </w:rPr>
        <w:t>公开招标</w:t>
      </w:r>
    </w:p>
    <w:p>
      <w:pPr>
        <w:snapToGrid w:val="0"/>
        <w:spacing w:line="440" w:lineRule="exact"/>
        <w:ind w:firstLine="422" w:firstLineChars="200"/>
        <w:rPr>
          <w:rFonts w:ascii="宋体"/>
          <w:color w:val="auto"/>
          <w:szCs w:val="21"/>
        </w:rPr>
      </w:pPr>
      <w:r>
        <w:rPr>
          <w:rFonts w:hint="eastAsia" w:ascii="宋体"/>
          <w:b/>
          <w:color w:val="auto"/>
          <w:szCs w:val="21"/>
        </w:rPr>
        <w:t>5.计价方式：</w:t>
      </w:r>
      <w:r>
        <w:rPr>
          <w:rFonts w:hint="eastAsia" w:ascii="宋体"/>
          <w:color w:val="auto"/>
          <w:szCs w:val="21"/>
        </w:rPr>
        <w:t>本次招标项目合同采用</w:t>
      </w:r>
      <w:r>
        <w:rPr>
          <w:rFonts w:hint="eastAsia" w:ascii="宋体"/>
          <w:color w:val="auto"/>
          <w:szCs w:val="21"/>
          <w:u w:val="single"/>
        </w:rPr>
        <w:t xml:space="preserve">   固定总价</w:t>
      </w:r>
      <w:r>
        <w:rPr>
          <w:rFonts w:hint="eastAsia" w:ascii="宋体"/>
          <w:color w:val="auto"/>
          <w:szCs w:val="21"/>
          <w:u w:val="single"/>
          <w:lang w:val="en-US" w:eastAsia="zh-CN"/>
        </w:rPr>
        <w:t xml:space="preserve">  </w:t>
      </w:r>
      <w:r>
        <w:rPr>
          <w:rFonts w:hint="eastAsia" w:ascii="宋体"/>
          <w:color w:val="auto"/>
          <w:szCs w:val="21"/>
          <w:u w:val="single"/>
        </w:rPr>
        <w:t>。</w:t>
      </w:r>
    </w:p>
    <w:p>
      <w:pPr>
        <w:snapToGrid w:val="0"/>
        <w:spacing w:line="440" w:lineRule="exact"/>
        <w:ind w:firstLine="422" w:firstLineChars="200"/>
        <w:rPr>
          <w:rFonts w:ascii="宋体"/>
          <w:color w:val="auto"/>
          <w:szCs w:val="21"/>
        </w:rPr>
      </w:pPr>
      <w:r>
        <w:rPr>
          <w:rFonts w:hint="eastAsia" w:ascii="宋体"/>
          <w:b/>
          <w:color w:val="auto"/>
          <w:szCs w:val="21"/>
        </w:rPr>
        <w:t>6.评标办法：</w:t>
      </w:r>
      <w:r>
        <w:rPr>
          <w:rFonts w:hint="eastAsia" w:ascii="宋体"/>
          <w:color w:val="auto"/>
          <w:szCs w:val="21"/>
        </w:rPr>
        <w:t>本次招标评标采用</w:t>
      </w:r>
      <w:r>
        <w:rPr>
          <w:rFonts w:hint="eastAsia" w:ascii="宋体"/>
          <w:color w:val="auto"/>
          <w:szCs w:val="21"/>
          <w:u w:val="single"/>
        </w:rPr>
        <w:t xml:space="preserve"> </w:t>
      </w:r>
      <w:r>
        <w:rPr>
          <w:rFonts w:hint="eastAsia" w:ascii="宋体"/>
          <w:b/>
          <w:color w:val="auto"/>
          <w:szCs w:val="21"/>
          <w:u w:val="single"/>
        </w:rPr>
        <w:t>综合评分</w:t>
      </w:r>
      <w:r>
        <w:rPr>
          <w:rFonts w:ascii="宋体"/>
          <w:b/>
          <w:color w:val="auto"/>
          <w:szCs w:val="21"/>
          <w:u w:val="single"/>
        </w:rPr>
        <w:t>法</w:t>
      </w:r>
      <w:r>
        <w:rPr>
          <w:rFonts w:hint="eastAsia" w:ascii="宋体"/>
          <w:color w:val="auto"/>
          <w:szCs w:val="21"/>
        </w:rPr>
        <w:t>（详见第三章评标办法）</w:t>
      </w:r>
    </w:p>
    <w:p>
      <w:pPr>
        <w:snapToGrid w:val="0"/>
        <w:spacing w:line="440" w:lineRule="exact"/>
        <w:ind w:firstLine="422" w:firstLineChars="200"/>
        <w:rPr>
          <w:rFonts w:ascii="宋体"/>
          <w:b/>
          <w:color w:val="auto"/>
          <w:szCs w:val="21"/>
        </w:rPr>
      </w:pPr>
      <w:r>
        <w:rPr>
          <w:rFonts w:hint="eastAsia" w:ascii="宋体"/>
          <w:b/>
          <w:color w:val="auto"/>
          <w:szCs w:val="21"/>
        </w:rPr>
        <w:t>7.投标人资格：</w:t>
      </w:r>
      <w:r>
        <w:rPr>
          <w:rFonts w:hint="eastAsia" w:ascii="宋体"/>
          <w:color w:val="auto"/>
          <w:szCs w:val="21"/>
        </w:rPr>
        <w:t>详见第一章“招标公告”</w:t>
      </w:r>
    </w:p>
    <w:p>
      <w:pPr>
        <w:pStyle w:val="4"/>
        <w:rPr>
          <w:rFonts w:hint="eastAsia"/>
          <w:color w:val="auto"/>
        </w:rPr>
      </w:pPr>
      <w:r>
        <w:rPr>
          <w:rFonts w:hint="eastAsia"/>
          <w:color w:val="auto"/>
        </w:rPr>
        <w:t xml:space="preserve">2. </w:t>
      </w:r>
      <w:bookmarkEnd w:id="49"/>
      <w:bookmarkEnd w:id="50"/>
      <w:bookmarkEnd w:id="51"/>
      <w:bookmarkEnd w:id="52"/>
      <w:bookmarkEnd w:id="53"/>
      <w:bookmarkEnd w:id="54"/>
      <w:bookmarkEnd w:id="55"/>
      <w:bookmarkEnd w:id="56"/>
      <w:bookmarkEnd w:id="57"/>
      <w:bookmarkEnd w:id="58"/>
      <w:bookmarkEnd w:id="59"/>
      <w:bookmarkEnd w:id="60"/>
      <w:bookmarkEnd w:id="61"/>
      <w:r>
        <w:rPr>
          <w:rFonts w:hint="eastAsia"/>
          <w:color w:val="auto"/>
        </w:rPr>
        <w:t>交易文件</w:t>
      </w:r>
      <w:bookmarkEnd w:id="62"/>
      <w:bookmarkEnd w:id="63"/>
      <w:bookmarkEnd w:id="64"/>
      <w:bookmarkEnd w:id="65"/>
      <w:bookmarkStart w:id="66" w:name="_Toc324404828"/>
      <w:bookmarkStart w:id="67" w:name="_Toc506107282"/>
      <w:bookmarkStart w:id="68" w:name="_Toc152045543"/>
      <w:bookmarkStart w:id="69" w:name="_Toc246996931"/>
      <w:bookmarkStart w:id="70" w:name="_Toc152042319"/>
      <w:bookmarkStart w:id="71" w:name="_Toc144974511"/>
      <w:bookmarkStart w:id="72" w:name="_Toc246996188"/>
      <w:bookmarkStart w:id="73" w:name="_Toc15058859"/>
      <w:bookmarkStart w:id="74" w:name="_Toc179632561"/>
      <w:bookmarkStart w:id="75" w:name="_Toc3202"/>
      <w:bookmarkStart w:id="76" w:name="_Toc247085702"/>
      <w:bookmarkStart w:id="77" w:name="_Toc35947183"/>
      <w:bookmarkStart w:id="78" w:name="_Toc23619"/>
      <w:bookmarkStart w:id="79" w:name="_Toc29501"/>
      <w:bookmarkStart w:id="80" w:name="_Toc35425066"/>
      <w:bookmarkStart w:id="81" w:name="_Toc35424900"/>
      <w:bookmarkStart w:id="82" w:name="_Toc296602433"/>
    </w:p>
    <w:p>
      <w:pPr>
        <w:spacing w:line="440" w:lineRule="atLeast"/>
        <w:ind w:firstLine="422" w:firstLineChars="200"/>
        <w:outlineLvl w:val="2"/>
        <w:rPr>
          <w:rFonts w:hint="eastAsia" w:ascii="宋体" w:hAnsi="宋体" w:cs="宋体"/>
          <w:b/>
          <w:bCs/>
          <w:color w:val="auto"/>
          <w:szCs w:val="21"/>
        </w:rPr>
      </w:pPr>
      <w:r>
        <w:rPr>
          <w:rFonts w:hint="eastAsia" w:ascii="宋体" w:hAnsi="宋体" w:cs="宋体"/>
          <w:b/>
          <w:bCs/>
          <w:color w:val="auto"/>
          <w:szCs w:val="21"/>
        </w:rPr>
        <w:t>2.1 交易文件的组成</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40" w:lineRule="atLeas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招标公告</w:t>
      </w:r>
      <w:r>
        <w:rPr>
          <w:rFonts w:hint="eastAsia" w:ascii="宋体" w:hAnsi="宋体" w:cs="宋体"/>
          <w:color w:val="auto"/>
          <w:szCs w:val="21"/>
        </w:rPr>
        <w:t>；</w:t>
      </w:r>
    </w:p>
    <w:p>
      <w:pPr>
        <w:spacing w:line="440" w:lineRule="atLeas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投标人须知前附表</w:t>
      </w:r>
      <w:r>
        <w:rPr>
          <w:rFonts w:hint="eastAsia" w:ascii="宋体" w:hAnsi="宋体" w:cs="宋体"/>
          <w:color w:val="auto"/>
          <w:szCs w:val="21"/>
        </w:rPr>
        <w:t>；</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评标办法</w:t>
      </w:r>
      <w:r>
        <w:rPr>
          <w:rFonts w:hint="eastAsia" w:ascii="宋体" w:hAnsi="宋体" w:cs="宋体"/>
          <w:color w:val="auto"/>
          <w:szCs w:val="21"/>
        </w:rPr>
        <w:t>；</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服务需求</w:t>
      </w:r>
      <w:r>
        <w:rPr>
          <w:rFonts w:hint="eastAsia" w:ascii="宋体" w:hAnsi="宋体" w:cs="宋体"/>
          <w:color w:val="auto"/>
          <w:szCs w:val="21"/>
        </w:rPr>
        <w:t>；</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合同条款及格式</w:t>
      </w:r>
      <w:r>
        <w:rPr>
          <w:rFonts w:hint="eastAsia" w:ascii="宋体" w:hAnsi="宋体" w:cs="宋体"/>
          <w:color w:val="auto"/>
          <w:szCs w:val="21"/>
        </w:rPr>
        <w:t>；</w:t>
      </w: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投标文件格式</w:t>
      </w:r>
      <w:r>
        <w:rPr>
          <w:rFonts w:hint="eastAsia" w:ascii="宋体" w:hAnsi="宋体" w:cs="宋体"/>
          <w:color w:val="auto"/>
          <w:szCs w:val="21"/>
        </w:rPr>
        <w:t>；</w:t>
      </w: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采购人、采购代理机构对本招标文件的确认</w:t>
      </w:r>
      <w:r>
        <w:rPr>
          <w:rFonts w:hint="eastAsia" w:ascii="宋体" w:hAnsi="宋体" w:cs="宋体"/>
          <w:color w:val="auto"/>
          <w:szCs w:val="21"/>
        </w:rPr>
        <w:t>。</w:t>
      </w:r>
    </w:p>
    <w:p>
      <w:pPr>
        <w:spacing w:line="440" w:lineRule="atLeast"/>
        <w:ind w:firstLine="422" w:firstLineChars="200"/>
        <w:outlineLvl w:val="2"/>
        <w:rPr>
          <w:rFonts w:ascii="宋体" w:hAnsi="宋体" w:cs="宋体"/>
          <w:b/>
          <w:bCs/>
          <w:color w:val="auto"/>
          <w:szCs w:val="21"/>
        </w:rPr>
      </w:pPr>
      <w:bookmarkStart w:id="83" w:name="_Toc35425067"/>
      <w:bookmarkStart w:id="84" w:name="_Toc506107283"/>
      <w:bookmarkStart w:id="85" w:name="_Toc7670"/>
      <w:bookmarkStart w:id="86" w:name="_Toc296602434"/>
      <w:bookmarkStart w:id="87" w:name="_Toc246996189"/>
      <w:bookmarkStart w:id="88" w:name="_Toc11806"/>
      <w:bookmarkStart w:id="89" w:name="_Toc247085703"/>
      <w:bookmarkStart w:id="90" w:name="_Toc246996932"/>
      <w:bookmarkStart w:id="91" w:name="_Toc25054"/>
      <w:bookmarkStart w:id="92" w:name="_Toc324404829"/>
      <w:bookmarkStart w:id="93" w:name="_Toc35947184"/>
      <w:bookmarkStart w:id="94" w:name="_Toc152042320"/>
      <w:bookmarkStart w:id="95" w:name="_Toc152045544"/>
      <w:bookmarkStart w:id="96" w:name="_Toc144974512"/>
      <w:bookmarkStart w:id="97" w:name="_Toc35424901"/>
      <w:bookmarkStart w:id="98" w:name="_Toc15058860"/>
      <w:bookmarkStart w:id="99" w:name="_Toc179632562"/>
      <w:r>
        <w:rPr>
          <w:rFonts w:hint="eastAsia" w:ascii="宋体" w:hAnsi="宋体" w:cs="宋体"/>
          <w:b/>
          <w:bCs/>
          <w:color w:val="auto"/>
          <w:szCs w:val="21"/>
        </w:rPr>
        <w:t>2.2 交易文件的澄清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宋体" w:hAnsi="宋体" w:cs="宋体"/>
          <w:b/>
          <w:bCs/>
          <w:color w:val="auto"/>
          <w:szCs w:val="21"/>
        </w:rPr>
        <w:t xml:space="preserve"> </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2.2.1 投标人应仔细阅读和检查交易文件的全部内容。如有疑问，应在投标人须知前附表规定的时间前以网上邮件或书面形式（包括信函、电报、传真等可以有形地表现所载内容的形式，下同），要求采购人对交易文件予以澄清。</w:t>
      </w:r>
    </w:p>
    <w:p>
      <w:pPr>
        <w:spacing w:line="440" w:lineRule="atLeast"/>
        <w:ind w:firstLine="422" w:firstLineChars="200"/>
        <w:outlineLvl w:val="2"/>
        <w:rPr>
          <w:rFonts w:ascii="宋体" w:hAnsi="宋体" w:cs="宋体"/>
          <w:b/>
          <w:bCs/>
          <w:color w:val="auto"/>
          <w:szCs w:val="21"/>
        </w:rPr>
      </w:pPr>
      <w:bookmarkStart w:id="100" w:name="_Toc152045545"/>
      <w:bookmarkStart w:id="101" w:name="_Toc30752"/>
      <w:bookmarkStart w:id="102" w:name="_Toc12699"/>
      <w:bookmarkStart w:id="103" w:name="_Toc35424902"/>
      <w:bookmarkStart w:id="104" w:name="_Toc35425068"/>
      <w:bookmarkStart w:id="105" w:name="_Toc144974513"/>
      <w:bookmarkStart w:id="106" w:name="_Toc35947185"/>
      <w:bookmarkStart w:id="107" w:name="_Toc246996933"/>
      <w:bookmarkStart w:id="108" w:name="_Toc179632563"/>
      <w:bookmarkStart w:id="109" w:name="_Toc324404830"/>
      <w:bookmarkStart w:id="110" w:name="_Toc15058861"/>
      <w:bookmarkStart w:id="111" w:name="_Toc20350"/>
      <w:bookmarkStart w:id="112" w:name="_Toc246996190"/>
      <w:bookmarkStart w:id="113" w:name="_Toc296602435"/>
      <w:bookmarkStart w:id="114" w:name="_Toc506107284"/>
      <w:bookmarkStart w:id="115" w:name="_Toc152042321"/>
      <w:bookmarkStart w:id="116" w:name="_Toc247085704"/>
      <w:r>
        <w:rPr>
          <w:rFonts w:hint="eastAsia" w:ascii="宋体" w:hAnsi="宋体" w:cs="宋体"/>
          <w:b/>
          <w:bCs/>
          <w:color w:val="auto"/>
          <w:szCs w:val="21"/>
        </w:rPr>
        <w:t>2.3 交易文件的修改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40" w:lineRule="atLeast"/>
        <w:ind w:firstLine="420" w:firstLineChars="200"/>
        <w:rPr>
          <w:rFonts w:ascii="宋体" w:hAnsi="宋体" w:cs="宋体"/>
          <w:color w:val="auto"/>
          <w:szCs w:val="21"/>
        </w:rPr>
      </w:pPr>
      <w:bookmarkStart w:id="117" w:name="_Toc35425069"/>
      <w:bookmarkStart w:id="118" w:name="_Toc992"/>
      <w:bookmarkStart w:id="119" w:name="_Toc15058862"/>
      <w:bookmarkStart w:id="120" w:name="_Toc324404831"/>
      <w:bookmarkStart w:id="121" w:name="_Toc2312"/>
      <w:bookmarkStart w:id="122" w:name="_Toc22085"/>
      <w:bookmarkStart w:id="123" w:name="_Toc35424903"/>
      <w:bookmarkStart w:id="124" w:name="_Toc35947186"/>
      <w:r>
        <w:rPr>
          <w:rFonts w:hint="eastAsia" w:ascii="宋体" w:hAnsi="宋体" w:cs="宋体"/>
          <w:color w:val="auto"/>
          <w:szCs w:val="21"/>
        </w:rPr>
        <w:t>以澄清公告形式在滁州市第二人民医院（市传染病医院、市精神病医院）官网予以公告。如果澄清内容影响投标文件编制的，将相应延长投标截止时间。</w:t>
      </w:r>
    </w:p>
    <w:bookmarkEnd w:id="117"/>
    <w:bookmarkEnd w:id="118"/>
    <w:bookmarkEnd w:id="119"/>
    <w:bookmarkEnd w:id="120"/>
    <w:bookmarkEnd w:id="121"/>
    <w:bookmarkEnd w:id="122"/>
    <w:bookmarkEnd w:id="123"/>
    <w:bookmarkEnd w:id="124"/>
    <w:p>
      <w:pPr>
        <w:pStyle w:val="4"/>
        <w:rPr>
          <w:color w:val="auto"/>
        </w:rPr>
      </w:pPr>
      <w:bookmarkStart w:id="125" w:name="_Toc24360"/>
      <w:bookmarkStart w:id="126" w:name="_Toc23986"/>
      <w:bookmarkStart w:id="127" w:name="_Toc506107285"/>
      <w:bookmarkStart w:id="128" w:name="_Toc35425070"/>
      <w:bookmarkStart w:id="129" w:name="_Toc7791"/>
      <w:bookmarkStart w:id="130" w:name="_Toc35424904"/>
      <w:bookmarkStart w:id="131" w:name="_Toc15058863"/>
      <w:bookmarkStart w:id="132" w:name="_Toc22327"/>
      <w:bookmarkStart w:id="133" w:name="_Toc35947187"/>
      <w:r>
        <w:rPr>
          <w:rFonts w:hint="eastAsia"/>
          <w:color w:val="auto"/>
        </w:rPr>
        <w:t>3. 投标文件</w:t>
      </w:r>
      <w:bookmarkEnd w:id="125"/>
      <w:bookmarkEnd w:id="126"/>
      <w:bookmarkEnd w:id="127"/>
      <w:bookmarkEnd w:id="128"/>
      <w:bookmarkEnd w:id="129"/>
      <w:bookmarkEnd w:id="130"/>
      <w:bookmarkEnd w:id="131"/>
      <w:bookmarkEnd w:id="132"/>
      <w:bookmarkEnd w:id="133"/>
    </w:p>
    <w:p>
      <w:pPr>
        <w:spacing w:line="440" w:lineRule="atLeast"/>
        <w:ind w:firstLine="422" w:firstLineChars="200"/>
        <w:outlineLvl w:val="2"/>
        <w:rPr>
          <w:rFonts w:ascii="宋体" w:hAnsi="宋体" w:cs="宋体"/>
          <w:b/>
          <w:bCs/>
          <w:color w:val="auto"/>
          <w:szCs w:val="21"/>
        </w:rPr>
      </w:pPr>
      <w:bookmarkStart w:id="134" w:name="_Toc6370"/>
      <w:bookmarkStart w:id="135" w:name="_Toc10744"/>
      <w:bookmarkStart w:id="136" w:name="_Toc13866"/>
      <w:bookmarkStart w:id="137" w:name="_Toc506107286"/>
      <w:bookmarkStart w:id="138" w:name="_Toc35425071"/>
      <w:bookmarkStart w:id="139" w:name="_Toc15058864"/>
      <w:bookmarkStart w:id="140" w:name="_Toc35947188"/>
      <w:bookmarkStart w:id="141" w:name="_Toc35424905"/>
      <w:r>
        <w:rPr>
          <w:rFonts w:hint="eastAsia" w:ascii="宋体" w:hAnsi="宋体" w:cs="宋体"/>
          <w:b/>
          <w:bCs/>
          <w:color w:val="auto"/>
          <w:szCs w:val="21"/>
        </w:rPr>
        <w:t>3.1 投标文件的组成</w:t>
      </w:r>
      <w:bookmarkEnd w:id="134"/>
      <w:bookmarkEnd w:id="135"/>
      <w:bookmarkEnd w:id="136"/>
      <w:bookmarkEnd w:id="137"/>
      <w:bookmarkEnd w:id="138"/>
      <w:bookmarkEnd w:id="139"/>
      <w:bookmarkEnd w:id="140"/>
      <w:bookmarkEnd w:id="141"/>
    </w:p>
    <w:p>
      <w:pPr>
        <w:spacing w:line="440" w:lineRule="exact"/>
        <w:ind w:firstLine="422" w:firstLineChars="200"/>
        <w:rPr>
          <w:rFonts w:ascii="宋体" w:hAnsi="宋体"/>
          <w:b/>
          <w:bCs/>
          <w:color w:val="auto"/>
        </w:rPr>
      </w:pPr>
      <w:bookmarkStart w:id="142" w:name="_Toc152045548"/>
      <w:bookmarkStart w:id="143" w:name="_Toc506107287"/>
      <w:bookmarkStart w:id="144" w:name="_Toc15058865"/>
      <w:bookmarkStart w:id="145" w:name="_Toc246996193"/>
      <w:bookmarkStart w:id="146" w:name="_Toc6207"/>
      <w:bookmarkStart w:id="147" w:name="_Toc35947189"/>
      <w:bookmarkStart w:id="148" w:name="_Toc31424"/>
      <w:bookmarkStart w:id="149" w:name="_Toc296602438"/>
      <w:bookmarkStart w:id="150" w:name="_Toc324404834"/>
      <w:bookmarkStart w:id="151" w:name="_Toc35425072"/>
      <w:bookmarkStart w:id="152" w:name="_Toc247085707"/>
      <w:bookmarkStart w:id="153" w:name="_Toc35424906"/>
      <w:bookmarkStart w:id="154" w:name="_Toc14180"/>
      <w:bookmarkStart w:id="155" w:name="_Toc152042324"/>
      <w:bookmarkStart w:id="156" w:name="_Toc144974516"/>
      <w:bookmarkStart w:id="157" w:name="_Toc179632566"/>
      <w:bookmarkStart w:id="158" w:name="_Toc246996936"/>
      <w:r>
        <w:rPr>
          <w:rFonts w:hint="eastAsia" w:ascii="宋体" w:hAnsi="宋体"/>
          <w:b/>
          <w:bCs/>
          <w:color w:val="auto"/>
        </w:rPr>
        <w:t>投标文件由资信部分、技术部分、商务部分三部分组成，按照招标文件格式要求进行编写。</w:t>
      </w:r>
    </w:p>
    <w:p>
      <w:pPr>
        <w:spacing w:line="440" w:lineRule="atLeast"/>
        <w:ind w:firstLine="422" w:firstLineChars="200"/>
        <w:outlineLvl w:val="2"/>
        <w:rPr>
          <w:rFonts w:ascii="宋体" w:hAnsi="宋体" w:cs="宋体"/>
          <w:b/>
          <w:bCs/>
          <w:color w:val="auto"/>
          <w:szCs w:val="21"/>
        </w:rPr>
      </w:pPr>
      <w:r>
        <w:rPr>
          <w:rFonts w:hint="eastAsia" w:ascii="宋体" w:hAnsi="宋体" w:cs="宋体"/>
          <w:b/>
          <w:bCs/>
          <w:color w:val="auto"/>
          <w:szCs w:val="21"/>
        </w:rPr>
        <w:t>3.2 投标报价</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440" w:lineRule="atLeast"/>
        <w:ind w:firstLine="420" w:firstLineChars="200"/>
        <w:rPr>
          <w:rFonts w:ascii="宋体" w:hAnsi="宋体" w:cs="宋体"/>
          <w:color w:val="auto"/>
          <w:szCs w:val="21"/>
        </w:rPr>
      </w:pPr>
      <w:bookmarkStart w:id="159" w:name="_Toc246996194"/>
      <w:bookmarkStart w:id="160" w:name="_Toc506107288"/>
      <w:bookmarkStart w:id="161" w:name="_Toc247085708"/>
      <w:bookmarkStart w:id="162" w:name="_Toc24128"/>
      <w:bookmarkStart w:id="163" w:name="_Toc8930"/>
      <w:bookmarkStart w:id="164" w:name="_Toc152045549"/>
      <w:bookmarkStart w:id="165" w:name="_Toc246996937"/>
      <w:bookmarkStart w:id="166" w:name="_Toc179632567"/>
      <w:bookmarkStart w:id="167" w:name="_Toc35424907"/>
      <w:bookmarkStart w:id="168" w:name="_Toc324404835"/>
      <w:bookmarkStart w:id="169" w:name="_Toc35425073"/>
      <w:bookmarkStart w:id="170" w:name="_Toc24368"/>
      <w:bookmarkStart w:id="171" w:name="_Toc144974517"/>
      <w:bookmarkStart w:id="172" w:name="_Toc296602439"/>
      <w:bookmarkStart w:id="173" w:name="_Toc152042325"/>
      <w:bookmarkStart w:id="174" w:name="_Toc35947190"/>
      <w:bookmarkStart w:id="175" w:name="_Toc15058866"/>
      <w:r>
        <w:rPr>
          <w:rFonts w:hint="eastAsia" w:ascii="宋体" w:hAnsi="宋体" w:cs="宋体"/>
          <w:color w:val="auto"/>
          <w:szCs w:val="21"/>
        </w:rPr>
        <w:t>3.2.1投标报价文件中的单价和总价全部采用人民币表示。投标人的报价应含有服务、利润、税金、政策性文件规定及合同包含的所有风险、责任、义务等，即为完成招标文件要求的服务内容所包含的一切应有费用，采购人后期不再追加费用，投标投标人自行考虑投标风险。</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3.2.2投标人只允许有一个方案、一个报价。</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3.2.3技术要求中规定的安装、调试和培训费用应包括在投标价格中。投标文件报价为含税价，采购人不再为此次招标支付任何费用。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3.2.4投标报价应由法定代表人或被授权人签署。</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3.2.5投标人的报价不得高于本次招标最高限价，否则将作为无效投标处理。</w:t>
      </w:r>
    </w:p>
    <w:p>
      <w:pPr>
        <w:spacing w:line="440" w:lineRule="atLeast"/>
        <w:ind w:firstLine="422" w:firstLineChars="200"/>
        <w:outlineLvl w:val="2"/>
        <w:rPr>
          <w:rFonts w:ascii="宋体" w:hAnsi="宋体" w:cs="宋体"/>
          <w:b/>
          <w:bCs/>
          <w:color w:val="auto"/>
          <w:szCs w:val="21"/>
        </w:rPr>
      </w:pPr>
      <w:r>
        <w:rPr>
          <w:rFonts w:hint="eastAsia" w:ascii="宋体" w:hAnsi="宋体" w:cs="宋体"/>
          <w:b/>
          <w:bCs/>
          <w:color w:val="auto"/>
          <w:szCs w:val="21"/>
        </w:rPr>
        <w:t>3.3 投标有效期</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440" w:lineRule="exact"/>
        <w:ind w:firstLine="420" w:firstLineChars="200"/>
        <w:rPr>
          <w:rFonts w:ascii="宋体"/>
          <w:color w:val="auto"/>
          <w:szCs w:val="21"/>
        </w:rPr>
      </w:pPr>
      <w:bookmarkStart w:id="176" w:name="_Toc144974518"/>
      <w:bookmarkStart w:id="177" w:name="_Toc246996195"/>
      <w:bookmarkStart w:id="178" w:name="_Toc15058867"/>
      <w:bookmarkStart w:id="179" w:name="_Toc247085709"/>
      <w:bookmarkStart w:id="180" w:name="_Toc152042326"/>
      <w:bookmarkStart w:id="181" w:name="_Toc35425074"/>
      <w:bookmarkStart w:id="182" w:name="_Toc324404836"/>
      <w:bookmarkStart w:id="183" w:name="_Toc152045550"/>
      <w:bookmarkStart w:id="184" w:name="_Toc179632568"/>
      <w:bookmarkStart w:id="185" w:name="_Toc35424908"/>
      <w:bookmarkStart w:id="186" w:name="_Toc506107289"/>
      <w:bookmarkStart w:id="187" w:name="_Toc35947191"/>
      <w:bookmarkStart w:id="188" w:name="_Toc246996938"/>
      <w:bookmarkStart w:id="189" w:name="_Toc296602440"/>
      <w:bookmarkStart w:id="190" w:name="_Toc11832"/>
      <w:bookmarkStart w:id="191" w:name="_Toc7863"/>
      <w:bookmarkStart w:id="192" w:name="_Toc10052"/>
      <w:r>
        <w:rPr>
          <w:rFonts w:hint="eastAsia" w:ascii="宋体"/>
          <w:color w:val="auto"/>
          <w:szCs w:val="21"/>
        </w:rPr>
        <w:t>13.1 除投标人须知前附表另有规定外，投标有效期为30天。</w:t>
      </w:r>
    </w:p>
    <w:p>
      <w:pPr>
        <w:spacing w:line="440" w:lineRule="exact"/>
        <w:ind w:firstLine="420" w:firstLineChars="200"/>
        <w:rPr>
          <w:rFonts w:ascii="宋体"/>
          <w:color w:val="auto"/>
          <w:szCs w:val="21"/>
        </w:rPr>
      </w:pPr>
      <w:r>
        <w:rPr>
          <w:rFonts w:hint="eastAsia" w:ascii="宋体"/>
          <w:color w:val="auto"/>
          <w:szCs w:val="21"/>
        </w:rPr>
        <w:t>13.2在投标有效期内，投标人撤销或修改其投标文件的，应承担招标文件和法律规定的责任。</w:t>
      </w:r>
    </w:p>
    <w:p>
      <w:pPr>
        <w:spacing w:line="440" w:lineRule="exact"/>
        <w:ind w:firstLine="420" w:firstLineChars="200"/>
        <w:rPr>
          <w:rFonts w:ascii="宋体"/>
          <w:color w:val="auto"/>
          <w:szCs w:val="21"/>
        </w:rPr>
      </w:pPr>
      <w:r>
        <w:rPr>
          <w:rFonts w:hint="eastAsia" w:ascii="宋体"/>
          <w:color w:val="auto"/>
          <w:szCs w:val="21"/>
        </w:rPr>
        <w:t>13.3出现特殊情况需要延长投标有效期的，采购人以书面形式通知所有投标人延长投标有效期。</w:t>
      </w:r>
    </w:p>
    <w:p>
      <w:pPr>
        <w:spacing w:line="440" w:lineRule="atLeast"/>
        <w:ind w:firstLine="422" w:firstLineChars="200"/>
        <w:outlineLvl w:val="2"/>
        <w:rPr>
          <w:rFonts w:hint="eastAsia" w:ascii="宋体" w:hAnsi="宋体" w:eastAsia="宋体" w:cs="宋体"/>
          <w:b/>
          <w:bCs/>
          <w:color w:val="auto"/>
          <w:szCs w:val="21"/>
          <w:lang w:eastAsia="zh-CN"/>
        </w:rPr>
      </w:pPr>
      <w:r>
        <w:rPr>
          <w:rFonts w:hint="eastAsia" w:ascii="宋体" w:hAnsi="宋体" w:cs="宋体"/>
          <w:b/>
          <w:bCs/>
          <w:color w:val="auto"/>
          <w:szCs w:val="21"/>
        </w:rPr>
        <w:t>3.4 投标保证金</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ascii="宋体" w:hAnsi="宋体" w:cs="宋体"/>
          <w:b/>
          <w:bCs/>
          <w:color w:val="auto"/>
          <w:szCs w:val="21"/>
          <w:lang w:eastAsia="zh-CN"/>
        </w:rPr>
        <w:t>（</w:t>
      </w:r>
      <w:r>
        <w:rPr>
          <w:rFonts w:hint="eastAsia" w:ascii="宋体" w:hAnsi="宋体" w:cs="宋体"/>
          <w:b/>
          <w:bCs/>
          <w:color w:val="auto"/>
          <w:szCs w:val="21"/>
          <w:lang w:val="en-US" w:eastAsia="zh-CN"/>
        </w:rPr>
        <w:t>不要求</w:t>
      </w:r>
      <w:r>
        <w:rPr>
          <w:rFonts w:hint="eastAsia" w:ascii="宋体" w:hAnsi="宋体" w:cs="宋体"/>
          <w:b/>
          <w:bCs/>
          <w:color w:val="auto"/>
          <w:szCs w:val="21"/>
          <w:lang w:eastAsia="zh-CN"/>
        </w:rPr>
        <w:t>）</w:t>
      </w:r>
    </w:p>
    <w:bookmarkEnd w:id="191"/>
    <w:bookmarkEnd w:id="192"/>
    <w:p>
      <w:pPr>
        <w:spacing w:line="440" w:lineRule="atLeast"/>
        <w:ind w:firstLine="422" w:firstLineChars="200"/>
        <w:outlineLvl w:val="2"/>
        <w:rPr>
          <w:rFonts w:ascii="宋体" w:hAnsi="宋体" w:cs="宋体"/>
          <w:b/>
          <w:bCs/>
          <w:color w:val="auto"/>
          <w:szCs w:val="21"/>
        </w:rPr>
      </w:pPr>
      <w:bookmarkStart w:id="193" w:name="_Toc15058868"/>
      <w:bookmarkStart w:id="194" w:name="_Toc506107290"/>
      <w:bookmarkStart w:id="195" w:name="_Toc35424909"/>
      <w:bookmarkStart w:id="196" w:name="_Toc324404837"/>
      <w:bookmarkStart w:id="197" w:name="_Toc2570"/>
      <w:bookmarkStart w:id="198" w:name="_Toc18536"/>
      <w:bookmarkStart w:id="199" w:name="_Toc18845"/>
      <w:bookmarkStart w:id="200" w:name="_Toc35947192"/>
      <w:bookmarkStart w:id="201" w:name="_Toc296602442"/>
      <w:bookmarkStart w:id="202" w:name="_Toc35425075"/>
      <w:bookmarkStart w:id="203" w:name="_Toc144974521"/>
      <w:bookmarkStart w:id="204" w:name="_Toc247085711"/>
      <w:bookmarkStart w:id="205" w:name="_Toc179632571"/>
      <w:bookmarkStart w:id="206" w:name="_Toc246996197"/>
      <w:bookmarkStart w:id="207" w:name="_Toc152045553"/>
      <w:bookmarkStart w:id="208" w:name="_Toc246996940"/>
      <w:bookmarkStart w:id="209" w:name="_Toc152042329"/>
      <w:r>
        <w:rPr>
          <w:rFonts w:hint="eastAsia" w:ascii="宋体" w:hAnsi="宋体" w:cs="宋体"/>
          <w:b/>
          <w:bCs/>
          <w:color w:val="auto"/>
          <w:szCs w:val="21"/>
        </w:rPr>
        <w:t>3.5投标文件的编制</w:t>
      </w:r>
      <w:bookmarkEnd w:id="193"/>
      <w:bookmarkEnd w:id="194"/>
      <w:bookmarkEnd w:id="195"/>
      <w:bookmarkEnd w:id="196"/>
      <w:bookmarkEnd w:id="197"/>
      <w:bookmarkEnd w:id="198"/>
      <w:bookmarkEnd w:id="199"/>
      <w:bookmarkEnd w:id="200"/>
      <w:bookmarkEnd w:id="201"/>
      <w:bookmarkEnd w:id="202"/>
    </w:p>
    <w:bookmarkEnd w:id="203"/>
    <w:bookmarkEnd w:id="204"/>
    <w:bookmarkEnd w:id="205"/>
    <w:bookmarkEnd w:id="206"/>
    <w:bookmarkEnd w:id="207"/>
    <w:bookmarkEnd w:id="208"/>
    <w:bookmarkEnd w:id="209"/>
    <w:p>
      <w:pPr>
        <w:spacing w:line="440" w:lineRule="atLeast"/>
        <w:ind w:firstLine="420" w:firstLineChars="200"/>
        <w:rPr>
          <w:rFonts w:ascii="宋体" w:hAnsi="宋体" w:cs="宋体"/>
          <w:color w:val="auto"/>
          <w:szCs w:val="21"/>
        </w:rPr>
      </w:pPr>
      <w:bookmarkStart w:id="210" w:name="_Toc324404838"/>
      <w:bookmarkStart w:id="211" w:name="_Toc152042331"/>
      <w:bookmarkStart w:id="212" w:name="_Toc247085713"/>
      <w:bookmarkStart w:id="213" w:name="_Toc246996942"/>
      <w:bookmarkStart w:id="214" w:name="_Toc246996199"/>
      <w:bookmarkStart w:id="215" w:name="_Toc144974523"/>
      <w:bookmarkStart w:id="216" w:name="_Toc152045555"/>
      <w:bookmarkStart w:id="217" w:name="_Toc179632573"/>
      <w:r>
        <w:rPr>
          <w:rFonts w:hint="eastAsia" w:ascii="宋体" w:hAnsi="宋体" w:cs="宋体"/>
          <w:color w:val="auto"/>
          <w:szCs w:val="21"/>
        </w:rPr>
        <w:t>3.5.1投标文件应按“投标文件格式”进行编写，如有必要，可以增加附页，作为投标文件的组成部分。</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3.5.2 投标文件应当对交易文件有关服务期、投标有效期、质量要求、技术标准和要求、招标范围等实质性内容作出响应。</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3.5.4 投标文件正本、 副本份数见投标人须知前附表。正本和副本的封面上应清楚地标记“正本”或“副本”的字样。当副本和正本不一致时，以正本为准。</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3.5.5 投标文件的正本与副本应分别装订成册，具体装订要求见投标人须知前附表规定。</w:t>
      </w:r>
    </w:p>
    <w:p>
      <w:pPr>
        <w:pStyle w:val="4"/>
        <w:rPr>
          <w:color w:val="auto"/>
        </w:rPr>
      </w:pPr>
      <w:bookmarkStart w:id="218" w:name="_Toc35424910"/>
      <w:bookmarkStart w:id="219" w:name="_Toc15058869"/>
      <w:bookmarkStart w:id="220" w:name="_Toc35425076"/>
      <w:bookmarkStart w:id="221" w:name="_Toc35947193"/>
      <w:bookmarkStart w:id="222" w:name="_Toc8706"/>
      <w:bookmarkStart w:id="223" w:name="_Toc8633"/>
      <w:bookmarkStart w:id="224" w:name="_Toc21503"/>
      <w:bookmarkStart w:id="225" w:name="_Toc18579"/>
      <w:bookmarkStart w:id="226" w:name="_Toc506107291"/>
      <w:r>
        <w:rPr>
          <w:rFonts w:hint="eastAsia"/>
          <w:color w:val="auto"/>
        </w:rPr>
        <w:t>4.投标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440" w:lineRule="atLeast"/>
        <w:ind w:firstLine="361" w:firstLineChars="200"/>
        <w:outlineLvl w:val="2"/>
        <w:rPr>
          <w:rFonts w:hint="eastAsia" w:ascii="宋体" w:hAnsi="宋体" w:eastAsia="宋体" w:cs="宋体"/>
          <w:b/>
          <w:bCs/>
          <w:color w:val="auto"/>
          <w:sz w:val="18"/>
          <w:szCs w:val="18"/>
        </w:rPr>
      </w:pPr>
      <w:bookmarkStart w:id="227" w:name="_Toc144974524"/>
      <w:bookmarkStart w:id="228" w:name="_Toc246996943"/>
      <w:bookmarkStart w:id="229" w:name="_Toc30189"/>
      <w:bookmarkStart w:id="230" w:name="_Toc152045556"/>
      <w:bookmarkStart w:id="231" w:name="_Toc246996200"/>
      <w:bookmarkStart w:id="232" w:name="_Toc4607"/>
      <w:bookmarkStart w:id="233" w:name="_Toc324404839"/>
      <w:bookmarkStart w:id="234" w:name="_Toc247085714"/>
      <w:bookmarkStart w:id="235" w:name="_Toc152042332"/>
      <w:bookmarkStart w:id="236" w:name="_Toc296602444"/>
      <w:bookmarkStart w:id="237" w:name="_Toc179632574"/>
      <w:bookmarkStart w:id="238" w:name="_Toc1347"/>
      <w:bookmarkStart w:id="239" w:name="_Toc247085717"/>
      <w:bookmarkStart w:id="240" w:name="_Toc21611136"/>
      <w:bookmarkStart w:id="241" w:name="_Toc246996203"/>
      <w:bookmarkStart w:id="242" w:name="_Toc144974527"/>
      <w:bookmarkStart w:id="243" w:name="_Toc246996946"/>
      <w:bookmarkStart w:id="244" w:name="_Toc179632577"/>
      <w:bookmarkStart w:id="245" w:name="_Toc152045559"/>
      <w:bookmarkStart w:id="246" w:name="_Toc152042335"/>
      <w:bookmarkStart w:id="247" w:name="_Toc324404842"/>
      <w:bookmarkStart w:id="248" w:name="_Toc506107295"/>
      <w:bookmarkStart w:id="249" w:name="_Toc15058884"/>
      <w:bookmarkStart w:id="250" w:name="_Toc324404846"/>
      <w:bookmarkStart w:id="251" w:name="_Toc247085720"/>
      <w:bookmarkStart w:id="252" w:name="_Toc144974530"/>
      <w:bookmarkStart w:id="253" w:name="_Toc152042338"/>
      <w:bookmarkStart w:id="254" w:name="_Toc246996949"/>
      <w:bookmarkStart w:id="255" w:name="_Toc246996206"/>
      <w:bookmarkStart w:id="256" w:name="_Toc35425085"/>
      <w:bookmarkStart w:id="257" w:name="_Toc35947202"/>
      <w:bookmarkStart w:id="258" w:name="_Toc35424919"/>
      <w:bookmarkStart w:id="259" w:name="_Toc506107299"/>
      <w:bookmarkStart w:id="260" w:name="_Toc179632580"/>
      <w:bookmarkStart w:id="261" w:name="_Toc152045562"/>
      <w:r>
        <w:rPr>
          <w:rFonts w:hint="eastAsia" w:ascii="宋体" w:hAnsi="宋体" w:eastAsia="宋体" w:cs="宋体"/>
          <w:b/>
          <w:bCs/>
          <w:color w:val="auto"/>
          <w:sz w:val="18"/>
          <w:szCs w:val="18"/>
        </w:rPr>
        <w:t>4.1 投标文件的密封和标记</w:t>
      </w:r>
      <w:bookmarkEnd w:id="227"/>
      <w:bookmarkEnd w:id="228"/>
      <w:bookmarkEnd w:id="229"/>
      <w:bookmarkEnd w:id="230"/>
      <w:bookmarkEnd w:id="231"/>
      <w:bookmarkEnd w:id="232"/>
      <w:bookmarkEnd w:id="233"/>
      <w:bookmarkEnd w:id="234"/>
      <w:bookmarkEnd w:id="235"/>
      <w:bookmarkEnd w:id="236"/>
      <w:bookmarkEnd w:id="237"/>
      <w:bookmarkEnd w:id="238"/>
    </w:p>
    <w:p>
      <w:pPr>
        <w:spacing w:line="440" w:lineRule="atLeast"/>
        <w:ind w:firstLine="420" w:firstLineChars="200"/>
        <w:rPr>
          <w:rFonts w:ascii="宋体" w:hAnsi="宋体" w:cs="宋体"/>
          <w:color w:val="auto"/>
          <w:szCs w:val="21"/>
        </w:rPr>
      </w:pPr>
      <w:bookmarkStart w:id="262" w:name="_Toc179632575"/>
      <w:bookmarkStart w:id="263" w:name="_Toc246996201"/>
      <w:bookmarkStart w:id="264" w:name="_Toc144974525"/>
      <w:bookmarkStart w:id="265" w:name="_Toc246996944"/>
      <w:bookmarkStart w:id="266" w:name="_Toc152042333"/>
      <w:bookmarkStart w:id="267" w:name="_Toc152045557"/>
      <w:bookmarkStart w:id="268" w:name="_Toc247085715"/>
      <w:r>
        <w:rPr>
          <w:rFonts w:hint="eastAsia" w:ascii="宋体" w:hAnsi="宋体" w:cs="宋体"/>
          <w:color w:val="auto"/>
          <w:szCs w:val="21"/>
        </w:rPr>
        <w:t>4.1.1 投标文件应进行密封包装，并在封套上加盖投标人单位章。</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4.1.2 投标文件封套上应写明的内容及具体密封要求见投标人须知前附表。</w:t>
      </w:r>
    </w:p>
    <w:p>
      <w:pPr>
        <w:spacing w:line="440" w:lineRule="atLeast"/>
        <w:ind w:firstLine="361" w:firstLineChars="200"/>
        <w:outlineLvl w:val="2"/>
        <w:rPr>
          <w:rFonts w:hint="eastAsia" w:ascii="宋体" w:hAnsi="宋体" w:eastAsia="宋体" w:cs="宋体"/>
          <w:b/>
          <w:bCs/>
          <w:color w:val="auto"/>
          <w:sz w:val="18"/>
          <w:szCs w:val="18"/>
        </w:rPr>
      </w:pPr>
      <w:bookmarkStart w:id="269" w:name="_Toc14812"/>
      <w:bookmarkStart w:id="270" w:name="_Toc296602445"/>
      <w:bookmarkStart w:id="271" w:name="_Toc324404840"/>
      <w:bookmarkStart w:id="272" w:name="_Toc4531"/>
      <w:bookmarkStart w:id="273" w:name="_Toc28392"/>
      <w:r>
        <w:rPr>
          <w:rFonts w:hint="eastAsia" w:ascii="宋体" w:hAnsi="宋体" w:eastAsia="宋体" w:cs="宋体"/>
          <w:b/>
          <w:bCs/>
          <w:color w:val="auto"/>
          <w:sz w:val="18"/>
          <w:szCs w:val="18"/>
        </w:rPr>
        <w:t>4.2 投标文件的递交</w:t>
      </w:r>
      <w:bookmarkEnd w:id="262"/>
      <w:bookmarkEnd w:id="263"/>
      <w:bookmarkEnd w:id="264"/>
      <w:bookmarkEnd w:id="265"/>
      <w:bookmarkEnd w:id="266"/>
      <w:bookmarkEnd w:id="267"/>
      <w:bookmarkEnd w:id="268"/>
      <w:bookmarkEnd w:id="269"/>
      <w:bookmarkEnd w:id="270"/>
      <w:bookmarkEnd w:id="271"/>
      <w:bookmarkEnd w:id="272"/>
      <w:bookmarkEnd w:id="273"/>
    </w:p>
    <w:p>
      <w:pPr>
        <w:spacing w:line="440" w:lineRule="atLeast"/>
        <w:ind w:firstLine="420" w:firstLineChars="200"/>
        <w:rPr>
          <w:rFonts w:ascii="宋体" w:hAnsi="宋体" w:cs="宋体"/>
          <w:color w:val="auto"/>
          <w:szCs w:val="21"/>
        </w:rPr>
      </w:pPr>
      <w:r>
        <w:rPr>
          <w:rFonts w:hint="eastAsia" w:ascii="宋体" w:hAnsi="宋体" w:cs="宋体"/>
          <w:color w:val="auto"/>
          <w:szCs w:val="21"/>
        </w:rPr>
        <w:t>4.2.1投标人应在投标人须知前附表规定的投标截止时间前递交投标文件。</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4.2.2 投标人递交投标文件的地点：见投标人须知前附表。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4.2.3 除投标人须知前附表另有规定外，投标人所递交的投标文件不予退还。</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4.2.4 逾期送达的或者未送达指定地点的投标文件，采购人不予受理。</w:t>
      </w:r>
    </w:p>
    <w:p>
      <w:pPr>
        <w:spacing w:line="440" w:lineRule="atLeast"/>
        <w:ind w:firstLine="361" w:firstLineChars="200"/>
        <w:outlineLvl w:val="2"/>
        <w:rPr>
          <w:rFonts w:ascii="宋体" w:hAnsi="宋体" w:cs="宋体"/>
          <w:b/>
          <w:bCs/>
          <w:color w:val="auto"/>
          <w:sz w:val="18"/>
          <w:szCs w:val="18"/>
        </w:rPr>
      </w:pPr>
      <w:bookmarkStart w:id="274" w:name="_Toc20500"/>
      <w:bookmarkStart w:id="275" w:name="_Toc152042334"/>
      <w:bookmarkStart w:id="276" w:name="_Toc246996202"/>
      <w:bookmarkStart w:id="277" w:name="_Toc296602446"/>
      <w:bookmarkStart w:id="278" w:name="_Toc246996945"/>
      <w:bookmarkStart w:id="279" w:name="_Toc16808"/>
      <w:bookmarkStart w:id="280" w:name="_Toc247085716"/>
      <w:bookmarkStart w:id="281" w:name="_Toc179632576"/>
      <w:bookmarkStart w:id="282" w:name="_Toc324404841"/>
      <w:bookmarkStart w:id="283" w:name="_Toc144974526"/>
      <w:bookmarkStart w:id="284" w:name="_Toc152045558"/>
      <w:bookmarkStart w:id="285" w:name="_Toc25278"/>
      <w:r>
        <w:rPr>
          <w:rFonts w:hint="eastAsia" w:ascii="宋体" w:hAnsi="宋体" w:cs="宋体"/>
          <w:b/>
          <w:bCs/>
          <w:color w:val="auto"/>
          <w:sz w:val="18"/>
          <w:szCs w:val="18"/>
        </w:rPr>
        <w:t>4.3 投标文件的修改与撤回</w:t>
      </w:r>
      <w:bookmarkEnd w:id="274"/>
      <w:bookmarkEnd w:id="275"/>
      <w:bookmarkEnd w:id="276"/>
      <w:bookmarkEnd w:id="277"/>
      <w:bookmarkEnd w:id="278"/>
      <w:bookmarkEnd w:id="279"/>
      <w:bookmarkEnd w:id="280"/>
      <w:bookmarkEnd w:id="281"/>
      <w:bookmarkEnd w:id="282"/>
      <w:bookmarkEnd w:id="283"/>
      <w:bookmarkEnd w:id="284"/>
      <w:bookmarkEnd w:id="285"/>
    </w:p>
    <w:p>
      <w:pPr>
        <w:spacing w:line="440" w:lineRule="atLeast"/>
        <w:ind w:firstLine="420" w:firstLineChars="200"/>
        <w:rPr>
          <w:rFonts w:ascii="宋体" w:hAnsi="宋体" w:cs="宋体"/>
          <w:color w:val="auto"/>
          <w:szCs w:val="21"/>
        </w:rPr>
      </w:pPr>
      <w:r>
        <w:rPr>
          <w:rFonts w:hint="eastAsia" w:ascii="宋体" w:hAnsi="宋体" w:cs="宋体"/>
          <w:color w:val="auto"/>
          <w:szCs w:val="21"/>
        </w:rPr>
        <w:t>4.3.1在投标人须知前附表规定的投标截止时间前，投标人可以修改或撤回已递交的投标文件，但应以书面形式通知采购人。</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4.3.2 投标人修改或撤回已递交投标文件的书面通知应按照本章第3.5.3项的要求签字或盖章。采购人收到书面通知后，投标人签到登记。</w:t>
      </w: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4.3.4 修改的内容为投标文件的组成部分。修改的投标文件应按照本章第3条、第4条规定进行编制、密封、标记和递交，并标明“修改”字样。</w:t>
      </w:r>
    </w:p>
    <w:p>
      <w:pPr>
        <w:pStyle w:val="4"/>
        <w:rPr>
          <w:color w:val="auto"/>
        </w:rPr>
      </w:pPr>
      <w:bookmarkStart w:id="286" w:name="_Toc32525"/>
      <w:bookmarkStart w:id="287" w:name="_Toc29955"/>
      <w:bookmarkStart w:id="288" w:name="_Toc21875"/>
      <w:bookmarkStart w:id="289" w:name="_Toc440"/>
      <w:r>
        <w:rPr>
          <w:rFonts w:hint="eastAsia"/>
          <w:color w:val="auto"/>
        </w:rPr>
        <w:t>5. 开标</w:t>
      </w:r>
      <w:bookmarkEnd w:id="239"/>
      <w:bookmarkEnd w:id="240"/>
      <w:bookmarkEnd w:id="241"/>
      <w:bookmarkEnd w:id="242"/>
      <w:bookmarkEnd w:id="243"/>
      <w:bookmarkEnd w:id="244"/>
      <w:bookmarkEnd w:id="245"/>
      <w:bookmarkEnd w:id="246"/>
      <w:bookmarkEnd w:id="247"/>
      <w:bookmarkEnd w:id="248"/>
      <w:bookmarkEnd w:id="286"/>
      <w:bookmarkEnd w:id="287"/>
      <w:bookmarkEnd w:id="288"/>
      <w:bookmarkEnd w:id="289"/>
    </w:p>
    <w:p>
      <w:pPr>
        <w:spacing w:line="440" w:lineRule="atLeast"/>
        <w:ind w:firstLine="420" w:firstLineChars="200"/>
        <w:rPr>
          <w:rFonts w:hint="eastAsia" w:ascii="宋体" w:hAnsi="宋体" w:eastAsia="宋体" w:cs="宋体"/>
          <w:color w:val="auto"/>
          <w:szCs w:val="21"/>
        </w:rPr>
      </w:pPr>
      <w:bookmarkStart w:id="290" w:name="_Toc12593"/>
      <w:bookmarkStart w:id="291" w:name="_Toc25571"/>
      <w:bookmarkStart w:id="292" w:name="_Toc13541"/>
      <w:bookmarkStart w:id="293" w:name="_Toc32566"/>
      <w:r>
        <w:rPr>
          <w:rFonts w:hint="eastAsia" w:ascii="宋体" w:hAnsi="宋体" w:eastAsia="宋体" w:cs="宋体"/>
          <w:color w:val="auto"/>
          <w:szCs w:val="21"/>
          <w:lang w:val="en-US" w:eastAsia="zh-CN"/>
        </w:rPr>
        <w:t>5.1</w:t>
      </w:r>
      <w:r>
        <w:rPr>
          <w:rFonts w:hint="eastAsia" w:ascii="宋体" w:hAnsi="宋体" w:eastAsia="宋体" w:cs="宋体"/>
          <w:color w:val="auto"/>
          <w:szCs w:val="21"/>
        </w:rPr>
        <w:t>招标人按本须知要求提交投标文件的截止时间和地点公开开标，并邀请相关监管部门参加。</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开标程序</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开标会议由采购代理机构主持。</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）公布投标截止时间前，递交投标文件的投标人名称</w:t>
      </w:r>
      <w:r>
        <w:rPr>
          <w:rFonts w:hint="eastAsia" w:ascii="宋体" w:hAnsi="宋体" w:eastAsia="宋体" w:cs="宋体"/>
          <w:color w:val="auto"/>
          <w:szCs w:val="21"/>
          <w:lang w:val="en-US" w:eastAsia="zh-CN"/>
        </w:rPr>
        <w:t>及数量</w:t>
      </w:r>
      <w:r>
        <w:rPr>
          <w:rFonts w:hint="eastAsia" w:ascii="宋体" w:hAnsi="宋体" w:eastAsia="宋体" w:cs="宋体"/>
          <w:color w:val="auto"/>
          <w:szCs w:val="21"/>
        </w:rPr>
        <w:t xml:space="preserve">； </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）投标人在投标截止时间后，拆分标书</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报评委处评审</w:t>
      </w:r>
      <w:r>
        <w:rPr>
          <w:rFonts w:hint="eastAsia" w:ascii="宋体" w:hAnsi="宋体" w:eastAsia="宋体" w:cs="宋体"/>
          <w:color w:val="auto"/>
          <w:szCs w:val="21"/>
        </w:rPr>
        <w:t>；</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）公布投标人投标报价、</w:t>
      </w:r>
      <w:r>
        <w:rPr>
          <w:rFonts w:hint="eastAsia" w:ascii="宋体" w:hAnsi="宋体" w:eastAsia="宋体" w:cs="宋体"/>
          <w:color w:val="auto"/>
          <w:szCs w:val="21"/>
          <w:lang w:val="en-US" w:eastAsia="zh-CN"/>
        </w:rPr>
        <w:t>供货期等</w:t>
      </w:r>
      <w:r>
        <w:rPr>
          <w:rFonts w:hint="eastAsia" w:ascii="宋体" w:hAnsi="宋体" w:eastAsia="宋体" w:cs="宋体"/>
          <w:color w:val="auto"/>
          <w:szCs w:val="21"/>
        </w:rPr>
        <w:t>内容，并记录在案；</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）开标结束。</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多标包项目按照标包顺序按以上程序依次开标。</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5.3</w:t>
      </w:r>
      <w:r>
        <w:rPr>
          <w:rFonts w:hint="eastAsia" w:ascii="宋体" w:hAnsi="宋体" w:eastAsia="宋体" w:cs="宋体"/>
          <w:color w:val="auto"/>
          <w:szCs w:val="21"/>
        </w:rPr>
        <w:t>. 开评标异常情况处理</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5.3</w:t>
      </w:r>
      <w:r>
        <w:rPr>
          <w:rFonts w:hint="eastAsia" w:ascii="宋体" w:hAnsi="宋体" w:eastAsia="宋体" w:cs="宋体"/>
          <w:color w:val="auto"/>
          <w:szCs w:val="21"/>
        </w:rPr>
        <w:t xml:space="preserve">.1重新招标 </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有下列情形之一的，招标人将重新招标：</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(1)投标截止时间止，投标人少于三个的； </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(2)经评审小组评审后否决所有投标的；</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(3)出现影响采购公正的违法、违规行为的；</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(4)投标人的报价均脱离实际且无充分证据的；</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(5)因重大变故，采购任务取消的。</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5.3.2</w:t>
      </w:r>
      <w:r>
        <w:rPr>
          <w:rFonts w:hint="eastAsia" w:ascii="宋体" w:hAnsi="宋体" w:eastAsia="宋体" w:cs="宋体"/>
          <w:color w:val="auto"/>
          <w:szCs w:val="21"/>
        </w:rPr>
        <w:t>变更采购方式</w:t>
      </w:r>
    </w:p>
    <w:p>
      <w:pPr>
        <w:spacing w:line="440" w:lineRule="atLeast"/>
        <w:ind w:firstLine="420" w:firstLineChars="200"/>
        <w:rPr>
          <w:rFonts w:hint="eastAsia" w:ascii="宋体" w:hAnsi="宋体" w:eastAsia="宋体" w:cs="宋体"/>
          <w:color w:val="auto"/>
          <w:szCs w:val="21"/>
        </w:rPr>
      </w:pPr>
      <w:bookmarkStart w:id="294" w:name="_Toc449028872"/>
      <w:r>
        <w:rPr>
          <w:rFonts w:hint="eastAsia" w:ascii="宋体" w:hAnsi="宋体" w:eastAsia="宋体" w:cs="宋体"/>
          <w:color w:val="auto"/>
          <w:szCs w:val="21"/>
        </w:rPr>
        <w:t>按照滁州市公管局和财政局相关规定执行。</w:t>
      </w:r>
      <w:bookmarkEnd w:id="294"/>
    </w:p>
    <w:p>
      <w:pPr>
        <w:pStyle w:val="4"/>
        <w:rPr>
          <w:color w:val="auto"/>
        </w:rPr>
      </w:pPr>
      <w:r>
        <w:rPr>
          <w:rFonts w:hint="eastAsia"/>
          <w:color w:val="auto"/>
        </w:rPr>
        <w:t>6. 评标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90"/>
      <w:bookmarkEnd w:id="291"/>
      <w:bookmarkEnd w:id="292"/>
      <w:bookmarkEnd w:id="293"/>
    </w:p>
    <w:p>
      <w:pPr>
        <w:spacing w:line="440" w:lineRule="atLeast"/>
        <w:ind w:firstLine="422" w:firstLineChars="200"/>
        <w:outlineLvl w:val="2"/>
        <w:rPr>
          <w:rFonts w:ascii="宋体" w:hAnsi="宋体" w:cs="宋体"/>
          <w:b/>
          <w:bCs/>
          <w:color w:val="auto"/>
          <w:szCs w:val="21"/>
        </w:rPr>
      </w:pPr>
      <w:bookmarkStart w:id="295" w:name="_Toc35424920"/>
      <w:bookmarkStart w:id="296" w:name="_Toc14047"/>
      <w:bookmarkStart w:id="297" w:name="_Toc27158"/>
      <w:bookmarkStart w:id="298" w:name="_Toc23087"/>
      <w:bookmarkStart w:id="299" w:name="_Toc246996950"/>
      <w:bookmarkStart w:id="300" w:name="_Toc247085721"/>
      <w:bookmarkStart w:id="301" w:name="_Toc296602452"/>
      <w:bookmarkStart w:id="302" w:name="_Toc179632581"/>
      <w:bookmarkStart w:id="303" w:name="_Toc246996207"/>
      <w:bookmarkStart w:id="304" w:name="_Toc15058885"/>
      <w:bookmarkStart w:id="305" w:name="_Toc35425086"/>
      <w:bookmarkStart w:id="306" w:name="_Toc152045563"/>
      <w:bookmarkStart w:id="307" w:name="_Toc506107300"/>
      <w:bookmarkStart w:id="308" w:name="_Toc152042339"/>
      <w:bookmarkStart w:id="309" w:name="_Toc144974531"/>
      <w:bookmarkStart w:id="310" w:name="_Toc324404847"/>
      <w:bookmarkStart w:id="311" w:name="_Toc35947203"/>
      <w:r>
        <w:rPr>
          <w:rFonts w:hint="eastAsia" w:ascii="宋体" w:hAnsi="宋体" w:cs="宋体"/>
          <w:b/>
          <w:bCs/>
          <w:color w:val="auto"/>
          <w:szCs w:val="21"/>
        </w:rPr>
        <w:t>6.1 评标委员会</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440" w:lineRule="atLeast"/>
        <w:ind w:firstLine="420" w:firstLineChars="200"/>
        <w:rPr>
          <w:rFonts w:ascii="宋体" w:hAnsi="宋体" w:cs="宋体"/>
          <w:color w:val="auto"/>
          <w:szCs w:val="21"/>
        </w:rPr>
      </w:pPr>
      <w:r>
        <w:rPr>
          <w:rFonts w:hint="eastAsia" w:ascii="宋体" w:hAnsi="宋体" w:cs="宋体"/>
          <w:color w:val="auto"/>
          <w:szCs w:val="21"/>
        </w:rPr>
        <w:t>6.1.1 评标由采购人依法组建的评标委员会负责。评标委员会由采购人或其委托的招标代理机构熟悉相关业务的代表，以及有关技术、经济等方面的专家组成。评标委员会成员人数以及技术、经济等方面专家的确定方式见投标人须知前附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6.1.2 评标委员会成员有下列情形之一的，应当回避：</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（1）投标人或投标人主要负责人的近亲属；</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（2）项目主管部门或者行政监督部门的人员；</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（3）与投标人有经济利益关系；</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（4）曾因在招标、评标以及其他与招标投标有关活动中从事违法行为而受过行政处罚或刑事处罚的；</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（5）与投标人有其他利害关系。</w:t>
      </w:r>
    </w:p>
    <w:p>
      <w:pPr>
        <w:spacing w:line="440" w:lineRule="atLeast"/>
        <w:ind w:firstLine="422" w:firstLineChars="200"/>
        <w:outlineLvl w:val="2"/>
        <w:rPr>
          <w:rFonts w:ascii="宋体" w:hAnsi="宋体" w:cs="宋体"/>
          <w:b/>
          <w:bCs/>
          <w:color w:val="auto"/>
          <w:szCs w:val="21"/>
        </w:rPr>
      </w:pPr>
      <w:bookmarkStart w:id="312" w:name="_Toc35425087"/>
      <w:bookmarkStart w:id="313" w:name="_Toc35424921"/>
      <w:bookmarkStart w:id="314" w:name="_Toc152045564"/>
      <w:bookmarkStart w:id="315" w:name="_Toc30301"/>
      <w:bookmarkStart w:id="316" w:name="_Toc246996208"/>
      <w:bookmarkStart w:id="317" w:name="_Toc144974532"/>
      <w:bookmarkStart w:id="318" w:name="_Toc21925"/>
      <w:bookmarkStart w:id="319" w:name="_Toc15058886"/>
      <w:bookmarkStart w:id="320" w:name="_Toc35947204"/>
      <w:bookmarkStart w:id="321" w:name="_Toc296602453"/>
      <w:bookmarkStart w:id="322" w:name="_Toc152042340"/>
      <w:bookmarkStart w:id="323" w:name="_Toc506107301"/>
      <w:bookmarkStart w:id="324" w:name="_Toc324404848"/>
      <w:bookmarkStart w:id="325" w:name="_Toc247085722"/>
      <w:bookmarkStart w:id="326" w:name="_Toc179632582"/>
      <w:bookmarkStart w:id="327" w:name="_Toc246996951"/>
      <w:bookmarkStart w:id="328" w:name="_Toc28431"/>
      <w:r>
        <w:rPr>
          <w:rFonts w:hint="eastAsia" w:ascii="宋体" w:hAnsi="宋体" w:cs="宋体"/>
          <w:b/>
          <w:bCs/>
          <w:color w:val="auto"/>
          <w:szCs w:val="21"/>
        </w:rPr>
        <w:t>6.2 评标原则</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440" w:lineRule="atLeast"/>
        <w:ind w:firstLine="420" w:firstLineChars="200"/>
        <w:rPr>
          <w:rFonts w:ascii="宋体" w:hAnsi="宋体" w:cs="宋体"/>
          <w:color w:val="auto"/>
          <w:szCs w:val="21"/>
        </w:rPr>
      </w:pPr>
      <w:r>
        <w:rPr>
          <w:rFonts w:hint="eastAsia" w:ascii="宋体" w:hAnsi="宋体" w:cs="宋体"/>
          <w:color w:val="auto"/>
          <w:szCs w:val="21"/>
        </w:rPr>
        <w:t>评标活动遵循公平、公正、科学和择优的原则。</w:t>
      </w:r>
    </w:p>
    <w:p>
      <w:pPr>
        <w:spacing w:line="440" w:lineRule="atLeast"/>
        <w:ind w:firstLine="422" w:firstLineChars="200"/>
        <w:outlineLvl w:val="2"/>
        <w:rPr>
          <w:rFonts w:ascii="宋体" w:hAnsi="宋体" w:cs="宋体"/>
          <w:b/>
          <w:bCs/>
          <w:color w:val="auto"/>
          <w:szCs w:val="21"/>
        </w:rPr>
      </w:pPr>
      <w:bookmarkStart w:id="329" w:name="_Toc247085723"/>
      <w:bookmarkStart w:id="330" w:name="_Toc179632583"/>
      <w:bookmarkStart w:id="331" w:name="_Toc152045565"/>
      <w:bookmarkStart w:id="332" w:name="_Toc35424922"/>
      <w:bookmarkStart w:id="333" w:name="_Toc152042341"/>
      <w:bookmarkStart w:id="334" w:name="_Toc246996952"/>
      <w:bookmarkStart w:id="335" w:name="_Toc296602454"/>
      <w:bookmarkStart w:id="336" w:name="_Toc506107302"/>
      <w:bookmarkStart w:id="337" w:name="_Toc15058887"/>
      <w:bookmarkStart w:id="338" w:name="_Toc324404849"/>
      <w:bookmarkStart w:id="339" w:name="_Toc246996209"/>
      <w:bookmarkStart w:id="340" w:name="_Toc35425088"/>
      <w:bookmarkStart w:id="341" w:name="_Toc9158"/>
      <w:bookmarkStart w:id="342" w:name="_Toc9695"/>
      <w:bookmarkStart w:id="343" w:name="_Toc35947205"/>
      <w:bookmarkStart w:id="344" w:name="_Toc144974533"/>
      <w:bookmarkStart w:id="345" w:name="_Toc20754"/>
      <w:r>
        <w:rPr>
          <w:rFonts w:hint="eastAsia" w:ascii="宋体" w:hAnsi="宋体" w:cs="宋体"/>
          <w:b/>
          <w:bCs/>
          <w:color w:val="auto"/>
          <w:szCs w:val="21"/>
        </w:rPr>
        <w:t>6.3 评标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pacing w:line="440" w:lineRule="atLeast"/>
        <w:ind w:firstLine="420" w:firstLineChars="200"/>
        <w:rPr>
          <w:rFonts w:ascii="宋体" w:hAnsi="宋体" w:cs="宋体"/>
          <w:color w:val="auto"/>
          <w:szCs w:val="21"/>
        </w:rPr>
      </w:pPr>
      <w:bookmarkStart w:id="346" w:name="_Toc152042342"/>
      <w:bookmarkStart w:id="347" w:name="_Toc247085724"/>
      <w:bookmarkStart w:id="348" w:name="_Toc144974534"/>
      <w:bookmarkStart w:id="349" w:name="_Toc246996953"/>
      <w:bookmarkStart w:id="350" w:name="_Toc152045566"/>
      <w:bookmarkStart w:id="351" w:name="_Toc324404850"/>
      <w:bookmarkStart w:id="352" w:name="_Toc246996210"/>
      <w:bookmarkStart w:id="353" w:name="_Toc179632584"/>
      <w:r>
        <w:rPr>
          <w:rFonts w:hint="eastAsia" w:ascii="宋体" w:hAnsi="宋体" w:cs="宋体"/>
          <w:color w:val="auto"/>
          <w:szCs w:val="21"/>
        </w:rPr>
        <w:t>评标委员会按照第三章“评标办法”规定的方法、评审因素、标准和程序对投标文件进行评审。第三章“评标办法”没有规定的方法、评审因素和标准，不作为评标依据。</w:t>
      </w:r>
      <w:bookmarkStart w:id="354" w:name="_Toc15727"/>
      <w:bookmarkStart w:id="355" w:name="_Toc10567"/>
      <w:bookmarkStart w:id="356" w:name="_Toc35947206"/>
      <w:bookmarkStart w:id="357" w:name="_Toc35425089"/>
      <w:bookmarkStart w:id="358" w:name="_Toc21161"/>
      <w:bookmarkStart w:id="359" w:name="_Toc506107303"/>
      <w:bookmarkStart w:id="360" w:name="_Toc35424923"/>
      <w:bookmarkStart w:id="361" w:name="_Toc15037"/>
      <w:bookmarkStart w:id="362" w:name="_Toc15058888"/>
    </w:p>
    <w:p>
      <w:pPr>
        <w:pStyle w:val="4"/>
        <w:rPr>
          <w:color w:val="auto"/>
        </w:rPr>
      </w:pPr>
      <w:r>
        <w:rPr>
          <w:rFonts w:hint="eastAsia"/>
          <w:color w:val="auto"/>
        </w:rPr>
        <w:t>7. 合同授予</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440" w:lineRule="atLeast"/>
        <w:ind w:firstLine="422" w:firstLineChars="200"/>
        <w:outlineLvl w:val="2"/>
        <w:rPr>
          <w:rFonts w:ascii="宋体" w:hAnsi="宋体" w:cs="宋体"/>
          <w:b/>
          <w:bCs/>
          <w:color w:val="auto"/>
          <w:szCs w:val="21"/>
        </w:rPr>
      </w:pPr>
      <w:bookmarkStart w:id="363" w:name="_Toc35424924"/>
      <w:bookmarkStart w:id="364" w:name="_Toc179632585"/>
      <w:bookmarkStart w:id="365" w:name="_Toc152045567"/>
      <w:bookmarkStart w:id="366" w:name="_Toc246996954"/>
      <w:bookmarkStart w:id="367" w:name="_Toc152042343"/>
      <w:bookmarkStart w:id="368" w:name="_Toc35425090"/>
      <w:bookmarkStart w:id="369" w:name="_Toc1037"/>
      <w:bookmarkStart w:id="370" w:name="_Toc247085725"/>
      <w:bookmarkStart w:id="371" w:name="_Toc324404851"/>
      <w:bookmarkStart w:id="372" w:name="_Toc246996211"/>
      <w:bookmarkStart w:id="373" w:name="_Toc84"/>
      <w:bookmarkStart w:id="374" w:name="_Toc15058889"/>
      <w:bookmarkStart w:id="375" w:name="_Toc144974535"/>
      <w:bookmarkStart w:id="376" w:name="_Toc35947207"/>
      <w:bookmarkStart w:id="377" w:name="_Toc506107304"/>
      <w:bookmarkStart w:id="378" w:name="_Toc296602456"/>
      <w:bookmarkStart w:id="379" w:name="_Toc252"/>
      <w:r>
        <w:rPr>
          <w:rFonts w:hint="eastAsia" w:ascii="宋体" w:hAnsi="宋体" w:cs="宋体"/>
          <w:b/>
          <w:bCs/>
          <w:color w:val="auto"/>
          <w:szCs w:val="21"/>
        </w:rPr>
        <w:t>7.1 定标方式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440" w:lineRule="atLeast"/>
        <w:ind w:firstLine="420" w:firstLineChars="200"/>
        <w:rPr>
          <w:rFonts w:ascii="宋体" w:hAnsi="宋体" w:cs="宋体"/>
          <w:color w:val="auto"/>
          <w:szCs w:val="21"/>
        </w:rPr>
      </w:pPr>
      <w:bookmarkStart w:id="380" w:name="_Toc324404852"/>
      <w:bookmarkStart w:id="381" w:name="_Toc296602457"/>
      <w:r>
        <w:rPr>
          <w:rFonts w:hint="eastAsia" w:ascii="宋体" w:hAnsi="宋体" w:cs="宋体"/>
          <w:color w:val="auto"/>
          <w:szCs w:val="21"/>
        </w:rPr>
        <w:t>除投标人须知前附表规定评标委员会直接确定中标人外，采购人依据评标委员会推荐的中标候选人确定中标人，评标委员会推荐中标候选人的人数见投标人须知前附表。</w:t>
      </w:r>
    </w:p>
    <w:bookmarkEnd w:id="380"/>
    <w:bookmarkEnd w:id="381"/>
    <w:p>
      <w:pPr>
        <w:spacing w:line="440" w:lineRule="atLeast"/>
        <w:ind w:firstLine="422" w:firstLineChars="200"/>
        <w:outlineLvl w:val="2"/>
        <w:rPr>
          <w:rFonts w:ascii="宋体" w:hAnsi="宋体" w:cs="宋体"/>
          <w:b/>
          <w:bCs/>
          <w:color w:val="auto"/>
          <w:szCs w:val="21"/>
        </w:rPr>
      </w:pPr>
      <w:bookmarkStart w:id="382" w:name="_Toc144974536"/>
      <w:bookmarkStart w:id="383" w:name="_Toc15058891"/>
      <w:bookmarkStart w:id="384" w:name="_Toc152045568"/>
      <w:bookmarkStart w:id="385" w:name="_Toc152042344"/>
      <w:bookmarkStart w:id="386" w:name="_Toc506107306"/>
      <w:bookmarkStart w:id="387" w:name="_Toc35947210"/>
      <w:bookmarkStart w:id="388" w:name="_Toc296602458"/>
      <w:bookmarkStart w:id="389" w:name="_Toc23930"/>
      <w:bookmarkStart w:id="390" w:name="_Toc179632586"/>
      <w:bookmarkStart w:id="391" w:name="_Toc35424927"/>
      <w:bookmarkStart w:id="392" w:name="_Toc18325"/>
      <w:bookmarkStart w:id="393" w:name="_Toc247085726"/>
      <w:bookmarkStart w:id="394" w:name="_Toc19428"/>
      <w:bookmarkStart w:id="395" w:name="_Toc324404853"/>
      <w:bookmarkStart w:id="396" w:name="_Toc246996212"/>
      <w:bookmarkStart w:id="397" w:name="_Toc246996955"/>
      <w:bookmarkStart w:id="398" w:name="_Toc35425093"/>
      <w:r>
        <w:rPr>
          <w:rFonts w:hint="eastAsia" w:ascii="宋体" w:hAnsi="宋体" w:cs="宋体"/>
          <w:b/>
          <w:bCs/>
          <w:color w:val="auto"/>
          <w:szCs w:val="21"/>
        </w:rPr>
        <w:t>7.2 中标通知</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440" w:lineRule="atLeast"/>
        <w:ind w:firstLine="420" w:firstLineChars="200"/>
        <w:rPr>
          <w:rFonts w:ascii="宋体" w:hAnsi="宋体" w:cs="宋体"/>
          <w:color w:val="auto"/>
          <w:szCs w:val="21"/>
        </w:rPr>
      </w:pPr>
      <w:r>
        <w:rPr>
          <w:rFonts w:hint="eastAsia" w:ascii="宋体" w:hAnsi="宋体" w:cs="宋体"/>
          <w:color w:val="auto"/>
          <w:szCs w:val="21"/>
        </w:rPr>
        <w:t>在本章第3.3款规定的投标有效期内，采购人以书面形式向中标人发出中标通知书，同时将中标结果通知未中标的投标人。</w:t>
      </w:r>
    </w:p>
    <w:p>
      <w:pPr>
        <w:spacing w:line="440" w:lineRule="atLeast"/>
        <w:ind w:firstLine="422" w:firstLineChars="200"/>
        <w:outlineLvl w:val="2"/>
        <w:rPr>
          <w:rFonts w:ascii="宋体" w:hAnsi="宋体" w:cs="宋体"/>
          <w:b/>
          <w:bCs/>
          <w:color w:val="auto"/>
          <w:szCs w:val="21"/>
        </w:rPr>
      </w:pPr>
      <w:bookmarkStart w:id="399" w:name="_Toc152045570"/>
      <w:bookmarkStart w:id="400" w:name="_Toc35947213"/>
      <w:bookmarkStart w:id="401" w:name="_Toc324404855"/>
      <w:bookmarkStart w:id="402" w:name="_Toc144974538"/>
      <w:bookmarkStart w:id="403" w:name="_Toc506107308"/>
      <w:bookmarkStart w:id="404" w:name="_Toc15058893"/>
      <w:bookmarkStart w:id="405" w:name="_Toc634"/>
      <w:bookmarkStart w:id="406" w:name="_Toc35424930"/>
      <w:bookmarkStart w:id="407" w:name="_Toc246996214"/>
      <w:bookmarkStart w:id="408" w:name="_Toc152042346"/>
      <w:bookmarkStart w:id="409" w:name="_Toc247085728"/>
      <w:bookmarkStart w:id="410" w:name="_Toc296602460"/>
      <w:bookmarkStart w:id="411" w:name="_Toc179632588"/>
      <w:bookmarkStart w:id="412" w:name="_Toc246996957"/>
      <w:bookmarkStart w:id="413" w:name="_Toc35425096"/>
      <w:bookmarkStart w:id="414" w:name="_Toc15423"/>
      <w:bookmarkStart w:id="415" w:name="_Toc14106"/>
      <w:r>
        <w:rPr>
          <w:rFonts w:hint="eastAsia" w:ascii="宋体" w:hAnsi="宋体" w:cs="宋体"/>
          <w:b/>
          <w:bCs/>
          <w:color w:val="auto"/>
          <w:szCs w:val="21"/>
        </w:rPr>
        <w:t>7.3 签订合同</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wordWrap w:val="0"/>
        <w:spacing w:line="440" w:lineRule="atLeast"/>
        <w:ind w:firstLine="420" w:firstLineChars="200"/>
        <w:rPr>
          <w:rFonts w:ascii="宋体" w:hAnsi="宋体" w:cs="宋体"/>
          <w:bCs/>
          <w:color w:val="auto"/>
          <w:szCs w:val="21"/>
        </w:rPr>
      </w:pPr>
      <w:bookmarkStart w:id="416" w:name="_Toc324404856"/>
      <w:bookmarkStart w:id="417" w:name="_Toc506107309"/>
      <w:bookmarkStart w:id="418" w:name="_Toc15058894"/>
      <w:r>
        <w:rPr>
          <w:rFonts w:hint="eastAsia" w:ascii="宋体" w:hAnsi="宋体" w:cs="宋体"/>
          <w:bCs/>
          <w:color w:val="auto"/>
          <w:szCs w:val="21"/>
        </w:rPr>
        <w:t>7.3.1</w:t>
      </w:r>
      <w:r>
        <w:rPr>
          <w:rFonts w:hint="eastAsia"/>
          <w:color w:val="auto"/>
        </w:rPr>
        <w:t>中标人应在中标通知书发出之日起</w:t>
      </w:r>
      <w:r>
        <w:rPr>
          <w:rFonts w:hint="eastAsia" w:ascii="宋体" w:hAnsi="宋体" w:cs="宋体"/>
          <w:color w:val="auto"/>
        </w:rPr>
        <w:t>7个</w:t>
      </w:r>
      <w:r>
        <w:rPr>
          <w:rFonts w:hint="eastAsia"/>
          <w:color w:val="auto"/>
        </w:rPr>
        <w:t>工作日内，按照交易文件规定和采购人订立书面合同。采购人和中标人不得再行订立背离合同实质性内容的其他协议</w:t>
      </w:r>
      <w:r>
        <w:rPr>
          <w:rFonts w:hint="eastAsia" w:ascii="宋体" w:hAnsi="宋体" w:cs="宋体"/>
          <w:bCs/>
          <w:color w:val="auto"/>
          <w:szCs w:val="21"/>
        </w:rPr>
        <w:t>。中标人无正当理由拒签合同的，采购人取消其中标资格；给采购人造成的损失，采购人有权追偿。</w:t>
      </w:r>
    </w:p>
    <w:p>
      <w:pPr>
        <w:wordWrap w:val="0"/>
        <w:spacing w:line="440" w:lineRule="atLeast"/>
        <w:ind w:firstLine="420" w:firstLineChars="200"/>
        <w:rPr>
          <w:rFonts w:ascii="宋体" w:hAnsi="宋体" w:cs="宋体"/>
          <w:bCs/>
          <w:color w:val="auto"/>
          <w:szCs w:val="21"/>
        </w:rPr>
      </w:pPr>
      <w:r>
        <w:rPr>
          <w:rFonts w:hint="eastAsia" w:ascii="宋体" w:hAnsi="宋体" w:cs="宋体"/>
          <w:bCs/>
          <w:color w:val="auto"/>
          <w:szCs w:val="21"/>
        </w:rPr>
        <w:t>7.3.2 发出中标通知书后，采购人无正当理由拒签合同的，且给中标人造成损失的，还应当赔偿损失。</w:t>
      </w:r>
    </w:p>
    <w:p>
      <w:pPr>
        <w:pStyle w:val="4"/>
        <w:rPr>
          <w:color w:val="auto"/>
        </w:rPr>
      </w:pPr>
      <w:bookmarkStart w:id="419" w:name="_Toc23600"/>
      <w:bookmarkStart w:id="420" w:name="_Toc35425097"/>
      <w:bookmarkStart w:id="421" w:name="_Toc35424931"/>
      <w:bookmarkStart w:id="422" w:name="_Toc4635"/>
      <w:bookmarkStart w:id="423" w:name="_Toc35947214"/>
      <w:bookmarkStart w:id="424" w:name="_Toc9177"/>
      <w:bookmarkStart w:id="425" w:name="_Toc31120"/>
      <w:r>
        <w:rPr>
          <w:rFonts w:hint="eastAsia"/>
          <w:color w:val="auto"/>
        </w:rPr>
        <w:t>8. 纪律和监督</w:t>
      </w:r>
      <w:bookmarkEnd w:id="416"/>
      <w:bookmarkEnd w:id="417"/>
      <w:bookmarkEnd w:id="418"/>
      <w:bookmarkEnd w:id="419"/>
      <w:bookmarkEnd w:id="420"/>
      <w:bookmarkEnd w:id="421"/>
      <w:bookmarkEnd w:id="422"/>
      <w:bookmarkEnd w:id="423"/>
      <w:bookmarkEnd w:id="424"/>
      <w:bookmarkEnd w:id="425"/>
    </w:p>
    <w:p>
      <w:pPr>
        <w:spacing w:line="440" w:lineRule="atLeast"/>
        <w:ind w:firstLine="422" w:firstLineChars="200"/>
        <w:outlineLvl w:val="2"/>
        <w:rPr>
          <w:rFonts w:ascii="宋体" w:hAnsi="宋体" w:cs="宋体"/>
          <w:b/>
          <w:bCs/>
          <w:color w:val="auto"/>
          <w:szCs w:val="21"/>
        </w:rPr>
      </w:pPr>
      <w:bookmarkStart w:id="426" w:name="_Toc247085733"/>
      <w:bookmarkStart w:id="427" w:name="_Toc296602462"/>
      <w:bookmarkStart w:id="428" w:name="_Toc15058895"/>
      <w:bookmarkStart w:id="429" w:name="_Toc246996219"/>
      <w:bookmarkStart w:id="430" w:name="_Toc144974543"/>
      <w:bookmarkStart w:id="431" w:name="_Toc506107310"/>
      <w:bookmarkStart w:id="432" w:name="_Toc11235"/>
      <w:bookmarkStart w:id="433" w:name="_Toc1964"/>
      <w:bookmarkStart w:id="434" w:name="_Toc13610"/>
      <w:bookmarkStart w:id="435" w:name="_Toc324404857"/>
      <w:bookmarkStart w:id="436" w:name="_Toc246996962"/>
      <w:bookmarkStart w:id="437" w:name="_Toc152042351"/>
      <w:bookmarkStart w:id="438" w:name="_Toc35947215"/>
      <w:bookmarkStart w:id="439" w:name="_Toc35425098"/>
      <w:bookmarkStart w:id="440" w:name="_Toc296590983"/>
      <w:bookmarkStart w:id="441" w:name="_Toc35424932"/>
      <w:bookmarkStart w:id="442" w:name="_Toc152045575"/>
      <w:bookmarkStart w:id="443" w:name="_Toc179632593"/>
      <w:r>
        <w:rPr>
          <w:rFonts w:hint="eastAsia" w:ascii="宋体" w:hAnsi="宋体" w:cs="宋体"/>
          <w:b/>
          <w:bCs/>
          <w:color w:val="auto"/>
          <w:szCs w:val="21"/>
        </w:rPr>
        <w:t>8.1 对采购人的纪律要求</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440" w:lineRule="atLeast"/>
        <w:ind w:firstLine="420" w:firstLineChars="200"/>
        <w:rPr>
          <w:rFonts w:ascii="宋体" w:hAnsi="宋体" w:cs="宋体"/>
          <w:color w:val="auto"/>
          <w:szCs w:val="21"/>
        </w:rPr>
      </w:pPr>
      <w:r>
        <w:rPr>
          <w:rFonts w:hint="eastAsia" w:ascii="宋体" w:hAnsi="宋体" w:cs="宋体"/>
          <w:color w:val="auto"/>
          <w:szCs w:val="21"/>
        </w:rPr>
        <w:t>采购人不得泄漏招标投标活动中应当保密的情况和资料，不得与投标人串通损害国家利益、社会公共利益或者他人合法权益。</w:t>
      </w:r>
    </w:p>
    <w:p>
      <w:pPr>
        <w:spacing w:line="440" w:lineRule="atLeast"/>
        <w:ind w:firstLine="422" w:firstLineChars="200"/>
        <w:outlineLvl w:val="2"/>
        <w:rPr>
          <w:rFonts w:ascii="宋体" w:hAnsi="宋体" w:cs="宋体"/>
          <w:b/>
          <w:bCs/>
          <w:color w:val="auto"/>
          <w:szCs w:val="21"/>
        </w:rPr>
      </w:pPr>
      <w:bookmarkStart w:id="444" w:name="_Toc152042352"/>
      <w:bookmarkStart w:id="445" w:name="_Toc35947216"/>
      <w:bookmarkStart w:id="446" w:name="_Toc247085734"/>
      <w:bookmarkStart w:id="447" w:name="_Toc179632594"/>
      <w:bookmarkStart w:id="448" w:name="_Toc35425099"/>
      <w:bookmarkStart w:id="449" w:name="_Toc17314"/>
      <w:bookmarkStart w:id="450" w:name="_Toc35424933"/>
      <w:bookmarkStart w:id="451" w:name="_Toc152045576"/>
      <w:bookmarkStart w:id="452" w:name="_Toc144974544"/>
      <w:bookmarkStart w:id="453" w:name="_Toc19504"/>
      <w:bookmarkStart w:id="454" w:name="_Toc246996963"/>
      <w:bookmarkStart w:id="455" w:name="_Toc324404858"/>
      <w:bookmarkStart w:id="456" w:name="_Toc296602463"/>
      <w:bookmarkStart w:id="457" w:name="_Toc15058896"/>
      <w:bookmarkStart w:id="458" w:name="_Toc246996220"/>
      <w:bookmarkStart w:id="459" w:name="_Toc17475"/>
      <w:bookmarkStart w:id="460" w:name="_Toc506107311"/>
      <w:r>
        <w:rPr>
          <w:rFonts w:hint="eastAsia" w:ascii="宋体" w:hAnsi="宋体" w:cs="宋体"/>
          <w:b/>
          <w:bCs/>
          <w:color w:val="auto"/>
          <w:szCs w:val="21"/>
        </w:rPr>
        <w:t>8.2 对投标人的纪律要求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440" w:lineRule="atLeast"/>
        <w:ind w:firstLine="420" w:firstLineChars="200"/>
        <w:rPr>
          <w:rFonts w:ascii="宋体" w:hAnsi="宋体" w:cs="宋体"/>
          <w:color w:val="auto"/>
          <w:szCs w:val="21"/>
        </w:rPr>
      </w:pPr>
      <w:r>
        <w:rPr>
          <w:rFonts w:hint="eastAsia" w:ascii="宋体" w:hAnsi="宋体" w:cs="宋体"/>
          <w:color w:val="auto"/>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440" w:lineRule="atLeast"/>
        <w:ind w:firstLine="422" w:firstLineChars="200"/>
        <w:outlineLvl w:val="2"/>
        <w:rPr>
          <w:rFonts w:ascii="宋体" w:hAnsi="宋体" w:cs="宋体"/>
          <w:b/>
          <w:bCs/>
          <w:color w:val="auto"/>
          <w:szCs w:val="21"/>
        </w:rPr>
      </w:pPr>
      <w:bookmarkStart w:id="461" w:name="_Toc247085735"/>
      <w:bookmarkStart w:id="462" w:name="_Toc35424934"/>
      <w:bookmarkStart w:id="463" w:name="_Toc35425100"/>
      <w:bookmarkStart w:id="464" w:name="_Toc144974545"/>
      <w:bookmarkStart w:id="465" w:name="_Toc246996964"/>
      <w:bookmarkStart w:id="466" w:name="_Toc506107312"/>
      <w:bookmarkStart w:id="467" w:name="_Toc179632595"/>
      <w:bookmarkStart w:id="468" w:name="_Toc152045577"/>
      <w:bookmarkStart w:id="469" w:name="_Toc324404859"/>
      <w:bookmarkStart w:id="470" w:name="_Toc15058897"/>
      <w:bookmarkStart w:id="471" w:name="_Toc296602464"/>
      <w:bookmarkStart w:id="472" w:name="_Toc23747"/>
      <w:bookmarkStart w:id="473" w:name="_Toc152042353"/>
      <w:bookmarkStart w:id="474" w:name="_Toc15259"/>
      <w:bookmarkStart w:id="475" w:name="_Toc5965"/>
      <w:bookmarkStart w:id="476" w:name="_Toc35947217"/>
      <w:bookmarkStart w:id="477" w:name="_Toc246996221"/>
      <w:r>
        <w:rPr>
          <w:rFonts w:hint="eastAsia" w:ascii="宋体" w:hAnsi="宋体" w:cs="宋体"/>
          <w:b/>
          <w:bCs/>
          <w:color w:val="auto"/>
          <w:szCs w:val="21"/>
        </w:rPr>
        <w:t>8.3 对评标委员会成员的纪律要求</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40" w:lineRule="atLeast"/>
        <w:ind w:firstLine="420" w:firstLineChars="200"/>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atLeast"/>
        <w:ind w:firstLine="422" w:firstLineChars="200"/>
        <w:outlineLvl w:val="2"/>
        <w:rPr>
          <w:rFonts w:ascii="宋体" w:hAnsi="宋体" w:cs="宋体"/>
          <w:b/>
          <w:bCs/>
          <w:color w:val="auto"/>
          <w:szCs w:val="21"/>
        </w:rPr>
      </w:pPr>
      <w:bookmarkStart w:id="478" w:name="_Toc246996965"/>
      <w:bookmarkStart w:id="479" w:name="_Toc35424935"/>
      <w:bookmarkStart w:id="480" w:name="_Toc506107313"/>
      <w:bookmarkStart w:id="481" w:name="_Toc15058898"/>
      <w:bookmarkStart w:id="482" w:name="_Toc24693"/>
      <w:bookmarkStart w:id="483" w:name="_Toc32603"/>
      <w:bookmarkStart w:id="484" w:name="_Toc179632596"/>
      <w:bookmarkStart w:id="485" w:name="_Toc324404860"/>
      <w:bookmarkStart w:id="486" w:name="_Toc296602465"/>
      <w:bookmarkStart w:id="487" w:name="_Toc152045578"/>
      <w:bookmarkStart w:id="488" w:name="_Toc247085736"/>
      <w:bookmarkStart w:id="489" w:name="_Toc31849"/>
      <w:bookmarkStart w:id="490" w:name="_Toc152042354"/>
      <w:bookmarkStart w:id="491" w:name="_Toc246996222"/>
      <w:bookmarkStart w:id="492" w:name="_Toc35425101"/>
      <w:bookmarkStart w:id="493" w:name="_Toc35947218"/>
      <w:bookmarkStart w:id="494" w:name="_Toc144974546"/>
      <w:r>
        <w:rPr>
          <w:rFonts w:hint="eastAsia" w:ascii="宋体" w:hAnsi="宋体" w:cs="宋体"/>
          <w:b/>
          <w:bCs/>
          <w:color w:val="auto"/>
          <w:szCs w:val="21"/>
        </w:rPr>
        <w:t>8.4 对与评标活动有关的工作人员的纪律要求</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spacing w:line="440" w:lineRule="atLeast"/>
        <w:ind w:firstLine="420" w:firstLineChars="200"/>
        <w:rPr>
          <w:rFonts w:ascii="宋体" w:hAnsi="宋体" w:cs="宋体"/>
          <w:color w:val="auto"/>
          <w:szCs w:val="21"/>
        </w:rPr>
      </w:pPr>
      <w:bookmarkStart w:id="495" w:name="_Toc152042355"/>
      <w:r>
        <w:rPr>
          <w:rFonts w:hint="eastAsia" w:ascii="宋体" w:hAnsi="宋体" w:cs="宋体"/>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pPr>
        <w:spacing w:line="440" w:lineRule="atLeast"/>
        <w:ind w:firstLine="422" w:firstLineChars="200"/>
        <w:outlineLvl w:val="2"/>
        <w:rPr>
          <w:rFonts w:ascii="宋体" w:hAnsi="宋体" w:cs="宋体"/>
          <w:b/>
          <w:bCs/>
          <w:color w:val="auto"/>
          <w:szCs w:val="21"/>
        </w:rPr>
      </w:pPr>
      <w:bookmarkStart w:id="496" w:name="_Toc246996966"/>
      <w:bookmarkStart w:id="497" w:name="_Toc22416"/>
      <w:bookmarkStart w:id="498" w:name="_Toc35947219"/>
      <w:bookmarkStart w:id="499" w:name="_Toc179632597"/>
      <w:bookmarkStart w:id="500" w:name="_Toc506107314"/>
      <w:bookmarkStart w:id="501" w:name="_Toc152042356"/>
      <w:bookmarkStart w:id="502" w:name="_Toc35424936"/>
      <w:bookmarkStart w:id="503" w:name="_Toc12207"/>
      <w:bookmarkStart w:id="504" w:name="_Toc152045579"/>
      <w:bookmarkStart w:id="505" w:name="_Toc247085737"/>
      <w:bookmarkStart w:id="506" w:name="_Toc296602466"/>
      <w:bookmarkStart w:id="507" w:name="_Toc246996223"/>
      <w:bookmarkStart w:id="508" w:name="_Toc2154"/>
      <w:bookmarkStart w:id="509" w:name="_Toc324404861"/>
      <w:bookmarkStart w:id="510" w:name="_Toc15058899"/>
      <w:bookmarkStart w:id="511" w:name="_Toc35425102"/>
      <w:r>
        <w:rPr>
          <w:rFonts w:hint="eastAsia" w:ascii="宋体" w:hAnsi="宋体" w:cs="宋体"/>
          <w:b/>
          <w:bCs/>
          <w:color w:val="auto"/>
          <w:szCs w:val="21"/>
        </w:rPr>
        <w:t>8.5 投诉</w:t>
      </w:r>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40" w:lineRule="atLeast"/>
        <w:ind w:firstLine="420" w:firstLineChars="200"/>
        <w:rPr>
          <w:rFonts w:ascii="宋体" w:hAnsi="宋体" w:cs="宋体"/>
          <w:color w:val="auto"/>
          <w:szCs w:val="21"/>
        </w:rPr>
      </w:pPr>
      <w:r>
        <w:rPr>
          <w:rFonts w:hint="eastAsia" w:ascii="宋体" w:hAnsi="宋体" w:cs="宋体"/>
          <w:color w:val="auto"/>
          <w:szCs w:val="21"/>
        </w:rPr>
        <w:t>8.5.1投标人和其他利害关系人认为本次招标活动违反法律、法规和规章规定的，有权向有关行政监督部门投诉。投诉应当有明确的请求和必要的证明材料。</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8.5.2投标人和其他利害关系人对评标结果等事项投诉的，应当在开标期间或公示期间，先向采购人提出异议。</w:t>
      </w:r>
      <w:r>
        <w:rPr>
          <w:rFonts w:hint="eastAsia" w:ascii="宋体" w:hAnsi="宋体" w:cs="宋体"/>
          <w:b/>
          <w:bCs/>
          <w:color w:val="auto"/>
          <w:szCs w:val="21"/>
        </w:rPr>
        <w:t>注：一份质疑（异议）函只能针对一个项目提出质疑（异议），且针对同一招标采购程序环节的质疑（异议）应当一次性提出。</w:t>
      </w:r>
    </w:p>
    <w:p>
      <w:pPr>
        <w:spacing w:line="440" w:lineRule="atLeast"/>
        <w:ind w:firstLine="422" w:firstLineChars="200"/>
        <w:outlineLvl w:val="2"/>
        <w:rPr>
          <w:rFonts w:ascii="宋体" w:hAnsi="宋体" w:cs="宋体"/>
          <w:b/>
          <w:bCs/>
          <w:color w:val="auto"/>
          <w:szCs w:val="21"/>
        </w:rPr>
      </w:pPr>
      <w:bookmarkStart w:id="512" w:name="_Toc296"/>
      <w:bookmarkStart w:id="513" w:name="_Toc144974547"/>
      <w:bookmarkStart w:id="514" w:name="_Toc35425103"/>
      <w:bookmarkStart w:id="515" w:name="_Toc35947220"/>
      <w:bookmarkStart w:id="516" w:name="_Toc152042357"/>
      <w:bookmarkStart w:id="517" w:name="_Toc324404862"/>
      <w:bookmarkStart w:id="518" w:name="_Toc15058900"/>
      <w:bookmarkStart w:id="519" w:name="_Toc18012"/>
      <w:bookmarkStart w:id="520" w:name="_Toc246996224"/>
      <w:bookmarkStart w:id="521" w:name="_Toc23899"/>
      <w:bookmarkStart w:id="522" w:name="_Toc179632598"/>
      <w:bookmarkStart w:id="523" w:name="_Toc246996967"/>
      <w:bookmarkStart w:id="524" w:name="_Toc247085738"/>
      <w:bookmarkStart w:id="525" w:name="_Toc35424937"/>
      <w:bookmarkStart w:id="526" w:name="_Toc152045580"/>
      <w:bookmarkStart w:id="527" w:name="_Toc506107315"/>
      <w:bookmarkStart w:id="528" w:name="_Toc24040"/>
      <w:r>
        <w:rPr>
          <w:rFonts w:hint="eastAsia" w:ascii="宋体" w:hAnsi="宋体" w:cs="宋体"/>
          <w:b/>
          <w:bCs/>
          <w:color w:val="auto"/>
          <w:szCs w:val="21"/>
        </w:rPr>
        <w:t>9.需要补充的其他内容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440" w:lineRule="atLeast"/>
        <w:ind w:firstLine="420" w:firstLineChars="200"/>
        <w:rPr>
          <w:rFonts w:ascii="宋体" w:hAnsi="宋体" w:cs="宋体"/>
          <w:color w:val="auto"/>
          <w:szCs w:val="21"/>
        </w:rPr>
      </w:pPr>
      <w:bookmarkStart w:id="529" w:name="_Toc15058901"/>
      <w:r>
        <w:rPr>
          <w:rFonts w:hint="eastAsia" w:ascii="宋体" w:hAnsi="宋体" w:cs="宋体"/>
          <w:color w:val="auto"/>
          <w:szCs w:val="21"/>
        </w:rPr>
        <w:t>需要补充的其他内容：见投标人须知前附表。</w:t>
      </w:r>
      <w:bookmarkEnd w:id="529"/>
    </w:p>
    <w:p>
      <w:pPr>
        <w:pStyle w:val="3"/>
        <w:jc w:val="both"/>
        <w:rPr>
          <w:rFonts w:hint="eastAsia"/>
          <w:color w:val="auto"/>
          <w:sz w:val="28"/>
          <w:szCs w:val="28"/>
        </w:rPr>
      </w:pPr>
      <w:bookmarkStart w:id="530" w:name="_Toc27356"/>
      <w:bookmarkStart w:id="531" w:name="_Toc9676"/>
      <w:bookmarkStart w:id="532" w:name="_Toc6133"/>
      <w:bookmarkStart w:id="533" w:name="_Toc1436"/>
    </w:p>
    <w:p>
      <w:pPr>
        <w:rPr>
          <w:rFonts w:hint="eastAsia"/>
          <w:color w:val="auto"/>
          <w:sz w:val="28"/>
          <w:szCs w:val="28"/>
        </w:rPr>
      </w:pPr>
    </w:p>
    <w:p>
      <w:pPr>
        <w:pStyle w:val="50"/>
        <w:rPr>
          <w:rFonts w:hint="eastAsia"/>
          <w:color w:val="auto"/>
          <w:sz w:val="28"/>
          <w:szCs w:val="28"/>
        </w:rPr>
      </w:pPr>
    </w:p>
    <w:p>
      <w:pPr>
        <w:pStyle w:val="21"/>
        <w:rPr>
          <w:rFonts w:hint="eastAsia"/>
          <w:color w:val="auto"/>
          <w:sz w:val="28"/>
          <w:szCs w:val="28"/>
        </w:rPr>
      </w:pPr>
    </w:p>
    <w:p>
      <w:pPr>
        <w:pStyle w:val="18"/>
        <w:rPr>
          <w:rFonts w:hint="eastAsia"/>
          <w:color w:val="auto"/>
          <w:sz w:val="28"/>
          <w:szCs w:val="28"/>
        </w:rPr>
      </w:pPr>
    </w:p>
    <w:p>
      <w:pPr>
        <w:rPr>
          <w:rFonts w:hint="eastAsia"/>
          <w:color w:val="auto"/>
          <w:sz w:val="28"/>
          <w:szCs w:val="28"/>
        </w:rPr>
      </w:pPr>
    </w:p>
    <w:p>
      <w:pPr>
        <w:pStyle w:val="50"/>
        <w:rPr>
          <w:rFonts w:hint="eastAsia"/>
          <w:color w:val="auto"/>
          <w:sz w:val="28"/>
          <w:szCs w:val="28"/>
        </w:rPr>
      </w:pPr>
    </w:p>
    <w:p>
      <w:pPr>
        <w:pStyle w:val="21"/>
        <w:rPr>
          <w:rFonts w:hint="eastAsia"/>
          <w:color w:val="auto"/>
          <w:sz w:val="28"/>
          <w:szCs w:val="28"/>
        </w:rPr>
      </w:pPr>
    </w:p>
    <w:p>
      <w:pPr>
        <w:pStyle w:val="18"/>
        <w:rPr>
          <w:rFonts w:hint="eastAsia"/>
          <w:color w:val="auto"/>
          <w:sz w:val="28"/>
          <w:szCs w:val="28"/>
        </w:rPr>
      </w:pPr>
    </w:p>
    <w:p>
      <w:pPr>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50"/>
        <w:rPr>
          <w:rFonts w:hint="eastAsia"/>
          <w:color w:val="auto"/>
          <w:sz w:val="28"/>
          <w:szCs w:val="28"/>
        </w:rPr>
      </w:pPr>
    </w:p>
    <w:p>
      <w:pPr>
        <w:pStyle w:val="21"/>
        <w:rPr>
          <w:rFonts w:hint="eastAsia"/>
          <w:color w:val="auto"/>
          <w:sz w:val="28"/>
          <w:szCs w:val="28"/>
        </w:rPr>
      </w:pPr>
    </w:p>
    <w:p>
      <w:pPr>
        <w:pStyle w:val="18"/>
        <w:rPr>
          <w:rFonts w:hint="eastAsia"/>
          <w:color w:val="auto"/>
        </w:rPr>
      </w:pPr>
    </w:p>
    <w:p>
      <w:pPr>
        <w:pStyle w:val="50"/>
        <w:rPr>
          <w:rFonts w:hint="eastAsia"/>
          <w:color w:val="auto"/>
        </w:rPr>
      </w:pPr>
    </w:p>
    <w:p>
      <w:pPr>
        <w:pStyle w:val="3"/>
        <w:jc w:val="center"/>
        <w:rPr>
          <w:color w:val="auto"/>
          <w:sz w:val="28"/>
          <w:szCs w:val="28"/>
        </w:rPr>
      </w:pPr>
      <w:r>
        <w:rPr>
          <w:rFonts w:hint="eastAsia"/>
          <w:color w:val="auto"/>
          <w:sz w:val="28"/>
          <w:szCs w:val="28"/>
        </w:rPr>
        <w:t>第</w:t>
      </w:r>
      <w:r>
        <w:rPr>
          <w:rFonts w:hint="eastAsia"/>
          <w:color w:val="auto"/>
          <w:sz w:val="28"/>
          <w:szCs w:val="28"/>
          <w:lang w:val="en-US" w:eastAsia="zh-CN"/>
        </w:rPr>
        <w:t>三</w:t>
      </w:r>
      <w:r>
        <w:rPr>
          <w:rFonts w:hint="eastAsia"/>
          <w:color w:val="auto"/>
          <w:sz w:val="28"/>
          <w:szCs w:val="28"/>
        </w:rPr>
        <w:t>章  评标办法</w:t>
      </w:r>
      <w:bookmarkEnd w:id="530"/>
      <w:bookmarkEnd w:id="531"/>
      <w:bookmarkEnd w:id="532"/>
      <w:bookmarkEnd w:id="533"/>
    </w:p>
    <w:bookmarkEnd w:id="47"/>
    <w:p>
      <w:pPr>
        <w:spacing w:line="440" w:lineRule="exact"/>
        <w:jc w:val="center"/>
        <w:outlineLvl w:val="1"/>
        <w:rPr>
          <w:rFonts w:ascii="宋体"/>
          <w:b/>
          <w:color w:val="auto"/>
          <w:sz w:val="28"/>
          <w:szCs w:val="28"/>
        </w:rPr>
      </w:pPr>
      <w:bookmarkStart w:id="534" w:name="_Toc362983801"/>
      <w:bookmarkStart w:id="535" w:name="_Toc449028877"/>
      <w:bookmarkStart w:id="536" w:name="_Toc58430317"/>
      <w:r>
        <w:rPr>
          <w:rFonts w:hint="eastAsia" w:ascii="宋体"/>
          <w:b/>
          <w:color w:val="auto"/>
          <w:sz w:val="28"/>
          <w:szCs w:val="28"/>
        </w:rPr>
        <w:t>一、总则</w:t>
      </w:r>
      <w:bookmarkEnd w:id="534"/>
      <w:bookmarkEnd w:id="535"/>
      <w:bookmarkEnd w:id="536"/>
    </w:p>
    <w:p>
      <w:pPr>
        <w:spacing w:line="440" w:lineRule="exact"/>
        <w:ind w:firstLine="316" w:firstLineChars="150"/>
        <w:jc w:val="left"/>
        <w:rPr>
          <w:rFonts w:ascii="宋体" w:hAnsi="宋体" w:cs="宋体"/>
          <w:b/>
          <w:color w:val="auto"/>
          <w:szCs w:val="21"/>
        </w:rPr>
      </w:pPr>
      <w:r>
        <w:rPr>
          <w:rFonts w:hint="eastAsia" w:ascii="宋体" w:hAnsi="宋体" w:cs="宋体"/>
          <w:b/>
          <w:color w:val="auto"/>
          <w:szCs w:val="21"/>
        </w:rPr>
        <w:t xml:space="preserve"> 1. 本次评标采用综合评分法</w:t>
      </w:r>
    </w:p>
    <w:p>
      <w:pPr>
        <w:spacing w:line="400" w:lineRule="exact"/>
        <w:ind w:firstLine="420" w:firstLineChars="200"/>
        <w:jc w:val="left"/>
        <w:rPr>
          <w:rFonts w:ascii="宋体" w:hAnsi="宋体" w:cs="宋体"/>
          <w:color w:val="auto"/>
          <w:sz w:val="24"/>
        </w:rPr>
      </w:pPr>
      <w:r>
        <w:rPr>
          <w:rFonts w:hint="eastAsia" w:ascii="宋体" w:hAnsi="宋体" w:cs="宋体"/>
          <w:color w:val="auto"/>
          <w:szCs w:val="21"/>
        </w:rPr>
        <w:t>1.1综合评分法是指投标文件满足招标文件全部实质性要求且按照评审因素的量化指标评审总得分从高到低的投标人为中标候选人的评标方法。</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 1.2综合评分法一般适用于较为复杂、评价指标难以量化且价格为非主要因素的非标准定制商品和非通用服务项目的项目评审。</w:t>
      </w:r>
    </w:p>
    <w:p>
      <w:pPr>
        <w:spacing w:line="440" w:lineRule="exact"/>
        <w:ind w:firstLine="422" w:firstLineChars="200"/>
        <w:rPr>
          <w:rFonts w:ascii="宋体" w:hAnsi="宋体" w:cs="宋体"/>
          <w:b/>
          <w:color w:val="auto"/>
          <w:szCs w:val="21"/>
        </w:rPr>
      </w:pPr>
      <w:r>
        <w:rPr>
          <w:rFonts w:hint="eastAsia" w:ascii="宋体" w:hAnsi="宋体" w:cs="宋体"/>
          <w:b/>
          <w:color w:val="auto"/>
          <w:szCs w:val="21"/>
        </w:rPr>
        <w:t>2．评标程序</w:t>
      </w:r>
    </w:p>
    <w:p>
      <w:pPr>
        <w:spacing w:line="440" w:lineRule="exact"/>
        <w:ind w:firstLine="420" w:firstLineChars="200"/>
        <w:rPr>
          <w:rFonts w:ascii="宋体" w:hAnsi="宋体" w:cs="宋体"/>
          <w:color w:val="auto"/>
          <w:szCs w:val="21"/>
        </w:rPr>
      </w:pPr>
      <w:r>
        <w:rPr>
          <w:rFonts w:hint="eastAsia" w:ascii="宋体" w:hAnsi="宋体" w:cs="宋体"/>
          <w:color w:val="auto"/>
          <w:szCs w:val="21"/>
        </w:rPr>
        <w:t>2.1投标文件的初审</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2.1.1资格性检查。依据法律法规和招标文件的规定，对投标文件中的资格证明进行审查，以确定投标人是否具备投标资格。 </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2.1.2符合性检查。依据招标文件的规定，从投标文件的有效性、完整性和对招标文件的响应程度进行审查，以确定投标人是否对招标文件的实质性要求作出响应。</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2.2投标文件的澄清</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2.2.1在评标过程中，评标委员会认为需要，在见证人员在场的情况下，可要求投标单位对投标文件中的有关问题进行澄清或提供补充说明及有关资料，投标单位应做出书面答复。书面答复中不得变更价格、供货期、自报质量等实质性内容。</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2.2.3  采购人不接受投标单位主动提出的澄清。</w:t>
      </w:r>
    </w:p>
    <w:p>
      <w:pPr>
        <w:spacing w:line="440" w:lineRule="exact"/>
        <w:ind w:firstLine="420" w:firstLineChars="200"/>
        <w:rPr>
          <w:rFonts w:ascii="宋体" w:hAnsi="宋体" w:cs="宋体"/>
          <w:color w:val="auto"/>
          <w:szCs w:val="21"/>
        </w:rPr>
      </w:pPr>
      <w:r>
        <w:rPr>
          <w:rFonts w:hint="eastAsia" w:ascii="宋体" w:hAnsi="宋体" w:cs="宋体"/>
          <w:color w:val="auto"/>
          <w:szCs w:val="21"/>
        </w:rPr>
        <w:t>2.3比较与评价</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2．3.1按招标文件中规定的评标方法和标准，对资格性检查和符合性检查合格的投标文件进行资信、商务和技术评估，综合比较与评价。 </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2.4推荐中标候选人名单</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2.4.1中标候选人数量应当根据采购需要确定，但必须按顺序排列中标候选人。</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2.5在投标文件的审查、澄清、评价和比较以及授予合同过程中，投标单位对招标单位和评标委员会成员施加影响的任何行为，都将导致取消其中标资格。</w:t>
      </w:r>
    </w:p>
    <w:p>
      <w:pPr>
        <w:spacing w:line="440" w:lineRule="exact"/>
        <w:ind w:firstLine="562" w:firstLineChars="200"/>
        <w:jc w:val="left"/>
        <w:rPr>
          <w:rFonts w:ascii="宋体"/>
          <w:b/>
          <w:color w:val="auto"/>
          <w:sz w:val="28"/>
          <w:szCs w:val="28"/>
        </w:rPr>
      </w:pPr>
    </w:p>
    <w:p>
      <w:pPr>
        <w:jc w:val="center"/>
        <w:outlineLvl w:val="1"/>
        <w:rPr>
          <w:rFonts w:ascii="宋体"/>
          <w:b/>
          <w:color w:val="auto"/>
          <w:sz w:val="28"/>
          <w:szCs w:val="28"/>
        </w:rPr>
      </w:pPr>
      <w:bookmarkStart w:id="537" w:name="_Toc17428"/>
      <w:bookmarkStart w:id="538" w:name="_Toc29031"/>
      <w:bookmarkStart w:id="539" w:name="_Toc31035"/>
    </w:p>
    <w:p>
      <w:pPr>
        <w:jc w:val="center"/>
        <w:outlineLvl w:val="1"/>
        <w:rPr>
          <w:rFonts w:ascii="宋体"/>
          <w:b/>
          <w:color w:val="auto"/>
          <w:sz w:val="28"/>
          <w:szCs w:val="28"/>
        </w:rPr>
      </w:pPr>
      <w:r>
        <w:rPr>
          <w:rFonts w:hint="eastAsia" w:ascii="宋体"/>
          <w:b/>
          <w:color w:val="auto"/>
          <w:sz w:val="28"/>
          <w:szCs w:val="28"/>
        </w:rPr>
        <w:t>二  投标文件初审</w:t>
      </w:r>
      <w:bookmarkEnd w:id="537"/>
      <w:bookmarkEnd w:id="538"/>
      <w:bookmarkEnd w:id="539"/>
    </w:p>
    <w:p>
      <w:pPr>
        <w:spacing w:line="400" w:lineRule="exact"/>
        <w:ind w:firstLine="310" w:firstLineChars="147"/>
        <w:rPr>
          <w:rFonts w:ascii="宋体"/>
          <w:b/>
          <w:color w:val="auto"/>
          <w:szCs w:val="21"/>
        </w:rPr>
      </w:pPr>
      <w:r>
        <w:rPr>
          <w:rFonts w:hint="eastAsia" w:ascii="宋体"/>
          <w:b/>
          <w:color w:val="auto"/>
          <w:szCs w:val="21"/>
        </w:rPr>
        <w:t>3.资格性审查:</w:t>
      </w:r>
    </w:p>
    <w:p>
      <w:pPr>
        <w:spacing w:line="400" w:lineRule="exact"/>
        <w:ind w:firstLine="308" w:firstLineChars="147"/>
        <w:rPr>
          <w:color w:val="auto"/>
          <w:szCs w:val="21"/>
        </w:rPr>
      </w:pPr>
      <w:r>
        <w:rPr>
          <w:rFonts w:hint="eastAsia" w:ascii="宋体"/>
          <w:color w:val="auto"/>
          <w:szCs w:val="21"/>
        </w:rPr>
        <w:t>3.1</w:t>
      </w:r>
      <w:r>
        <w:rPr>
          <w:rFonts w:hint="eastAsia"/>
          <w:color w:val="auto"/>
          <w:szCs w:val="21"/>
        </w:rPr>
        <w:t>评审细则</w:t>
      </w:r>
    </w:p>
    <w:tbl>
      <w:tblPr>
        <w:tblStyle w:val="51"/>
        <w:tblW w:w="9349"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27"/>
        <w:gridCol w:w="3008"/>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序号</w:t>
            </w:r>
          </w:p>
        </w:tc>
        <w:tc>
          <w:tcPr>
            <w:tcW w:w="4535"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评审因素</w:t>
            </w:r>
          </w:p>
        </w:tc>
        <w:tc>
          <w:tcPr>
            <w:tcW w:w="3929" w:type="dxa"/>
            <w:vAlign w:val="center"/>
          </w:tcPr>
          <w:p>
            <w:pPr>
              <w:spacing w:line="320" w:lineRule="exact"/>
              <w:jc w:val="left"/>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85" w:type="dxa"/>
            <w:vMerge w:val="restart"/>
            <w:vAlign w:val="center"/>
          </w:tcPr>
          <w:p>
            <w:pPr>
              <w:spacing w:line="320" w:lineRule="exact"/>
              <w:jc w:val="center"/>
              <w:rPr>
                <w:rFonts w:ascii="宋体" w:hAnsi="宋体" w:cs="宋体"/>
                <w:color w:val="auto"/>
                <w:szCs w:val="21"/>
              </w:rPr>
            </w:pPr>
            <w:r>
              <w:rPr>
                <w:rFonts w:hint="eastAsia" w:ascii="宋体" w:hAnsi="宋体" w:cs="宋体"/>
                <w:color w:val="auto"/>
                <w:szCs w:val="21"/>
              </w:rPr>
              <w:t>1</w:t>
            </w:r>
          </w:p>
        </w:tc>
        <w:tc>
          <w:tcPr>
            <w:tcW w:w="1527" w:type="dxa"/>
            <w:vMerge w:val="restart"/>
            <w:vAlign w:val="center"/>
          </w:tcPr>
          <w:p>
            <w:pPr>
              <w:spacing w:line="320" w:lineRule="exact"/>
              <w:jc w:val="center"/>
              <w:rPr>
                <w:rFonts w:ascii="宋体" w:hAnsi="宋体" w:cs="宋体"/>
                <w:color w:val="auto"/>
                <w:szCs w:val="21"/>
              </w:rPr>
            </w:pPr>
            <w:r>
              <w:rPr>
                <w:rFonts w:hint="eastAsia" w:ascii="宋体" w:hAnsi="宋体" w:cs="宋体"/>
                <w:color w:val="auto"/>
                <w:szCs w:val="21"/>
              </w:rPr>
              <w:t>重要要求</w:t>
            </w:r>
          </w:p>
        </w:tc>
        <w:tc>
          <w:tcPr>
            <w:tcW w:w="3008" w:type="dxa"/>
            <w:vAlign w:val="center"/>
          </w:tcPr>
          <w:p>
            <w:pPr>
              <w:spacing w:line="320" w:lineRule="exact"/>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tc>
        <w:tc>
          <w:tcPr>
            <w:tcW w:w="3929" w:type="dxa"/>
            <w:vAlign w:val="center"/>
          </w:tcPr>
          <w:p>
            <w:pPr>
              <w:spacing w:line="320" w:lineRule="exact"/>
              <w:jc w:val="left"/>
              <w:rPr>
                <w:rFonts w:ascii="宋体" w:hAnsi="宋体" w:cs="宋体"/>
                <w:b/>
                <w:color w:val="auto"/>
                <w:szCs w:val="21"/>
              </w:rPr>
            </w:pPr>
            <w:r>
              <w:rPr>
                <w:rFonts w:hint="eastAsia" w:ascii="宋体" w:hAnsi="宋体" w:cs="宋体"/>
                <w:b/>
                <w:color w:val="auto"/>
                <w:szCs w:val="21"/>
              </w:rPr>
              <w:t>法定代表人或其委托代理人携带身份证原件至开标现场（手持或密封均视为携带）。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vMerge w:val="continue"/>
            <w:vAlign w:val="center"/>
          </w:tcPr>
          <w:p>
            <w:pPr>
              <w:spacing w:line="320" w:lineRule="exact"/>
              <w:jc w:val="center"/>
              <w:rPr>
                <w:rFonts w:ascii="宋体" w:hAnsi="宋体" w:cs="宋体"/>
                <w:color w:val="auto"/>
                <w:szCs w:val="21"/>
              </w:rPr>
            </w:pPr>
          </w:p>
        </w:tc>
        <w:tc>
          <w:tcPr>
            <w:tcW w:w="1527" w:type="dxa"/>
            <w:vMerge w:val="continue"/>
            <w:vAlign w:val="center"/>
          </w:tcPr>
          <w:p>
            <w:pPr>
              <w:spacing w:line="320" w:lineRule="exact"/>
              <w:jc w:val="center"/>
              <w:rPr>
                <w:rFonts w:ascii="宋体" w:hAnsi="宋体" w:cs="宋体"/>
                <w:color w:val="auto"/>
                <w:szCs w:val="21"/>
              </w:rPr>
            </w:pPr>
          </w:p>
        </w:tc>
        <w:tc>
          <w:tcPr>
            <w:tcW w:w="3008" w:type="dxa"/>
            <w:vAlign w:val="center"/>
          </w:tcPr>
          <w:p>
            <w:pPr>
              <w:spacing w:line="320" w:lineRule="exact"/>
              <w:rPr>
                <w:rFonts w:ascii="宋体" w:hAnsi="宋体" w:cs="宋体"/>
                <w:color w:val="auto"/>
                <w:szCs w:val="21"/>
              </w:rPr>
            </w:pPr>
            <w:r>
              <w:rPr>
                <w:rFonts w:hint="eastAsia" w:ascii="宋体" w:hAnsi="宋体" w:cs="宋体"/>
                <w:color w:val="auto"/>
                <w:szCs w:val="21"/>
              </w:rPr>
              <w:t>（2）保证金缴纳情况</w:t>
            </w:r>
          </w:p>
        </w:tc>
        <w:tc>
          <w:tcPr>
            <w:tcW w:w="3929" w:type="dxa"/>
            <w:vAlign w:val="center"/>
          </w:tcPr>
          <w:p>
            <w:pPr>
              <w:spacing w:line="32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85" w:type="dxa"/>
            <w:vMerge w:val="restart"/>
            <w:vAlign w:val="center"/>
          </w:tcPr>
          <w:p>
            <w:pPr>
              <w:spacing w:line="320" w:lineRule="exact"/>
              <w:jc w:val="center"/>
              <w:rPr>
                <w:rFonts w:ascii="宋体" w:hAnsi="宋体" w:cs="宋体"/>
                <w:color w:val="auto"/>
                <w:szCs w:val="21"/>
              </w:rPr>
            </w:pPr>
            <w:r>
              <w:rPr>
                <w:rFonts w:hint="eastAsia" w:ascii="宋体" w:hAnsi="宋体" w:cs="宋体"/>
                <w:color w:val="auto"/>
                <w:szCs w:val="21"/>
              </w:rPr>
              <w:t>2</w:t>
            </w:r>
          </w:p>
        </w:tc>
        <w:tc>
          <w:tcPr>
            <w:tcW w:w="1527" w:type="dxa"/>
            <w:vMerge w:val="restart"/>
            <w:vAlign w:val="center"/>
          </w:tcPr>
          <w:p>
            <w:pPr>
              <w:spacing w:line="320" w:lineRule="exact"/>
              <w:rPr>
                <w:rFonts w:ascii="宋体" w:hAnsi="宋体" w:cs="宋体"/>
                <w:color w:val="auto"/>
                <w:szCs w:val="21"/>
              </w:rPr>
            </w:pPr>
            <w:r>
              <w:rPr>
                <w:rFonts w:hint="eastAsia" w:ascii="宋体" w:hAnsi="宋体" w:cs="宋体"/>
                <w:color w:val="auto"/>
                <w:szCs w:val="21"/>
              </w:rPr>
              <w:t>投标人应符合的基本资格条件</w:t>
            </w:r>
          </w:p>
        </w:tc>
        <w:tc>
          <w:tcPr>
            <w:tcW w:w="3008" w:type="dxa"/>
            <w:vAlign w:val="center"/>
          </w:tcPr>
          <w:p>
            <w:pPr>
              <w:spacing w:line="320" w:lineRule="exact"/>
              <w:rPr>
                <w:rFonts w:ascii="宋体" w:hAnsi="宋体" w:cs="宋体"/>
                <w:color w:val="auto"/>
                <w:szCs w:val="21"/>
              </w:rPr>
            </w:pPr>
            <w:r>
              <w:rPr>
                <w:rFonts w:hint="eastAsia" w:ascii="宋体" w:hAnsi="宋体" w:cs="宋体"/>
                <w:color w:val="auto"/>
                <w:szCs w:val="21"/>
              </w:rPr>
              <w:t>（3）具有独立承担民事责任的能力</w:t>
            </w:r>
          </w:p>
        </w:tc>
        <w:tc>
          <w:tcPr>
            <w:tcW w:w="3929" w:type="dxa"/>
            <w:vAlign w:val="center"/>
          </w:tcPr>
          <w:p>
            <w:pPr>
              <w:spacing w:line="320" w:lineRule="exact"/>
              <w:jc w:val="left"/>
              <w:rPr>
                <w:rFonts w:ascii="宋体" w:hAnsi="宋体" w:cs="宋体"/>
                <w:color w:val="auto"/>
                <w:szCs w:val="21"/>
              </w:rPr>
            </w:pPr>
            <w:r>
              <w:rPr>
                <w:rFonts w:hint="eastAsia" w:ascii="宋体" w:hAnsi="宋体" w:cs="宋体"/>
                <w:b/>
                <w:color w:val="auto"/>
                <w:szCs w:val="21"/>
              </w:rPr>
              <w:t>评审核验下列证书、证明材料：</w:t>
            </w:r>
          </w:p>
          <w:p>
            <w:pPr>
              <w:spacing w:line="320" w:lineRule="exact"/>
              <w:jc w:val="left"/>
              <w:rPr>
                <w:rFonts w:ascii="宋体" w:hAnsi="宋体" w:cs="宋体"/>
                <w:color w:val="auto"/>
                <w:szCs w:val="21"/>
              </w:rPr>
            </w:pPr>
            <w:r>
              <w:rPr>
                <w:rFonts w:hint="eastAsia" w:ascii="宋体" w:hAnsi="宋体" w:cs="宋体"/>
                <w:color w:val="auto"/>
                <w:szCs w:val="21"/>
              </w:rPr>
              <w:t>投标人有效的营业执照、税务登记证、组织机构码证（或“三证合一证书”）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85" w:type="dxa"/>
            <w:vMerge w:val="continue"/>
            <w:vAlign w:val="center"/>
          </w:tcPr>
          <w:p>
            <w:pPr>
              <w:spacing w:line="320" w:lineRule="exact"/>
              <w:jc w:val="center"/>
              <w:rPr>
                <w:rFonts w:ascii="宋体" w:hAnsi="宋体" w:cs="宋体"/>
                <w:color w:val="auto"/>
                <w:szCs w:val="21"/>
              </w:rPr>
            </w:pPr>
          </w:p>
        </w:tc>
        <w:tc>
          <w:tcPr>
            <w:tcW w:w="1527" w:type="dxa"/>
            <w:vMerge w:val="continue"/>
            <w:vAlign w:val="center"/>
          </w:tcPr>
          <w:p>
            <w:pPr>
              <w:spacing w:line="320" w:lineRule="exact"/>
              <w:rPr>
                <w:rFonts w:ascii="宋体" w:hAnsi="宋体" w:cs="宋体"/>
                <w:color w:val="auto"/>
                <w:szCs w:val="21"/>
              </w:rPr>
            </w:pPr>
          </w:p>
        </w:tc>
        <w:tc>
          <w:tcPr>
            <w:tcW w:w="3008" w:type="dxa"/>
          </w:tcPr>
          <w:p>
            <w:pPr>
              <w:spacing w:line="320" w:lineRule="exact"/>
              <w:rPr>
                <w:rFonts w:ascii="宋体" w:hAnsi="宋体" w:cs="宋体"/>
                <w:color w:val="auto"/>
                <w:szCs w:val="21"/>
              </w:rPr>
            </w:pPr>
            <w:r>
              <w:rPr>
                <w:rFonts w:hint="eastAsia" w:ascii="宋体" w:hAnsi="宋体" w:cs="宋体"/>
                <w:color w:val="auto"/>
                <w:szCs w:val="21"/>
              </w:rPr>
              <w:t>（4）诚信投标承诺书</w:t>
            </w:r>
          </w:p>
        </w:tc>
        <w:tc>
          <w:tcPr>
            <w:tcW w:w="3929" w:type="dxa"/>
          </w:tcPr>
          <w:p>
            <w:pPr>
              <w:spacing w:line="360" w:lineRule="exact"/>
              <w:jc w:val="left"/>
              <w:rPr>
                <w:rFonts w:ascii="宋体" w:hAnsi="宋体" w:cs="宋体"/>
                <w:b/>
                <w:color w:val="auto"/>
                <w:szCs w:val="21"/>
              </w:rPr>
            </w:pPr>
            <w:r>
              <w:rPr>
                <w:rFonts w:hint="eastAsia" w:ascii="宋体" w:hAnsi="宋体" w:cs="宋体"/>
                <w:color w:val="auto"/>
                <w:szCs w:val="21"/>
              </w:rPr>
              <w:t>格式见附件</w:t>
            </w:r>
          </w:p>
        </w:tc>
      </w:tr>
    </w:tbl>
    <w:p>
      <w:pPr>
        <w:spacing w:before="312" w:beforeLines="100" w:line="440" w:lineRule="exact"/>
        <w:ind w:firstLine="310" w:firstLineChars="147"/>
        <w:rPr>
          <w:rFonts w:ascii="宋体"/>
          <w:b/>
          <w:color w:val="auto"/>
          <w:szCs w:val="21"/>
        </w:rPr>
      </w:pPr>
      <w:r>
        <w:rPr>
          <w:rFonts w:hint="eastAsia" w:ascii="宋体"/>
          <w:b/>
          <w:color w:val="auto"/>
          <w:szCs w:val="21"/>
        </w:rPr>
        <w:t>4.符合性审查</w:t>
      </w:r>
    </w:p>
    <w:p>
      <w:pPr>
        <w:spacing w:line="440" w:lineRule="exact"/>
        <w:ind w:firstLine="315" w:firstLineChars="150"/>
        <w:rPr>
          <w:rFonts w:ascii="宋体"/>
          <w:color w:val="auto"/>
          <w:szCs w:val="21"/>
        </w:rPr>
      </w:pPr>
      <w:r>
        <w:rPr>
          <w:rFonts w:hint="eastAsia" w:ascii="宋体"/>
          <w:color w:val="auto"/>
          <w:szCs w:val="21"/>
        </w:rPr>
        <w:t>4．1评审细则</w:t>
      </w:r>
    </w:p>
    <w:tbl>
      <w:tblPr>
        <w:tblStyle w:val="5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pPr>
              <w:spacing w:line="320" w:lineRule="atLeast"/>
              <w:jc w:val="center"/>
              <w:rPr>
                <w:rFonts w:ascii="黑体" w:eastAsia="黑体" w:cs="黑体"/>
                <w:b/>
                <w:bCs/>
                <w:color w:val="auto"/>
                <w:szCs w:val="21"/>
              </w:rPr>
            </w:pPr>
            <w:r>
              <w:rPr>
                <w:rFonts w:hint="eastAsia" w:ascii="黑体" w:eastAsia="黑体" w:cs="黑体"/>
                <w:b/>
                <w:bCs/>
                <w:color w:val="auto"/>
                <w:szCs w:val="21"/>
              </w:rPr>
              <w:t>序号</w:t>
            </w:r>
          </w:p>
        </w:tc>
        <w:tc>
          <w:tcPr>
            <w:tcW w:w="4135" w:type="dxa"/>
            <w:gridSpan w:val="2"/>
            <w:vAlign w:val="center"/>
          </w:tcPr>
          <w:p>
            <w:pPr>
              <w:spacing w:line="320" w:lineRule="atLeast"/>
              <w:jc w:val="center"/>
              <w:rPr>
                <w:rFonts w:ascii="黑体" w:eastAsia="黑体" w:cs="黑体"/>
                <w:b/>
                <w:bCs/>
                <w:color w:val="auto"/>
                <w:szCs w:val="21"/>
              </w:rPr>
            </w:pPr>
            <w:r>
              <w:rPr>
                <w:rFonts w:hint="eastAsia" w:ascii="黑体" w:eastAsia="黑体" w:cs="黑体"/>
                <w:b/>
                <w:bCs/>
                <w:color w:val="auto"/>
                <w:szCs w:val="21"/>
              </w:rPr>
              <w:t>审查因素</w:t>
            </w:r>
          </w:p>
        </w:tc>
        <w:tc>
          <w:tcPr>
            <w:tcW w:w="4602" w:type="dxa"/>
            <w:vAlign w:val="center"/>
          </w:tcPr>
          <w:p>
            <w:pPr>
              <w:spacing w:line="320" w:lineRule="atLeast"/>
              <w:jc w:val="center"/>
              <w:rPr>
                <w:rFonts w:ascii="黑体" w:eastAsia="黑体" w:cs="黑体"/>
                <w:b/>
                <w:bCs/>
                <w:color w:val="auto"/>
                <w:szCs w:val="21"/>
              </w:rPr>
            </w:pPr>
            <w:r>
              <w:rPr>
                <w:rFonts w:hint="eastAsia" w:ascii="黑体" w:eastAsia="黑体" w:cs="黑体"/>
                <w:b/>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rPr>
            </w:pPr>
            <w:r>
              <w:rPr>
                <w:rFonts w:hint="eastAsia" w:ascii="宋体"/>
                <w:color w:val="auto"/>
                <w:szCs w:val="21"/>
              </w:rPr>
              <w:t>1</w:t>
            </w:r>
          </w:p>
        </w:tc>
        <w:tc>
          <w:tcPr>
            <w:tcW w:w="1204" w:type="dxa"/>
            <w:vMerge w:val="restart"/>
            <w:vAlign w:val="center"/>
          </w:tcPr>
          <w:p>
            <w:pPr>
              <w:spacing w:line="320" w:lineRule="atLeast"/>
              <w:rPr>
                <w:rFonts w:ascii="宋体" w:cs="仿宋_GB2312"/>
                <w:color w:val="auto"/>
                <w:szCs w:val="21"/>
                <w:lang w:val="zh-CN"/>
              </w:rPr>
            </w:pPr>
            <w:r>
              <w:rPr>
                <w:rFonts w:hint="eastAsia" w:ascii="宋体" w:cs="仿宋_GB2312"/>
                <w:color w:val="auto"/>
                <w:szCs w:val="21"/>
                <w:lang w:val="zh-CN"/>
              </w:rPr>
              <w:t>标书的有效 性</w:t>
            </w: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（1）投标文件签署</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s="仿宋_GB2312"/>
                <w:color w:val="auto"/>
                <w:szCs w:val="21"/>
                <w:lang w:val="zh-CN"/>
              </w:rPr>
            </w:pPr>
            <w:r>
              <w:rPr>
                <w:rFonts w:hint="eastAsia" w:ascii="宋体"/>
                <w:color w:val="auto"/>
                <w:szCs w:val="21"/>
              </w:rPr>
              <w:t>（2）报价唯一</w:t>
            </w:r>
          </w:p>
        </w:tc>
        <w:tc>
          <w:tcPr>
            <w:tcW w:w="4602" w:type="dxa"/>
            <w:vAlign w:val="center"/>
          </w:tcPr>
          <w:p>
            <w:pPr>
              <w:spacing w:line="320" w:lineRule="atLeast"/>
              <w:rPr>
                <w:rFonts w:ascii="宋体" w:cs="宋体"/>
                <w:color w:val="auto"/>
                <w:szCs w:val="21"/>
              </w:rPr>
            </w:pPr>
            <w:r>
              <w:rPr>
                <w:rFonts w:hint="eastAsia" w:ascii="宋体" w:cs="仿宋_GB2312"/>
                <w:color w:val="auto"/>
                <w:szCs w:val="21"/>
                <w:lang w:val="zh-CN"/>
              </w:rPr>
              <w:t>只能在限价范围内报价，</w:t>
            </w:r>
            <w:r>
              <w:rPr>
                <w:rFonts w:hint="eastAsia" w:ascii="宋体"/>
                <w:color w:val="auto"/>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olor w:val="auto"/>
                <w:szCs w:val="21"/>
              </w:rPr>
            </w:pPr>
            <w:r>
              <w:rPr>
                <w:rFonts w:hint="eastAsia" w:ascii="宋体"/>
                <w:color w:val="auto"/>
                <w:szCs w:val="21"/>
              </w:rPr>
              <w:t xml:space="preserve"> (3) 投标文件的有效期</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pPr>
              <w:spacing w:line="320" w:lineRule="atLeast"/>
              <w:jc w:val="center"/>
              <w:rPr>
                <w:rFonts w:ascii="宋体"/>
                <w:color w:val="auto"/>
                <w:szCs w:val="21"/>
              </w:rPr>
            </w:pPr>
            <w:r>
              <w:rPr>
                <w:rFonts w:hint="eastAsia" w:ascii="宋体"/>
                <w:color w:val="auto"/>
                <w:szCs w:val="21"/>
              </w:rPr>
              <w:t>2</w:t>
            </w:r>
          </w:p>
        </w:tc>
        <w:tc>
          <w:tcPr>
            <w:tcW w:w="1204" w:type="dxa"/>
            <w:vMerge w:val="restart"/>
            <w:vAlign w:val="center"/>
          </w:tcPr>
          <w:p>
            <w:pPr>
              <w:spacing w:line="320" w:lineRule="atLeast"/>
              <w:rPr>
                <w:rFonts w:ascii="宋体" w:cs="仿宋_GB2312"/>
                <w:color w:val="auto"/>
                <w:szCs w:val="21"/>
                <w:lang w:val="zh-CN"/>
              </w:rPr>
            </w:pPr>
            <w:r>
              <w:rPr>
                <w:rFonts w:hint="eastAsia" w:ascii="宋体" w:cs="仿宋_GB2312"/>
                <w:color w:val="auto"/>
                <w:szCs w:val="21"/>
                <w:lang w:val="zh-CN"/>
              </w:rPr>
              <w:t>标书的完整 性</w:t>
            </w:r>
          </w:p>
        </w:tc>
        <w:tc>
          <w:tcPr>
            <w:tcW w:w="2931" w:type="dxa"/>
            <w:vAlign w:val="center"/>
          </w:tcPr>
          <w:p>
            <w:pPr>
              <w:spacing w:line="320" w:lineRule="atLeast"/>
              <w:rPr>
                <w:rFonts w:ascii="宋体" w:cs="宋体"/>
                <w:color w:val="auto"/>
                <w:szCs w:val="21"/>
              </w:rPr>
            </w:pPr>
            <w:r>
              <w:rPr>
                <w:rFonts w:hint="eastAsia" w:ascii="宋体" w:cs="仿宋_GB2312"/>
                <w:color w:val="auto"/>
                <w:szCs w:val="21"/>
                <w:lang w:val="zh-CN"/>
              </w:rPr>
              <w:t>（</w:t>
            </w:r>
            <w:r>
              <w:rPr>
                <w:rFonts w:hint="eastAsia" w:ascii="宋体" w:cs="仿宋_GB2312"/>
                <w:color w:val="auto"/>
                <w:szCs w:val="21"/>
              </w:rPr>
              <w:t>4</w:t>
            </w:r>
            <w:r>
              <w:rPr>
                <w:rFonts w:hint="eastAsia" w:ascii="宋体" w:cs="仿宋_GB2312"/>
                <w:color w:val="auto"/>
                <w:szCs w:val="21"/>
                <w:lang w:val="zh-CN"/>
              </w:rPr>
              <w:t>）投标文件份数</w:t>
            </w:r>
          </w:p>
        </w:tc>
        <w:tc>
          <w:tcPr>
            <w:tcW w:w="4602" w:type="dxa"/>
            <w:vAlign w:val="center"/>
          </w:tcPr>
          <w:p>
            <w:pPr>
              <w:spacing w:line="320" w:lineRule="atLeast"/>
              <w:rPr>
                <w:rFonts w:ascii="宋体" w:cs="宋体"/>
                <w:color w:val="auto"/>
                <w:szCs w:val="21"/>
              </w:rPr>
            </w:pPr>
            <w:r>
              <w:rPr>
                <w:rFonts w:hint="eastAsia" w:ascii="宋体" w:hAnsi="宋体" w:cs="宋体"/>
                <w:color w:val="auto"/>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w:t>
            </w:r>
            <w:r>
              <w:rPr>
                <w:rFonts w:hint="eastAsia" w:ascii="宋体" w:cs="仿宋_GB2312"/>
                <w:color w:val="auto"/>
                <w:szCs w:val="21"/>
              </w:rPr>
              <w:t>5</w:t>
            </w:r>
            <w:r>
              <w:rPr>
                <w:rFonts w:hint="eastAsia" w:ascii="宋体" w:cs="仿宋_GB2312"/>
                <w:color w:val="auto"/>
                <w:szCs w:val="21"/>
                <w:lang w:val="zh-CN"/>
              </w:rPr>
              <w:t>）投标文件形式内容</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rPr>
            </w:pPr>
            <w:r>
              <w:rPr>
                <w:rFonts w:hint="eastAsia" w:ascii="宋体"/>
                <w:color w:val="auto"/>
                <w:szCs w:val="21"/>
              </w:rPr>
              <w:t>3</w:t>
            </w:r>
          </w:p>
        </w:tc>
        <w:tc>
          <w:tcPr>
            <w:tcW w:w="1204" w:type="dxa"/>
            <w:vMerge w:val="restart"/>
            <w:vAlign w:val="center"/>
          </w:tcPr>
          <w:p>
            <w:pPr>
              <w:spacing w:line="320" w:lineRule="atLeast"/>
              <w:rPr>
                <w:rFonts w:ascii="宋体" w:cs="仿宋_GB2312"/>
                <w:color w:val="auto"/>
                <w:szCs w:val="21"/>
                <w:lang w:val="zh-CN"/>
              </w:rPr>
            </w:pPr>
            <w:r>
              <w:rPr>
                <w:rFonts w:hint="eastAsia" w:ascii="宋体" w:cs="仿宋_GB2312"/>
                <w:color w:val="auto"/>
                <w:szCs w:val="21"/>
                <w:lang w:val="zh-CN"/>
              </w:rPr>
              <w:t>标书的响应程度</w:t>
            </w: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w:t>
            </w:r>
            <w:r>
              <w:rPr>
                <w:rFonts w:hint="eastAsia" w:ascii="宋体" w:cs="仿宋_GB2312"/>
                <w:color w:val="auto"/>
                <w:szCs w:val="21"/>
              </w:rPr>
              <w:t>6</w:t>
            </w:r>
            <w:r>
              <w:rPr>
                <w:rFonts w:hint="eastAsia" w:ascii="宋体" w:cs="仿宋_GB2312"/>
                <w:color w:val="auto"/>
                <w:szCs w:val="21"/>
                <w:lang w:val="zh-CN"/>
              </w:rPr>
              <w:t>）技术参数响应程度</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响应或优于交易文件要求。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w:t>
            </w:r>
            <w:r>
              <w:rPr>
                <w:rFonts w:hint="eastAsia" w:ascii="宋体" w:cs="仿宋_GB2312"/>
                <w:color w:val="auto"/>
                <w:szCs w:val="21"/>
              </w:rPr>
              <w:t>7</w:t>
            </w:r>
            <w:r>
              <w:rPr>
                <w:rFonts w:hint="eastAsia" w:ascii="宋体" w:cs="仿宋_GB2312"/>
                <w:color w:val="auto"/>
                <w:szCs w:val="21"/>
                <w:lang w:val="zh-CN"/>
              </w:rPr>
              <w:t>）商务条款响应程度（包括供货期、售后服务、技术培训等）</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响应或优于</w:t>
            </w:r>
            <w:r>
              <w:rPr>
                <w:rFonts w:hint="eastAsia" w:ascii="宋体" w:hAnsi="宋体" w:cs="宋体"/>
                <w:color w:val="auto"/>
                <w:szCs w:val="21"/>
                <w:lang w:val="zh-CN"/>
              </w:rPr>
              <w:t>交易文件要求。</w:t>
            </w:r>
          </w:p>
        </w:tc>
      </w:tr>
    </w:tbl>
    <w:p>
      <w:pPr>
        <w:spacing w:line="400" w:lineRule="exact"/>
        <w:ind w:firstLine="506" w:firstLineChars="241"/>
        <w:rPr>
          <w:rFonts w:ascii="宋体"/>
          <w:color w:val="auto"/>
          <w:szCs w:val="21"/>
        </w:rPr>
      </w:pPr>
      <w:r>
        <w:rPr>
          <w:rFonts w:hint="eastAsia" w:ascii="宋体"/>
          <w:color w:val="auto"/>
          <w:szCs w:val="21"/>
        </w:rPr>
        <w:t>4.2评委会判定投标文件的响应性只根据投标文件本身的内容，而不寻求外部的证据，但投标有不真实不正确的内容时除外。</w:t>
      </w:r>
    </w:p>
    <w:p>
      <w:pPr>
        <w:spacing w:line="400" w:lineRule="exact"/>
        <w:ind w:firstLine="506" w:firstLineChars="241"/>
        <w:rPr>
          <w:rFonts w:ascii="宋体"/>
          <w:color w:val="auto"/>
          <w:szCs w:val="21"/>
        </w:rPr>
      </w:pPr>
      <w:r>
        <w:rPr>
          <w:rFonts w:hint="eastAsia" w:ascii="宋体"/>
          <w:color w:val="auto"/>
          <w:szCs w:val="21"/>
        </w:rPr>
        <w:t>4.3如果投标文件实质上没有响应交易文件的要求，评委会将予以拒绝，投标人不得通过修正或撤销不符合要求的偏离或保留，而使其投标成为实质上响应的投标。</w:t>
      </w:r>
    </w:p>
    <w:p>
      <w:pPr>
        <w:spacing w:line="400" w:lineRule="exact"/>
        <w:ind w:firstLine="420" w:firstLineChars="200"/>
        <w:rPr>
          <w:rFonts w:ascii="宋体"/>
          <w:color w:val="auto"/>
          <w:szCs w:val="21"/>
        </w:rPr>
      </w:pPr>
      <w:r>
        <w:rPr>
          <w:rFonts w:hint="eastAsia" w:ascii="宋体"/>
          <w:color w:val="auto"/>
          <w:szCs w:val="21"/>
        </w:rPr>
        <w:t xml:space="preserve"> 4.4投标人</w:t>
      </w:r>
      <w:r>
        <w:rPr>
          <w:rFonts w:hint="eastAsia" w:ascii="宋体"/>
          <w:color w:val="auto"/>
          <w:szCs w:val="21"/>
          <w:lang w:val="en-US" w:eastAsia="zh-CN"/>
        </w:rPr>
        <w:t>可以</w:t>
      </w:r>
      <w:r>
        <w:rPr>
          <w:rFonts w:hint="eastAsia" w:ascii="宋体"/>
          <w:color w:val="auto"/>
          <w:szCs w:val="21"/>
        </w:rPr>
        <w:t>对评标委员会的评审结论提出异议，评标委员会根据交易文件及有关规定对投标人的异议进行复议</w:t>
      </w:r>
    </w:p>
    <w:p>
      <w:pPr>
        <w:spacing w:line="400" w:lineRule="exact"/>
        <w:ind w:firstLine="525" w:firstLineChars="250"/>
        <w:rPr>
          <w:rFonts w:ascii="宋体" w:hAnsi="宋体"/>
          <w:b/>
          <w:color w:val="auto"/>
          <w:szCs w:val="21"/>
        </w:rPr>
      </w:pPr>
      <w:r>
        <w:rPr>
          <w:rFonts w:hint="eastAsia" w:ascii="宋体"/>
          <w:color w:val="auto"/>
          <w:szCs w:val="21"/>
        </w:rPr>
        <w:t>4.5只有通过初审的投标人才能进入下一步评标程序。</w:t>
      </w:r>
    </w:p>
    <w:p>
      <w:pPr>
        <w:spacing w:before="312" w:beforeLines="100" w:line="400" w:lineRule="exact"/>
        <w:jc w:val="center"/>
        <w:outlineLvl w:val="1"/>
        <w:rPr>
          <w:rFonts w:ascii="宋体"/>
          <w:b/>
          <w:color w:val="auto"/>
          <w:sz w:val="24"/>
        </w:rPr>
      </w:pPr>
      <w:bookmarkStart w:id="540" w:name="_Toc12765"/>
      <w:bookmarkStart w:id="541" w:name="_Toc6216"/>
      <w:bookmarkStart w:id="542" w:name="_Toc469495734"/>
      <w:bookmarkStart w:id="543" w:name="_Toc362983803"/>
      <w:bookmarkStart w:id="544" w:name="_Toc307"/>
      <w:r>
        <w:rPr>
          <w:rFonts w:hint="eastAsia" w:ascii="宋体"/>
          <w:b/>
          <w:color w:val="auto"/>
          <w:sz w:val="24"/>
        </w:rPr>
        <w:t>三  投标文件的澄清和补正</w:t>
      </w:r>
      <w:bookmarkEnd w:id="540"/>
      <w:bookmarkEnd w:id="541"/>
      <w:bookmarkEnd w:id="542"/>
      <w:bookmarkEnd w:id="543"/>
      <w:bookmarkEnd w:id="544"/>
    </w:p>
    <w:p>
      <w:pPr>
        <w:spacing w:line="380" w:lineRule="exact"/>
        <w:ind w:firstLine="527" w:firstLineChars="250"/>
        <w:rPr>
          <w:rFonts w:ascii="宋体"/>
          <w:color w:val="auto"/>
          <w:szCs w:val="21"/>
        </w:rPr>
      </w:pPr>
      <w:r>
        <w:rPr>
          <w:rFonts w:hint="eastAsia" w:ascii="宋体" w:hAnsi="宋体" w:cs="宋体"/>
          <w:b/>
          <w:bCs/>
          <w:color w:val="auto"/>
          <w:szCs w:val="21"/>
        </w:rPr>
        <w:t>5.1</w:t>
      </w:r>
      <w:r>
        <w:rPr>
          <w:rFonts w:hint="eastAsia" w:ascii="宋体"/>
          <w:color w:val="auto"/>
          <w:szCs w:val="21"/>
        </w:rPr>
        <w:t>评委会修正错误的原则：</w:t>
      </w:r>
    </w:p>
    <w:p>
      <w:pPr>
        <w:spacing w:line="380" w:lineRule="exact"/>
        <w:ind w:firstLine="525" w:firstLineChars="250"/>
        <w:rPr>
          <w:rFonts w:ascii="宋体"/>
          <w:color w:val="auto"/>
          <w:szCs w:val="21"/>
        </w:rPr>
      </w:pPr>
      <w:r>
        <w:rPr>
          <w:rFonts w:hint="eastAsia" w:ascii="宋体"/>
          <w:color w:val="auto"/>
          <w:szCs w:val="21"/>
        </w:rPr>
        <w:t>5.1.1如果数字表示的金额和用文字表示的金额不一致时，以文字表示的金额为准；当货物服务报价表、投标函的总报价与开标一览表不一致时，以开标一览表为准。</w:t>
      </w:r>
    </w:p>
    <w:p>
      <w:pPr>
        <w:spacing w:line="380" w:lineRule="exact"/>
        <w:ind w:firstLine="525" w:firstLineChars="250"/>
        <w:rPr>
          <w:rFonts w:ascii="宋体"/>
          <w:color w:val="auto"/>
          <w:szCs w:val="21"/>
        </w:rPr>
      </w:pPr>
      <w:r>
        <w:rPr>
          <w:rFonts w:hint="eastAsia" w:ascii="宋体"/>
          <w:color w:val="auto"/>
          <w:szCs w:val="21"/>
        </w:rPr>
        <w:t>5.1.2如果单价与数量的乘积和总价不一致，以单价为准，修正总价及开标一览表；当单价小数点有明显的错位时，评委会将以总价为准，并修正其单价。</w:t>
      </w:r>
    </w:p>
    <w:p>
      <w:pPr>
        <w:spacing w:line="380" w:lineRule="exact"/>
        <w:ind w:firstLine="403" w:firstLineChars="192"/>
        <w:rPr>
          <w:rFonts w:ascii="宋体"/>
          <w:b/>
          <w:color w:val="auto"/>
          <w:sz w:val="24"/>
        </w:rPr>
      </w:pPr>
      <w:r>
        <w:rPr>
          <w:rFonts w:hint="eastAsia" w:ascii="宋体"/>
          <w:color w:val="auto"/>
          <w:szCs w:val="21"/>
        </w:rPr>
        <w:t xml:space="preserve"> 5.2评委会将按上述修正错误的方法调整投标文件中的投标报价，调整后的价格应对投标人具有约束力。无论投标人是接受或是拒绝调整后的价格，都应当由</w:t>
      </w:r>
      <w:r>
        <w:rPr>
          <w:rFonts w:hint="eastAsia" w:ascii="宋体" w:hAnsi="宋体" w:cs="宋体"/>
          <w:b/>
          <w:bCs/>
          <w:color w:val="auto"/>
          <w:szCs w:val="21"/>
        </w:rPr>
        <w:t>投标人进行有效确认</w:t>
      </w:r>
      <w:r>
        <w:rPr>
          <w:rFonts w:hint="eastAsia" w:ascii="宋体"/>
          <w:color w:val="auto"/>
          <w:szCs w:val="21"/>
        </w:rPr>
        <w:t>。投标人拒绝对投标文件出现的错漏按上述原则进行修正、澄清、说明，评标委员会应当否决其投标。</w:t>
      </w:r>
      <w:bookmarkStart w:id="545" w:name="_Toc469495735"/>
    </w:p>
    <w:p>
      <w:pPr>
        <w:spacing w:line="380" w:lineRule="exact"/>
        <w:jc w:val="center"/>
        <w:outlineLvl w:val="1"/>
        <w:rPr>
          <w:rFonts w:ascii="宋体"/>
          <w:b/>
          <w:color w:val="auto"/>
          <w:sz w:val="24"/>
        </w:rPr>
      </w:pPr>
      <w:bookmarkStart w:id="546" w:name="_Toc25675"/>
      <w:bookmarkStart w:id="547" w:name="_Toc18854"/>
      <w:bookmarkStart w:id="548" w:name="_Toc18354"/>
      <w:r>
        <w:rPr>
          <w:rFonts w:hint="eastAsia" w:ascii="宋体"/>
          <w:b/>
          <w:color w:val="auto"/>
          <w:sz w:val="24"/>
        </w:rPr>
        <w:t>四 比较与评价</w:t>
      </w:r>
      <w:bookmarkEnd w:id="545"/>
      <w:bookmarkEnd w:id="546"/>
      <w:bookmarkEnd w:id="547"/>
      <w:bookmarkEnd w:id="548"/>
    </w:p>
    <w:p>
      <w:pPr>
        <w:spacing w:line="400" w:lineRule="exact"/>
        <w:ind w:firstLine="417" w:firstLineChars="198"/>
        <w:rPr>
          <w:rFonts w:ascii="宋体"/>
          <w:b/>
          <w:color w:val="auto"/>
          <w:szCs w:val="21"/>
        </w:rPr>
      </w:pPr>
      <w:r>
        <w:rPr>
          <w:rFonts w:hint="eastAsia" w:ascii="宋体" w:hAnsi="宋体"/>
          <w:b/>
          <w:color w:val="auto"/>
          <w:szCs w:val="21"/>
        </w:rPr>
        <w:t xml:space="preserve"> 6. </w:t>
      </w:r>
      <w:r>
        <w:rPr>
          <w:rFonts w:hint="eastAsia" w:ascii="宋体"/>
          <w:b/>
          <w:color w:val="auto"/>
          <w:szCs w:val="21"/>
        </w:rPr>
        <w:t>详细评审即按招标文件中规定的评标方法和标准，评标委员会将对通过初审的投标文件，进行资信、技术和商务部分评估、综合比较与评价。</w:t>
      </w:r>
    </w:p>
    <w:p>
      <w:pPr>
        <w:spacing w:line="400" w:lineRule="exact"/>
        <w:rPr>
          <w:rFonts w:ascii="宋体" w:hAnsi="宋体"/>
          <w:b/>
          <w:color w:val="auto"/>
          <w:sz w:val="24"/>
        </w:rPr>
      </w:pPr>
      <w:r>
        <w:rPr>
          <w:rFonts w:hint="eastAsia" w:ascii="宋体" w:hAnsi="宋体"/>
          <w:b/>
          <w:color w:val="auto"/>
          <w:sz w:val="24"/>
        </w:rPr>
        <w:t>6.1资信标评审细则（</w:t>
      </w:r>
      <w:r>
        <w:rPr>
          <w:rFonts w:hint="eastAsia" w:ascii="宋体" w:hAnsi="宋体"/>
          <w:b/>
          <w:color w:val="auto"/>
          <w:sz w:val="24"/>
          <w:lang w:val="en-US" w:eastAsia="zh-CN"/>
        </w:rPr>
        <w:t>40</w:t>
      </w:r>
      <w:r>
        <w:rPr>
          <w:rFonts w:hint="eastAsia" w:ascii="宋体" w:hAnsi="宋体"/>
          <w:b/>
          <w:color w:val="auto"/>
          <w:sz w:val="24"/>
        </w:rPr>
        <w:t>分）</w:t>
      </w:r>
    </w:p>
    <w:tbl>
      <w:tblPr>
        <w:tblStyle w:val="51"/>
        <w:tblW w:w="6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60"/>
        <w:gridCol w:w="6177"/>
        <w:gridCol w:w="889"/>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序号</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rPr>
            </w:pPr>
            <w:r>
              <w:rPr>
                <w:rFonts w:hint="eastAsia" w:ascii="宋体" w:hAnsi="宋体" w:cs="宋体"/>
                <w:color w:val="auto"/>
                <w:sz w:val="21"/>
                <w:szCs w:val="21"/>
              </w:rPr>
              <w:t>评分因素</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rPr>
            </w:pPr>
            <w:r>
              <w:rPr>
                <w:rFonts w:hint="eastAsia" w:ascii="宋体" w:hAnsi="宋体" w:cs="宋体"/>
                <w:color w:val="auto"/>
                <w:sz w:val="21"/>
                <w:szCs w:val="21"/>
              </w:rPr>
              <w:t>评审标准</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rPr>
            </w:pPr>
            <w:r>
              <w:rPr>
                <w:rFonts w:hint="eastAsia" w:ascii="宋体" w:hAnsi="宋体" w:cs="宋体"/>
                <w:color w:val="auto"/>
                <w:sz w:val="21"/>
                <w:szCs w:val="21"/>
              </w:rPr>
              <w:t>分值</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rPr>
            </w:pPr>
            <w:r>
              <w:rPr>
                <w:rFonts w:hint="eastAsia" w:ascii="宋体" w:hAnsi="宋体" w:cs="宋体"/>
                <w:color w:val="auto"/>
                <w:sz w:val="21"/>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1</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投标人业绩</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color w:val="auto"/>
                <w:szCs w:val="21"/>
                <w:lang w:bidi="ar"/>
              </w:rPr>
            </w:pPr>
            <w:r>
              <w:rPr>
                <w:rFonts w:hint="eastAsia" w:ascii="宋体" w:hAnsi="宋体" w:cs="宋体"/>
                <w:color w:val="auto"/>
                <w:szCs w:val="21"/>
                <w:lang w:val="en-US" w:eastAsia="zh-CN" w:bidi="ar"/>
              </w:rPr>
              <w:t>投标人近三年每提供一个单项合同金额10万元及以上螺杆机组</w:t>
            </w:r>
            <w:r>
              <w:rPr>
                <w:rFonts w:hint="eastAsia" w:ascii="宋体" w:hAnsi="宋体" w:cs="宋体"/>
                <w:color w:val="auto"/>
                <w:szCs w:val="21"/>
                <w:lang w:bidi="ar"/>
              </w:rPr>
              <w:t>维保服务业绩</w:t>
            </w:r>
            <w:r>
              <w:rPr>
                <w:rFonts w:hint="eastAsia" w:ascii="宋体" w:hAnsi="宋体" w:cs="宋体"/>
                <w:color w:val="auto"/>
                <w:szCs w:val="21"/>
                <w:lang w:eastAsia="zh-CN" w:bidi="ar"/>
              </w:rPr>
              <w:t>的</w:t>
            </w:r>
            <w:r>
              <w:rPr>
                <w:rFonts w:hint="eastAsia" w:ascii="宋体" w:hAnsi="宋体" w:cs="宋体"/>
                <w:color w:val="auto"/>
                <w:szCs w:val="21"/>
                <w:lang w:bidi="ar"/>
              </w:rPr>
              <w:t xml:space="preserve">得 </w:t>
            </w:r>
            <w:r>
              <w:rPr>
                <w:rFonts w:hint="eastAsia" w:ascii="宋体" w:hAnsi="宋体" w:cs="宋体"/>
                <w:color w:val="auto"/>
                <w:szCs w:val="21"/>
                <w:lang w:val="en-US" w:eastAsia="zh-CN" w:bidi="ar"/>
              </w:rPr>
              <w:t>5</w:t>
            </w:r>
            <w:r>
              <w:rPr>
                <w:rFonts w:hint="eastAsia" w:ascii="宋体" w:hAnsi="宋体" w:cs="宋体"/>
                <w:color w:val="auto"/>
                <w:szCs w:val="21"/>
                <w:lang w:bidi="ar"/>
              </w:rPr>
              <w:t>分</w:t>
            </w:r>
            <w:r>
              <w:rPr>
                <w:rFonts w:hint="eastAsia" w:ascii="宋体" w:hAnsi="宋体" w:cs="宋体"/>
                <w:color w:val="auto"/>
                <w:szCs w:val="21"/>
                <w:lang w:eastAsia="zh-CN" w:bidi="ar"/>
              </w:rPr>
              <w:t>，满分</w:t>
            </w:r>
            <w:r>
              <w:rPr>
                <w:rFonts w:hint="eastAsia" w:ascii="宋体" w:hAnsi="宋体" w:cs="宋体"/>
                <w:color w:val="auto"/>
                <w:szCs w:val="21"/>
                <w:lang w:val="en-US" w:eastAsia="zh-CN" w:bidi="ar"/>
              </w:rPr>
              <w:t>10</w:t>
            </w:r>
            <w:r>
              <w:rPr>
                <w:rFonts w:hint="eastAsia" w:ascii="宋体" w:hAnsi="宋体" w:cs="宋体"/>
                <w:color w:val="auto"/>
                <w:szCs w:val="21"/>
                <w:lang w:bidi="ar"/>
              </w:rPr>
              <w:t>分。</w:t>
            </w:r>
          </w:p>
          <w:p>
            <w:pPr>
              <w:pStyle w:val="14"/>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b/>
                <w:bCs/>
                <w:color w:val="auto"/>
                <w:szCs w:val="21"/>
                <w:lang w:eastAsia="zh-CN" w:bidi="ar"/>
              </w:rPr>
            </w:pPr>
            <w:r>
              <w:rPr>
                <w:rFonts w:hint="eastAsia" w:ascii="宋体" w:hAnsi="宋体" w:cs="宋体"/>
                <w:color w:val="auto"/>
              </w:rPr>
              <w:t>须同时提供：业绩合同，业绩内容以合同内容为准；若上述证明材料不能明确反映项目类型等内容的，应另行提供委托单位出具并加盖其公章的证明材料。（须提供相关证明材料复印件或彩印件加盖供应商盖章，否则不得分）</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0-10</w:t>
            </w:r>
            <w:r>
              <w:rPr>
                <w:rFonts w:hint="eastAsia" w:ascii="宋体" w:hAnsi="宋体" w:cs="宋体"/>
                <w:color w:val="auto"/>
                <w:sz w:val="21"/>
                <w:szCs w:val="21"/>
                <w:highlight w:val="none"/>
              </w:rPr>
              <w:t>分</w:t>
            </w:r>
          </w:p>
        </w:tc>
        <w:tc>
          <w:tcPr>
            <w:tcW w:w="523" w:type="pct"/>
            <w:vMerge w:val="restart"/>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检验投标文件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2</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体系认证</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top"/>
          </w:tcPr>
          <w:p>
            <w:pPr>
              <w:pStyle w:val="14"/>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Cs w:val="21"/>
                <w:lang w:val="zh-CN" w:eastAsia="zh-CN" w:bidi="ar"/>
              </w:rPr>
            </w:pPr>
            <w:r>
              <w:rPr>
                <w:rFonts w:hint="eastAsia" w:ascii="宋体" w:hAnsi="宋体" w:eastAsia="宋体" w:cs="宋体"/>
                <w:color w:val="auto"/>
                <w:szCs w:val="21"/>
                <w:lang w:val="en-US" w:eastAsia="zh-CN" w:bidi="ar"/>
              </w:rPr>
              <w:t>投标人需具有ISO9001质量体系管理认证、ISO45001职业健康安全管理体系认证、ISO14001环境管理体系认证，</w:t>
            </w:r>
            <w:r>
              <w:rPr>
                <w:rFonts w:hint="eastAsia" w:ascii="宋体" w:hAnsi="宋体" w:eastAsia="宋体" w:cs="宋体"/>
                <w:color w:val="auto"/>
                <w:szCs w:val="21"/>
                <w:lang w:eastAsia="zh-CN" w:bidi="ar"/>
              </w:rPr>
              <w:t>每提供一个得</w:t>
            </w:r>
            <w:r>
              <w:rPr>
                <w:rFonts w:hint="eastAsia" w:ascii="宋体" w:hAnsi="宋体" w:eastAsia="宋体" w:cs="宋体"/>
                <w:color w:val="auto"/>
                <w:szCs w:val="21"/>
                <w:lang w:val="en-US" w:eastAsia="zh-CN" w:bidi="ar"/>
              </w:rPr>
              <w:t>2</w:t>
            </w:r>
            <w:r>
              <w:rPr>
                <w:rFonts w:hint="eastAsia" w:ascii="宋体" w:hAnsi="宋体" w:eastAsia="宋体" w:cs="宋体"/>
                <w:color w:val="auto"/>
                <w:szCs w:val="21"/>
                <w:lang w:eastAsia="zh-CN" w:bidi="ar"/>
              </w:rPr>
              <w:t>分，满分</w:t>
            </w:r>
            <w:r>
              <w:rPr>
                <w:rFonts w:hint="eastAsia" w:ascii="宋体" w:hAnsi="宋体" w:eastAsia="宋体" w:cs="宋体"/>
                <w:color w:val="auto"/>
                <w:szCs w:val="21"/>
                <w:lang w:val="en-US" w:eastAsia="zh-CN" w:bidi="ar"/>
              </w:rPr>
              <w:t>6</w:t>
            </w:r>
            <w:r>
              <w:rPr>
                <w:rFonts w:hint="eastAsia" w:ascii="宋体" w:hAnsi="宋体" w:eastAsia="宋体" w:cs="宋体"/>
                <w:color w:val="auto"/>
                <w:szCs w:val="21"/>
                <w:lang w:eastAsia="zh-CN" w:bidi="ar"/>
              </w:rPr>
              <w:t>分。</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0-6分</w:t>
            </w:r>
          </w:p>
        </w:tc>
        <w:tc>
          <w:tcPr>
            <w:tcW w:w="523" w:type="pct"/>
            <w:vMerge w:val="continue"/>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拟派作业人员</w:t>
            </w:r>
          </w:p>
        </w:tc>
        <w:tc>
          <w:tcPr>
            <w:tcW w:w="2980" w:type="pct"/>
            <w:tcBorders>
              <w:top w:val="single" w:color="auto" w:sz="4" w:space="0"/>
              <w:left w:val="single" w:color="auto" w:sz="4" w:space="0"/>
              <w:bottom w:val="single" w:color="auto" w:sz="4" w:space="0"/>
              <w:right w:val="single" w:color="auto" w:sz="4" w:space="0"/>
            </w:tcBorders>
            <w:shd w:val="clear" w:color="auto" w:fill="auto"/>
          </w:tcPr>
          <w:p>
            <w:pPr>
              <w:pStyle w:val="208"/>
              <w:numPr>
                <w:ilvl w:val="0"/>
                <w:numId w:val="0"/>
              </w:numPr>
              <w:spacing w:line="273" w:lineRule="auto"/>
              <w:ind w:right="98" w:rightChars="0"/>
              <w:rPr>
                <w:rFonts w:hint="eastAsia" w:ascii="宋体" w:hAnsi="宋体" w:eastAsia="宋体" w:cs="宋体"/>
                <w:b w:val="0"/>
                <w:bCs w:val="0"/>
                <w:color w:val="auto"/>
                <w:szCs w:val="21"/>
                <w:lang w:eastAsia="zh-CN" w:bidi="ar"/>
              </w:rPr>
            </w:pPr>
            <w:r>
              <w:rPr>
                <w:rFonts w:hint="eastAsia" w:ascii="宋体" w:hAnsi="宋体" w:cs="宋体"/>
                <w:b w:val="0"/>
                <w:bCs w:val="0"/>
                <w:color w:val="auto"/>
                <w:szCs w:val="21"/>
                <w:lang w:bidi="ar"/>
              </w:rPr>
              <w:t>投标人拟配备的作业人员具有技能主管部门核发的制冷</w:t>
            </w:r>
            <w:r>
              <w:rPr>
                <w:rFonts w:hint="eastAsia" w:ascii="宋体" w:hAnsi="宋体" w:cs="宋体"/>
                <w:b w:val="0"/>
                <w:bCs w:val="0"/>
                <w:color w:val="auto"/>
                <w:szCs w:val="21"/>
                <w:lang w:val="en-US" w:eastAsia="zh-CN" w:bidi="ar"/>
              </w:rPr>
              <w:t>或电工证书</w:t>
            </w:r>
            <w:r>
              <w:rPr>
                <w:rFonts w:hint="eastAsia" w:ascii="宋体" w:hAnsi="宋体" w:cs="宋体"/>
                <w:b w:val="0"/>
                <w:bCs w:val="0"/>
                <w:color w:val="auto"/>
                <w:szCs w:val="21"/>
                <w:lang w:bidi="ar"/>
              </w:rPr>
              <w:t>的，每人得</w:t>
            </w:r>
            <w:r>
              <w:rPr>
                <w:rFonts w:hint="eastAsia" w:ascii="宋体" w:hAnsi="宋体" w:cs="宋体"/>
                <w:b w:val="0"/>
                <w:bCs w:val="0"/>
                <w:color w:val="auto"/>
                <w:szCs w:val="21"/>
                <w:lang w:val="en-US" w:eastAsia="zh-CN" w:bidi="ar"/>
              </w:rPr>
              <w:t>2</w:t>
            </w:r>
            <w:r>
              <w:rPr>
                <w:rFonts w:hint="eastAsia" w:ascii="宋体" w:hAnsi="宋体" w:cs="宋体"/>
                <w:b w:val="0"/>
                <w:bCs w:val="0"/>
                <w:color w:val="auto"/>
                <w:szCs w:val="21"/>
                <w:lang w:bidi="ar"/>
              </w:rPr>
              <w:t>分</w:t>
            </w:r>
            <w:r>
              <w:rPr>
                <w:rFonts w:hint="eastAsia" w:ascii="宋体" w:hAnsi="宋体" w:cs="宋体"/>
                <w:b w:val="0"/>
                <w:bCs w:val="0"/>
                <w:color w:val="auto"/>
                <w:szCs w:val="21"/>
                <w:lang w:eastAsia="zh-CN" w:bidi="ar"/>
              </w:rPr>
              <w:t>。</w:t>
            </w:r>
            <w:r>
              <w:rPr>
                <w:rFonts w:hint="eastAsia" w:ascii="宋体" w:hAnsi="宋体" w:cs="宋体"/>
                <w:b w:val="0"/>
                <w:bCs w:val="0"/>
                <w:color w:val="auto"/>
                <w:szCs w:val="21"/>
                <w:lang w:bidi="ar"/>
              </w:rPr>
              <w:t>满分</w:t>
            </w:r>
            <w:r>
              <w:rPr>
                <w:rFonts w:hint="eastAsia" w:ascii="宋体" w:hAnsi="宋体" w:cs="宋体"/>
                <w:b w:val="0"/>
                <w:bCs w:val="0"/>
                <w:color w:val="auto"/>
                <w:szCs w:val="21"/>
                <w:lang w:val="en-US" w:eastAsia="zh-CN" w:bidi="ar"/>
              </w:rPr>
              <w:t>4</w:t>
            </w:r>
            <w:r>
              <w:rPr>
                <w:rFonts w:hint="eastAsia" w:ascii="宋体" w:hAnsi="宋体" w:cs="宋体"/>
                <w:b w:val="0"/>
                <w:bCs w:val="0"/>
                <w:color w:val="auto"/>
                <w:szCs w:val="21"/>
                <w:lang w:bidi="ar"/>
              </w:rPr>
              <w:t>分</w:t>
            </w:r>
            <w:r>
              <w:rPr>
                <w:rFonts w:hint="eastAsia" w:ascii="宋体" w:hAnsi="宋体" w:cs="宋体"/>
                <w:b w:val="0"/>
                <w:bCs w:val="0"/>
                <w:color w:val="auto"/>
                <w:szCs w:val="21"/>
                <w:lang w:eastAsia="zh-CN" w:bidi="ar"/>
              </w:rPr>
              <w:t>。</w:t>
            </w:r>
          </w:p>
          <w:p>
            <w:pPr>
              <w:pStyle w:val="14"/>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color w:val="auto"/>
                <w:sz w:val="21"/>
                <w:szCs w:val="21"/>
                <w:highlight w:val="none"/>
                <w:vertAlign w:val="baseline"/>
                <w:lang w:val="en-US" w:eastAsia="zh-CN"/>
              </w:rPr>
            </w:pPr>
            <w:r>
              <w:rPr>
                <w:rFonts w:hint="eastAsia" w:ascii="宋体" w:hAnsi="宋体" w:cs="宋体"/>
                <w:b/>
                <w:bCs/>
                <w:color w:val="auto"/>
                <w:szCs w:val="21"/>
                <w:lang w:bidi="ar"/>
              </w:rPr>
              <w:t>注</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bidi="ar"/>
              </w:rPr>
              <w:t>投标文件中提供证书复印件加盖</w:t>
            </w:r>
            <w:r>
              <w:rPr>
                <w:rFonts w:hint="eastAsia" w:ascii="宋体" w:hAnsi="宋体" w:eastAsia="宋体" w:cs="宋体"/>
                <w:b/>
                <w:bCs/>
                <w:color w:val="auto"/>
                <w:szCs w:val="21"/>
                <w:lang w:val="en-US" w:eastAsia="zh-CN" w:bidi="ar"/>
              </w:rPr>
              <w:t>投标人</w:t>
            </w:r>
            <w:r>
              <w:rPr>
                <w:rFonts w:hint="eastAsia" w:ascii="宋体" w:hAnsi="宋体" w:eastAsia="宋体" w:cs="宋体"/>
                <w:b/>
                <w:bCs/>
                <w:color w:val="auto"/>
                <w:szCs w:val="21"/>
                <w:lang w:bidi="ar"/>
              </w:rPr>
              <w:t>公章</w:t>
            </w:r>
            <w:r>
              <w:rPr>
                <w:rFonts w:hint="eastAsia" w:ascii="宋体" w:hAnsi="宋体" w:eastAsia="宋体" w:cs="宋体"/>
                <w:b/>
                <w:bCs/>
                <w:color w:val="auto"/>
                <w:szCs w:val="21"/>
                <w:lang w:eastAsia="zh-CN" w:bidi="ar"/>
              </w:rPr>
              <w:t>，</w:t>
            </w:r>
            <w:r>
              <w:rPr>
                <w:rFonts w:hint="eastAsia" w:ascii="宋体" w:hAnsi="宋体" w:cs="宋体"/>
                <w:b/>
                <w:bCs/>
                <w:color w:val="auto"/>
                <w:szCs w:val="21"/>
                <w:lang w:bidi="ar"/>
              </w:rPr>
              <w:t>所有人员需提供证书复印件及人员社保证明；社保证明为社保部门出具的本单位为其缴纳的投标前近</w:t>
            </w:r>
            <w:r>
              <w:rPr>
                <w:rFonts w:hint="eastAsia" w:ascii="宋体" w:hAnsi="宋体" w:cs="宋体"/>
                <w:b/>
                <w:bCs/>
                <w:color w:val="auto"/>
                <w:szCs w:val="21"/>
                <w:lang w:val="en-US" w:eastAsia="zh-CN" w:bidi="ar"/>
              </w:rPr>
              <w:t>三</w:t>
            </w:r>
            <w:r>
              <w:rPr>
                <w:rFonts w:hint="eastAsia" w:ascii="宋体" w:hAnsi="宋体" w:cs="宋体"/>
                <w:b/>
                <w:bCs/>
                <w:color w:val="auto"/>
                <w:szCs w:val="21"/>
                <w:lang w:bidi="ar"/>
              </w:rPr>
              <w:t>个月连续的社保缴纳证明（含官网在线打印件）。</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lang w:val="en-US" w:eastAsia="zh-CN"/>
              </w:rPr>
            </w:pPr>
            <w:r>
              <w:rPr>
                <w:rFonts w:hint="eastAsia"/>
                <w:color w:val="auto"/>
                <w:sz w:val="21"/>
                <w:szCs w:val="21"/>
                <w:lang w:val="en-US" w:eastAsia="zh-CN"/>
              </w:rPr>
              <w:t>0-4分</w:t>
            </w:r>
          </w:p>
        </w:tc>
        <w:tc>
          <w:tcPr>
            <w:tcW w:w="523" w:type="pct"/>
            <w:vMerge w:val="continue"/>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Times New Roman" w:eastAsia="宋体" w:cs="Times New Roman"/>
                <w:color w:val="auto"/>
                <w:kern w:val="2"/>
                <w:sz w:val="21"/>
                <w:szCs w:val="21"/>
                <w:lang w:val="en-US" w:eastAsia="zh-CN" w:bidi="ar-SA"/>
              </w:rPr>
            </w:pPr>
            <w:r>
              <w:rPr>
                <w:rFonts w:hint="eastAsia" w:ascii="宋体" w:eastAsia="宋体"/>
                <w:color w:val="auto"/>
                <w:szCs w:val="21"/>
                <w:lang w:val="en-US" w:eastAsia="zh-CN"/>
              </w:rPr>
              <w:t xml:space="preserve">主机配件承诺  </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8"/>
              <w:numPr>
                <w:ilvl w:val="0"/>
                <w:numId w:val="0"/>
              </w:numPr>
              <w:spacing w:line="273" w:lineRule="auto"/>
              <w:ind w:right="98" w:rightChars="0"/>
              <w:rPr>
                <w:rFonts w:hint="eastAsia" w:ascii="宋体" w:hAnsi="宋体" w:cs="宋体"/>
                <w:b w:val="0"/>
                <w:bCs w:val="0"/>
                <w:color w:val="auto"/>
                <w:szCs w:val="21"/>
                <w:lang w:val="en-US" w:eastAsia="zh-CN" w:bidi="ar"/>
              </w:rPr>
            </w:pPr>
            <w:r>
              <w:rPr>
                <w:rFonts w:hint="eastAsia" w:ascii="宋体" w:hAnsi="宋体" w:cs="宋体"/>
                <w:b w:val="0"/>
                <w:bCs w:val="0"/>
                <w:color w:val="auto"/>
                <w:szCs w:val="21"/>
                <w:lang w:val="en-US" w:eastAsia="zh-CN" w:bidi="ar"/>
              </w:rPr>
              <w:t>投标人</w:t>
            </w:r>
            <w:r>
              <w:rPr>
                <w:rFonts w:hint="eastAsia" w:cs="宋体"/>
                <w:b w:val="0"/>
                <w:bCs w:val="0"/>
                <w:color w:val="auto"/>
                <w:szCs w:val="21"/>
                <w:lang w:val="en-US" w:eastAsia="zh-CN" w:bidi="ar"/>
              </w:rPr>
              <w:t>需</w:t>
            </w:r>
            <w:r>
              <w:rPr>
                <w:rFonts w:hint="eastAsia" w:ascii="宋体" w:hAnsi="宋体" w:cs="宋体"/>
                <w:b w:val="0"/>
                <w:bCs w:val="0"/>
                <w:color w:val="auto"/>
                <w:szCs w:val="21"/>
                <w:lang w:val="en-US" w:eastAsia="zh-CN" w:bidi="ar"/>
              </w:rPr>
              <w:t>提供螺杆机及离心机主机</w:t>
            </w:r>
            <w:r>
              <w:rPr>
                <w:rFonts w:hint="eastAsia" w:cs="宋体"/>
                <w:b w:val="0"/>
                <w:bCs w:val="0"/>
                <w:color w:val="auto"/>
                <w:szCs w:val="21"/>
                <w:lang w:val="en-US" w:eastAsia="zh-CN" w:bidi="ar"/>
              </w:rPr>
              <w:t>（</w:t>
            </w:r>
            <w:r>
              <w:rPr>
                <w:rFonts w:hint="eastAsia" w:ascii="宋体" w:hAnsi="宋体" w:cs="宋体"/>
                <w:b w:val="0"/>
                <w:bCs w:val="0"/>
                <w:color w:val="auto"/>
                <w:szCs w:val="21"/>
                <w:lang w:val="en-US" w:eastAsia="zh-CN" w:bidi="ar"/>
              </w:rPr>
              <w:t>美的和约克</w:t>
            </w:r>
            <w:r>
              <w:rPr>
                <w:rFonts w:hint="eastAsia" w:cs="宋体"/>
                <w:b w:val="0"/>
                <w:bCs w:val="0"/>
                <w:color w:val="auto"/>
                <w:szCs w:val="21"/>
                <w:lang w:val="en-US" w:eastAsia="zh-CN" w:bidi="ar"/>
              </w:rPr>
              <w:t>）</w:t>
            </w:r>
            <w:r>
              <w:rPr>
                <w:rFonts w:hint="eastAsia" w:ascii="宋体" w:hAnsi="宋体" w:cs="宋体"/>
                <w:b w:val="0"/>
                <w:bCs w:val="0"/>
                <w:color w:val="auto"/>
                <w:szCs w:val="21"/>
                <w:lang w:val="en-US" w:eastAsia="zh-CN" w:bidi="ar"/>
              </w:rPr>
              <w:t>原厂配件供应承诺书</w:t>
            </w:r>
            <w:r>
              <w:rPr>
                <w:rFonts w:hint="eastAsia" w:cs="宋体"/>
                <w:b w:val="0"/>
                <w:bCs w:val="0"/>
                <w:color w:val="auto"/>
                <w:szCs w:val="21"/>
                <w:lang w:val="en-US" w:eastAsia="zh-CN" w:bidi="ar"/>
              </w:rPr>
              <w:t>，每提供一个</w:t>
            </w:r>
            <w:r>
              <w:rPr>
                <w:rFonts w:hint="eastAsia" w:ascii="宋体" w:hAnsi="宋体" w:cs="宋体"/>
                <w:b w:val="0"/>
                <w:bCs w:val="0"/>
                <w:color w:val="auto"/>
                <w:szCs w:val="21"/>
                <w:lang w:val="en-US" w:eastAsia="zh-CN" w:bidi="ar"/>
              </w:rPr>
              <w:t>得5分，满分10分。</w:t>
            </w:r>
          </w:p>
          <w:p>
            <w:pPr>
              <w:pStyle w:val="208"/>
              <w:numPr>
                <w:ilvl w:val="0"/>
                <w:numId w:val="0"/>
              </w:numPr>
              <w:spacing w:line="273" w:lineRule="auto"/>
              <w:ind w:right="98" w:rightChars="0"/>
              <w:rPr>
                <w:rFonts w:hint="eastAsia" w:ascii="宋体" w:hAnsi="宋体" w:eastAsia="宋体" w:cs="宋体"/>
                <w:b w:val="0"/>
                <w:bCs w:val="0"/>
                <w:color w:val="auto"/>
                <w:kern w:val="2"/>
                <w:sz w:val="21"/>
                <w:szCs w:val="21"/>
                <w:lang w:val="en-US" w:eastAsia="zh-CN" w:bidi="ar"/>
              </w:rPr>
            </w:pPr>
            <w:r>
              <w:rPr>
                <w:rFonts w:hint="eastAsia" w:ascii="宋体" w:hAnsi="宋体" w:cs="宋体"/>
                <w:b/>
                <w:bCs/>
                <w:color w:val="auto"/>
                <w:szCs w:val="21"/>
                <w:lang w:val="en-US" w:eastAsia="zh-CN" w:bidi="ar"/>
              </w:rPr>
              <w:t>注：承诺书格式自拟，须加盖厂家公章。</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lang w:val="en-US" w:eastAsia="zh-CN"/>
              </w:rPr>
            </w:pPr>
            <w:r>
              <w:rPr>
                <w:rFonts w:hint="eastAsia"/>
                <w:color w:val="auto"/>
                <w:sz w:val="21"/>
                <w:szCs w:val="21"/>
                <w:lang w:val="en-US" w:eastAsia="zh-CN"/>
              </w:rPr>
              <w:t>0-10分</w:t>
            </w:r>
          </w:p>
        </w:tc>
        <w:tc>
          <w:tcPr>
            <w:tcW w:w="523" w:type="pct"/>
            <w:vMerge w:val="continue"/>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eastAsia="宋体"/>
                <w:color w:val="auto"/>
                <w:szCs w:val="21"/>
                <w:lang w:val="en-US" w:eastAsia="zh-CN"/>
              </w:rPr>
            </w:pPr>
            <w:r>
              <w:rPr>
                <w:rFonts w:hint="eastAsia" w:ascii="宋体" w:eastAsia="宋体"/>
                <w:color w:val="auto"/>
                <w:szCs w:val="21"/>
                <w:lang w:val="en-US" w:eastAsia="zh-CN"/>
              </w:rPr>
              <w:t>安全生产能力</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8"/>
              <w:numPr>
                <w:ilvl w:val="0"/>
                <w:numId w:val="0"/>
              </w:numPr>
              <w:spacing w:line="273" w:lineRule="auto"/>
              <w:ind w:right="98" w:rightChars="0"/>
              <w:rPr>
                <w:rFonts w:hint="eastAsia" w:ascii="宋体" w:hAnsi="宋体" w:eastAsia="宋体" w:cs="宋体"/>
                <w:b w:val="0"/>
                <w:bCs w:val="0"/>
                <w:color w:val="auto"/>
                <w:szCs w:val="21"/>
                <w:lang w:val="en-US" w:eastAsia="zh-CN" w:bidi="ar"/>
              </w:rPr>
            </w:pPr>
            <w:r>
              <w:rPr>
                <w:rFonts w:hint="eastAsia" w:ascii="宋体" w:hAnsi="宋体" w:eastAsia="宋体" w:cs="宋体"/>
                <w:b w:val="0"/>
                <w:bCs w:val="0"/>
                <w:color w:val="auto"/>
                <w:szCs w:val="21"/>
                <w:lang w:val="en-US" w:eastAsia="zh-CN" w:bidi="ar"/>
              </w:rPr>
              <w:t>投标人具有安全生产许可证的得4分。</w:t>
            </w:r>
          </w:p>
          <w:p>
            <w:pPr>
              <w:pStyle w:val="208"/>
              <w:numPr>
                <w:ilvl w:val="0"/>
                <w:numId w:val="0"/>
              </w:numPr>
              <w:spacing w:line="273" w:lineRule="auto"/>
              <w:ind w:right="98" w:rightChars="0"/>
              <w:rPr>
                <w:rFonts w:hint="default" w:ascii="宋体" w:hAnsi="宋体" w:eastAsia="宋体" w:cs="宋体"/>
                <w:b w:val="0"/>
                <w:bCs w:val="0"/>
                <w:color w:val="auto"/>
                <w:szCs w:val="21"/>
                <w:lang w:val="en-US" w:eastAsia="zh-CN" w:bidi="ar"/>
              </w:rPr>
            </w:pPr>
            <w:r>
              <w:rPr>
                <w:rFonts w:hint="eastAsia" w:ascii="宋体" w:hAnsi="宋体" w:eastAsia="宋体" w:cs="宋体"/>
                <w:b w:val="0"/>
                <w:bCs w:val="0"/>
                <w:color w:val="auto"/>
                <w:szCs w:val="21"/>
                <w:lang w:val="en-US" w:eastAsia="zh-CN" w:bidi="ar"/>
              </w:rPr>
              <w:t>注：提供证书复印</w:t>
            </w:r>
            <w:bookmarkStart w:id="714" w:name="_GoBack"/>
            <w:bookmarkEnd w:id="714"/>
            <w:r>
              <w:rPr>
                <w:rFonts w:hint="eastAsia" w:ascii="宋体" w:hAnsi="宋体" w:eastAsia="宋体" w:cs="宋体"/>
                <w:b w:val="0"/>
                <w:bCs w:val="0"/>
                <w:color w:val="auto"/>
                <w:szCs w:val="21"/>
                <w:lang w:val="en-US" w:eastAsia="zh-CN" w:bidi="ar"/>
              </w:rPr>
              <w:t>件加盖公章</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lang w:val="en-US" w:eastAsia="zh-CN"/>
              </w:rPr>
            </w:pPr>
            <w:r>
              <w:rPr>
                <w:rFonts w:hint="eastAsia"/>
                <w:color w:val="auto"/>
                <w:sz w:val="21"/>
                <w:szCs w:val="21"/>
                <w:lang w:val="en-US" w:eastAsia="zh-CN"/>
              </w:rPr>
              <w:t>0-4分</w:t>
            </w:r>
          </w:p>
        </w:tc>
        <w:tc>
          <w:tcPr>
            <w:tcW w:w="523" w:type="pct"/>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Times New Roman" w:eastAsia="宋体" w:cs="Times New Roman"/>
                <w:color w:val="auto"/>
                <w:kern w:val="2"/>
                <w:sz w:val="21"/>
                <w:szCs w:val="21"/>
                <w:lang w:val="en-US" w:eastAsia="zh-CN" w:bidi="ar-SA"/>
              </w:rPr>
            </w:pPr>
            <w:r>
              <w:rPr>
                <w:rFonts w:hint="eastAsia" w:ascii="宋体"/>
                <w:color w:val="auto"/>
                <w:szCs w:val="21"/>
                <w:lang w:val="en-US" w:eastAsia="zh-CN"/>
              </w:rPr>
              <w:t>服务承诺</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8"/>
              <w:numPr>
                <w:ilvl w:val="0"/>
                <w:numId w:val="0"/>
              </w:numPr>
              <w:spacing w:line="273" w:lineRule="auto"/>
              <w:ind w:right="98" w:rightChars="0"/>
              <w:rPr>
                <w:rFonts w:hint="eastAsia" w:ascii="宋体" w:hAnsi="宋体" w:cs="宋体"/>
                <w:b w:val="0"/>
                <w:bCs w:val="0"/>
                <w:color w:val="auto"/>
                <w:szCs w:val="21"/>
                <w:lang w:val="en-US" w:eastAsia="zh-CN" w:bidi="ar"/>
              </w:rPr>
            </w:pPr>
            <w:r>
              <w:rPr>
                <w:rFonts w:hint="eastAsia" w:ascii="宋体" w:hAnsi="宋体" w:cs="宋体"/>
                <w:b w:val="0"/>
                <w:bCs w:val="0"/>
                <w:color w:val="auto"/>
                <w:szCs w:val="21"/>
                <w:lang w:val="en-US" w:eastAsia="zh-CN" w:bidi="ar"/>
              </w:rPr>
              <w:t>投标人承诺空调</w:t>
            </w:r>
            <w:r>
              <w:rPr>
                <w:rFonts w:hint="eastAsia" w:cs="宋体"/>
                <w:b w:val="0"/>
                <w:bCs w:val="0"/>
                <w:color w:val="auto"/>
                <w:szCs w:val="21"/>
                <w:lang w:val="en-US" w:eastAsia="zh-CN" w:bidi="ar"/>
              </w:rPr>
              <w:t>常</w:t>
            </w:r>
            <w:r>
              <w:rPr>
                <w:rFonts w:hint="eastAsia" w:ascii="宋体" w:hAnsi="宋体" w:cs="宋体"/>
                <w:b w:val="0"/>
                <w:bCs w:val="0"/>
                <w:color w:val="auto"/>
                <w:szCs w:val="21"/>
                <w:lang w:val="en-US" w:eastAsia="zh-CN" w:bidi="ar"/>
              </w:rPr>
              <w:t>开启季节24小时</w:t>
            </w:r>
            <w:r>
              <w:rPr>
                <w:rFonts w:hint="eastAsia" w:cs="宋体"/>
                <w:b w:val="0"/>
                <w:bCs w:val="0"/>
                <w:color w:val="auto"/>
                <w:szCs w:val="21"/>
                <w:lang w:val="en-US" w:eastAsia="zh-CN" w:bidi="ar"/>
              </w:rPr>
              <w:t>派</w:t>
            </w:r>
            <w:r>
              <w:rPr>
                <w:rFonts w:hint="eastAsia" w:ascii="宋体" w:hAnsi="宋体" w:cs="宋体"/>
                <w:b w:val="0"/>
                <w:bCs w:val="0"/>
                <w:color w:val="auto"/>
                <w:szCs w:val="21"/>
                <w:lang w:val="en-US" w:eastAsia="zh-CN" w:bidi="ar"/>
              </w:rPr>
              <w:t>专人驻场</w:t>
            </w:r>
            <w:r>
              <w:rPr>
                <w:rFonts w:hint="eastAsia" w:cs="宋体"/>
                <w:b w:val="0"/>
                <w:bCs w:val="0"/>
                <w:color w:val="auto"/>
                <w:szCs w:val="21"/>
                <w:lang w:val="en-US" w:eastAsia="zh-CN" w:bidi="ar"/>
              </w:rPr>
              <w:t>（至少1人）的得6分，未承诺的</w:t>
            </w:r>
            <w:r>
              <w:rPr>
                <w:rFonts w:hint="eastAsia" w:ascii="宋体" w:hAnsi="宋体" w:cs="宋体"/>
                <w:b w:val="0"/>
                <w:bCs w:val="0"/>
                <w:color w:val="auto"/>
                <w:szCs w:val="21"/>
                <w:lang w:val="en-US" w:eastAsia="zh-CN" w:bidi="ar"/>
              </w:rPr>
              <w:t>不得分。</w:t>
            </w:r>
          </w:p>
          <w:p>
            <w:pPr>
              <w:pStyle w:val="208"/>
              <w:numPr>
                <w:ilvl w:val="0"/>
                <w:numId w:val="0"/>
              </w:numPr>
              <w:spacing w:line="273" w:lineRule="auto"/>
              <w:ind w:right="98" w:rightChars="0"/>
              <w:rPr>
                <w:rFonts w:hint="eastAsia" w:ascii="宋体" w:hAnsi="宋体" w:cs="宋体"/>
                <w:b/>
                <w:bCs/>
                <w:color w:val="auto"/>
                <w:szCs w:val="21"/>
                <w:lang w:val="en-US" w:eastAsia="zh-CN" w:bidi="ar"/>
              </w:rPr>
            </w:pPr>
            <w:r>
              <w:rPr>
                <w:rFonts w:hint="eastAsia" w:ascii="宋体" w:hAnsi="宋体" w:cs="宋体"/>
                <w:b/>
                <w:bCs/>
                <w:color w:val="auto"/>
                <w:szCs w:val="21"/>
                <w:lang w:val="en-US" w:eastAsia="zh-CN" w:bidi="ar"/>
              </w:rPr>
              <w:t>注：1.格式自拟，提供承诺函并加盖投标人公章；</w:t>
            </w:r>
          </w:p>
          <w:p>
            <w:pPr>
              <w:pStyle w:val="208"/>
              <w:numPr>
                <w:ilvl w:val="0"/>
                <w:numId w:val="0"/>
              </w:numPr>
              <w:spacing w:line="273" w:lineRule="auto"/>
              <w:ind w:right="98" w:rightChars="0"/>
              <w:rPr>
                <w:rFonts w:hint="default" w:ascii="宋体" w:hAnsi="宋体" w:cs="宋体"/>
                <w:b w:val="0"/>
                <w:bCs w:val="0"/>
                <w:color w:val="auto"/>
                <w:szCs w:val="21"/>
                <w:lang w:val="en-US" w:eastAsia="zh-CN" w:bidi="ar"/>
              </w:rPr>
            </w:pPr>
            <w:r>
              <w:rPr>
                <w:rFonts w:hint="eastAsia" w:ascii="宋体" w:hAnsi="宋体" w:cs="宋体"/>
                <w:b/>
                <w:bCs/>
                <w:color w:val="auto"/>
                <w:szCs w:val="21"/>
                <w:lang w:val="en-US" w:eastAsia="zh-CN" w:bidi="ar"/>
              </w:rPr>
              <w:t>2.后期合同履行过程中如无法按时服务则视为虚假应标，招标人有权终止合同并重新选取服务单位。</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lang w:val="en-US" w:eastAsia="zh-CN"/>
              </w:rPr>
            </w:pPr>
            <w:r>
              <w:rPr>
                <w:rFonts w:hint="eastAsia"/>
                <w:color w:val="auto"/>
                <w:sz w:val="21"/>
                <w:szCs w:val="21"/>
                <w:lang w:val="en-US" w:eastAsia="zh-CN"/>
              </w:rPr>
              <w:t>0-6分</w:t>
            </w:r>
          </w:p>
        </w:tc>
        <w:tc>
          <w:tcPr>
            <w:tcW w:w="523" w:type="pct"/>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p>
        </w:tc>
      </w:tr>
    </w:tbl>
    <w:p>
      <w:pPr>
        <w:spacing w:line="380" w:lineRule="exact"/>
        <w:ind w:firstLine="405" w:firstLineChars="192"/>
        <w:rPr>
          <w:rFonts w:hint="eastAsia" w:ascii="宋体" w:cs="Times New Roman"/>
          <w:b/>
          <w:bCs/>
          <w:color w:val="auto"/>
          <w:szCs w:val="21"/>
          <w:lang w:val="en-US" w:eastAsia="zh-CN"/>
        </w:rPr>
      </w:pPr>
      <w:r>
        <w:rPr>
          <w:rFonts w:hint="eastAsia" w:ascii="宋体" w:hAnsi="Times New Roman" w:eastAsia="宋体" w:cs="Times New Roman"/>
          <w:b/>
          <w:bCs/>
          <w:color w:val="auto"/>
          <w:szCs w:val="21"/>
        </w:rPr>
        <w:t>注：</w:t>
      </w:r>
      <w:r>
        <w:rPr>
          <w:rFonts w:hint="eastAsia" w:ascii="宋体" w:cs="Times New Roman"/>
          <w:b/>
          <w:bCs/>
          <w:color w:val="auto"/>
          <w:szCs w:val="21"/>
          <w:lang w:val="en-US" w:eastAsia="zh-CN"/>
        </w:rPr>
        <w:t>1.上要求的证明材料需加盖投标单位公章；</w:t>
      </w:r>
    </w:p>
    <w:p>
      <w:pPr>
        <w:spacing w:line="380" w:lineRule="exact"/>
        <w:ind w:firstLine="405" w:firstLineChars="192"/>
        <w:rPr>
          <w:rFonts w:hint="eastAsia" w:ascii="宋体" w:hAnsi="Times New Roman" w:eastAsia="宋体" w:cs="Times New Roman"/>
          <w:b/>
          <w:bCs/>
          <w:color w:val="auto"/>
          <w:szCs w:val="21"/>
          <w:lang w:val="en-US" w:eastAsia="zh-CN"/>
        </w:rPr>
      </w:pPr>
      <w:r>
        <w:rPr>
          <w:rFonts w:hint="eastAsia" w:ascii="宋体" w:cs="Times New Roman"/>
          <w:b/>
          <w:bCs/>
          <w:color w:val="auto"/>
          <w:szCs w:val="21"/>
          <w:lang w:val="en-US" w:eastAsia="zh-CN"/>
        </w:rPr>
        <w:t>2.</w:t>
      </w:r>
      <w:r>
        <w:rPr>
          <w:rFonts w:hint="eastAsia" w:ascii="宋体" w:hAnsi="Times New Roman" w:eastAsia="宋体" w:cs="Times New Roman"/>
          <w:b/>
          <w:bCs/>
          <w:color w:val="auto"/>
          <w:szCs w:val="21"/>
          <w:lang w:val="en-US" w:eastAsia="zh-CN"/>
        </w:rPr>
        <w:t>投标人提供的项目业绩只计算评标分值对应的项目数量，按照排列顺序从首个业绩开始评审至对应数量，超出部分不进行评审。对应数量内业绩不符合招标文件要求不得分的，不再补充评审超出部分业绩。如：提供</w:t>
      </w:r>
      <w:r>
        <w:rPr>
          <w:rFonts w:hint="eastAsia" w:ascii="宋体" w:cs="Times New Roman"/>
          <w:b/>
          <w:bCs/>
          <w:color w:val="auto"/>
          <w:szCs w:val="21"/>
          <w:lang w:val="en-US" w:eastAsia="zh-CN"/>
        </w:rPr>
        <w:t>2</w:t>
      </w:r>
      <w:r>
        <w:rPr>
          <w:rFonts w:hint="eastAsia" w:ascii="宋体" w:hAnsi="Times New Roman" w:eastAsia="宋体" w:cs="Times New Roman"/>
          <w:b/>
          <w:bCs/>
          <w:color w:val="auto"/>
          <w:szCs w:val="21"/>
          <w:lang w:val="en-US" w:eastAsia="zh-CN"/>
        </w:rPr>
        <w:t>个业绩即得满分的，按照投标文件排序评审第一、第二项业绩，其余超出部分不再评审。</w:t>
      </w:r>
    </w:p>
    <w:p>
      <w:pPr>
        <w:spacing w:line="320" w:lineRule="exact"/>
        <w:ind w:firstLine="480" w:firstLineChars="200"/>
        <w:rPr>
          <w:rFonts w:ascii="宋体" w:hAnsi="宋体" w:cs="宋体"/>
          <w:color w:val="auto"/>
          <w:sz w:val="24"/>
        </w:rPr>
      </w:pPr>
    </w:p>
    <w:p>
      <w:pPr>
        <w:spacing w:line="320" w:lineRule="exact"/>
        <w:ind w:firstLine="482" w:firstLineChars="200"/>
        <w:rPr>
          <w:rFonts w:ascii="宋体" w:hAnsi="宋体" w:cs="宋体"/>
          <w:b/>
          <w:bCs/>
          <w:color w:val="auto"/>
          <w:sz w:val="24"/>
        </w:rPr>
      </w:pPr>
      <w:r>
        <w:rPr>
          <w:rFonts w:hint="eastAsia" w:ascii="宋体" w:hAnsi="宋体" w:cs="宋体"/>
          <w:b/>
          <w:bCs/>
          <w:color w:val="auto"/>
          <w:sz w:val="24"/>
        </w:rPr>
        <w:t>6.2技术部分（</w:t>
      </w:r>
      <w:r>
        <w:rPr>
          <w:rFonts w:hint="eastAsia" w:ascii="宋体" w:hAnsi="宋体" w:cs="宋体"/>
          <w:b/>
          <w:bCs/>
          <w:color w:val="auto"/>
          <w:sz w:val="24"/>
          <w:lang w:val="en-US" w:eastAsia="zh-CN"/>
        </w:rPr>
        <w:t>24</w:t>
      </w:r>
      <w:r>
        <w:rPr>
          <w:rFonts w:hint="eastAsia" w:ascii="宋体" w:hAnsi="宋体" w:cs="宋体"/>
          <w:b/>
          <w:bCs/>
          <w:color w:val="auto"/>
          <w:sz w:val="24"/>
        </w:rPr>
        <w:t>分）</w:t>
      </w:r>
    </w:p>
    <w:tbl>
      <w:tblPr>
        <w:tblStyle w:val="51"/>
        <w:tblW w:w="6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17"/>
        <w:gridCol w:w="6342"/>
        <w:gridCol w:w="1122"/>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序号</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评分因素</w:t>
            </w:r>
          </w:p>
        </w:tc>
        <w:tc>
          <w:tcPr>
            <w:tcW w:w="6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评审标准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分值</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w:t>
            </w:r>
          </w:p>
        </w:tc>
        <w:tc>
          <w:tcPr>
            <w:tcW w:w="121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服务方案</w:t>
            </w:r>
          </w:p>
        </w:tc>
        <w:tc>
          <w:tcPr>
            <w:tcW w:w="63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336" w:lineRule="auto"/>
              <w:jc w:val="left"/>
              <w:textAlignment w:val="baseline"/>
              <w:rPr>
                <w:rFonts w:hint="eastAsia" w:ascii="宋体" w:hAnsi="宋体"/>
                <w:color w:val="auto"/>
                <w:sz w:val="21"/>
                <w:szCs w:val="21"/>
                <w:highlight w:val="none"/>
                <w:vertAlign w:val="baseline"/>
                <w:lang w:eastAsia="zh-CN"/>
              </w:rPr>
            </w:pPr>
            <w:r>
              <w:rPr>
                <w:rFonts w:hint="eastAsia" w:ascii="宋体" w:hAnsi="宋体" w:cs="宋体"/>
                <w:color w:val="auto"/>
                <w:szCs w:val="21"/>
                <w:lang w:bidi="ar"/>
              </w:rPr>
              <w:t>整体服务方案：综合比较投标人拟提供维保技术参数和整体服务等进行评审。评审按各投标响应横向对比评价打分，优的得</w:t>
            </w:r>
            <w:r>
              <w:rPr>
                <w:rFonts w:hint="eastAsia" w:ascii="宋体" w:hAnsi="宋体" w:cs="宋体"/>
                <w:color w:val="auto"/>
                <w:szCs w:val="21"/>
                <w:lang w:val="en-US" w:eastAsia="zh-CN" w:bidi="ar"/>
              </w:rPr>
              <w:t>6</w:t>
            </w:r>
            <w:r>
              <w:rPr>
                <w:rFonts w:hint="eastAsia" w:ascii="宋体" w:hAnsi="宋体" w:cs="宋体"/>
                <w:color w:val="auto"/>
                <w:szCs w:val="21"/>
                <w:lang w:bidi="ar"/>
              </w:rPr>
              <w:t>分，一般的得</w:t>
            </w:r>
            <w:r>
              <w:rPr>
                <w:rFonts w:hint="eastAsia" w:ascii="宋体" w:hAnsi="宋体" w:cs="宋体"/>
                <w:color w:val="auto"/>
                <w:szCs w:val="21"/>
                <w:lang w:val="en-US" w:eastAsia="zh-CN" w:bidi="ar"/>
              </w:rPr>
              <w:t>4</w:t>
            </w:r>
            <w:r>
              <w:rPr>
                <w:rFonts w:hint="eastAsia" w:ascii="宋体" w:hAnsi="宋体" w:cs="宋体"/>
                <w:color w:val="auto"/>
                <w:szCs w:val="21"/>
                <w:lang w:bidi="ar"/>
              </w:rPr>
              <w:t>分，</w:t>
            </w:r>
            <w:r>
              <w:rPr>
                <w:rFonts w:hint="eastAsia" w:ascii="宋体" w:hAnsi="宋体" w:cs="宋体"/>
                <w:color w:val="auto"/>
                <w:szCs w:val="21"/>
                <w:lang w:val="en-US" w:eastAsia="zh-CN" w:bidi="ar"/>
              </w:rPr>
              <w:t>合格的得1分，</w:t>
            </w:r>
            <w:r>
              <w:rPr>
                <w:rFonts w:hint="eastAsia" w:ascii="宋体" w:hAnsi="宋体" w:cs="宋体"/>
                <w:color w:val="auto"/>
                <w:szCs w:val="21"/>
                <w:lang w:bidi="ar"/>
              </w:rPr>
              <w:t>差的</w:t>
            </w:r>
            <w:r>
              <w:rPr>
                <w:rFonts w:hint="eastAsia" w:ascii="宋体" w:hAnsi="宋体" w:cs="宋体"/>
                <w:color w:val="auto"/>
                <w:szCs w:val="21"/>
                <w:lang w:val="en-US" w:eastAsia="zh-CN" w:bidi="ar"/>
              </w:rPr>
              <w:t>或未提供</w:t>
            </w:r>
            <w:r>
              <w:rPr>
                <w:rFonts w:hint="eastAsia" w:ascii="宋体" w:hAnsi="宋体" w:cs="宋体"/>
                <w:color w:val="auto"/>
                <w:szCs w:val="21"/>
                <w:lang w:bidi="ar"/>
              </w:rPr>
              <w:t>的不得分。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rPr>
            </w:pPr>
            <w:r>
              <w:rPr>
                <w:rFonts w:hint="eastAsia"/>
                <w:color w:val="auto"/>
                <w:lang w:val="en-US" w:eastAsia="zh-CN"/>
              </w:rPr>
              <w:t>0-6</w:t>
            </w:r>
            <w:r>
              <w:rPr>
                <w:rFonts w:hint="eastAsia"/>
                <w:color w:val="auto"/>
              </w:rPr>
              <w:t>分</w:t>
            </w:r>
          </w:p>
        </w:tc>
        <w:tc>
          <w:tcPr>
            <w:tcW w:w="13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Cs w:val="21"/>
              </w:rPr>
            </w:pPr>
            <w:r>
              <w:rPr>
                <w:rFonts w:hint="eastAsia" w:ascii="宋体" w:hAnsi="宋体" w:cs="宋体"/>
                <w:color w:val="auto"/>
                <w:szCs w:val="21"/>
              </w:rPr>
              <w:t>检验投标文件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vertAlign w:val="baseline"/>
                <w:lang w:val="en-US" w:eastAsia="zh-CN"/>
              </w:rPr>
            </w:pPr>
          </w:p>
        </w:tc>
        <w:tc>
          <w:tcPr>
            <w:tcW w:w="121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olor w:val="auto"/>
                <w:szCs w:val="21"/>
                <w:highlight w:val="none"/>
                <w:vertAlign w:val="baseline"/>
                <w:lang w:val="en-US" w:eastAsia="zh-CN"/>
              </w:rPr>
            </w:pPr>
          </w:p>
        </w:tc>
        <w:tc>
          <w:tcPr>
            <w:tcW w:w="63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336" w:lineRule="auto"/>
              <w:jc w:val="left"/>
              <w:textAlignment w:val="baseline"/>
              <w:rPr>
                <w:rFonts w:hint="eastAsia" w:ascii="宋体" w:hAnsi="宋体"/>
                <w:color w:val="auto"/>
                <w:sz w:val="21"/>
                <w:szCs w:val="21"/>
                <w:highlight w:val="none"/>
                <w:vertAlign w:val="baseline"/>
                <w:lang w:val="en-US" w:eastAsia="zh-CN"/>
              </w:rPr>
            </w:pPr>
            <w:r>
              <w:rPr>
                <w:rFonts w:hint="eastAsia" w:ascii="宋体" w:hAnsi="宋体" w:cs="宋体"/>
                <w:color w:val="auto"/>
                <w:szCs w:val="21"/>
                <w:lang w:bidi="ar"/>
              </w:rPr>
              <w:t>对服务需求的响应程度：综合比较投标人对服务需求的响应程度等进行评审。评审按各投标响应横向对比评价打分</w:t>
            </w:r>
            <w:r>
              <w:rPr>
                <w:rFonts w:hint="eastAsia" w:ascii="宋体" w:hAnsi="宋体" w:cs="宋体"/>
                <w:color w:val="auto"/>
                <w:szCs w:val="21"/>
                <w:lang w:eastAsia="zh-CN" w:bidi="ar"/>
              </w:rPr>
              <w:t>，</w:t>
            </w:r>
            <w:r>
              <w:rPr>
                <w:rFonts w:hint="eastAsia" w:ascii="宋体" w:hAnsi="宋体" w:cs="宋体"/>
                <w:color w:val="auto"/>
                <w:szCs w:val="21"/>
                <w:lang w:bidi="ar"/>
              </w:rPr>
              <w:t>优的得</w:t>
            </w:r>
            <w:r>
              <w:rPr>
                <w:rFonts w:hint="eastAsia" w:ascii="宋体" w:hAnsi="宋体" w:cs="宋体"/>
                <w:color w:val="auto"/>
                <w:szCs w:val="21"/>
                <w:lang w:val="en-US" w:eastAsia="zh-CN" w:bidi="ar"/>
              </w:rPr>
              <w:t>6</w:t>
            </w:r>
            <w:r>
              <w:rPr>
                <w:rFonts w:hint="eastAsia" w:ascii="宋体" w:hAnsi="宋体" w:cs="宋体"/>
                <w:color w:val="auto"/>
                <w:szCs w:val="21"/>
                <w:lang w:bidi="ar"/>
              </w:rPr>
              <w:t>分，一般的得</w:t>
            </w:r>
            <w:r>
              <w:rPr>
                <w:rFonts w:hint="eastAsia" w:ascii="宋体" w:hAnsi="宋体" w:cs="宋体"/>
                <w:color w:val="auto"/>
                <w:szCs w:val="21"/>
                <w:lang w:val="en-US" w:eastAsia="zh-CN" w:bidi="ar"/>
              </w:rPr>
              <w:t>4</w:t>
            </w:r>
            <w:r>
              <w:rPr>
                <w:rFonts w:hint="eastAsia" w:ascii="宋体" w:hAnsi="宋体" w:cs="宋体"/>
                <w:color w:val="auto"/>
                <w:szCs w:val="21"/>
                <w:lang w:bidi="ar"/>
              </w:rPr>
              <w:t>分，</w:t>
            </w:r>
            <w:r>
              <w:rPr>
                <w:rFonts w:hint="eastAsia" w:ascii="宋体" w:hAnsi="宋体" w:cs="宋体"/>
                <w:color w:val="auto"/>
                <w:szCs w:val="21"/>
                <w:lang w:val="en-US" w:eastAsia="zh-CN" w:bidi="ar"/>
              </w:rPr>
              <w:t>合格的得1分，</w:t>
            </w:r>
            <w:r>
              <w:rPr>
                <w:rFonts w:hint="eastAsia" w:ascii="宋体" w:hAnsi="宋体" w:cs="宋体"/>
                <w:color w:val="auto"/>
                <w:szCs w:val="21"/>
                <w:lang w:bidi="ar"/>
              </w:rPr>
              <w:t>差的</w:t>
            </w:r>
            <w:r>
              <w:rPr>
                <w:rFonts w:hint="eastAsia" w:ascii="宋体" w:hAnsi="宋体" w:cs="宋体"/>
                <w:color w:val="auto"/>
                <w:szCs w:val="21"/>
                <w:lang w:val="en-US" w:eastAsia="zh-CN" w:bidi="ar"/>
              </w:rPr>
              <w:t>或未提供</w:t>
            </w:r>
            <w:r>
              <w:rPr>
                <w:rFonts w:hint="eastAsia" w:ascii="宋体" w:hAnsi="宋体" w:cs="宋体"/>
                <w:color w:val="auto"/>
                <w:szCs w:val="21"/>
                <w:lang w:bidi="ar"/>
              </w:rPr>
              <w:t>的不得分。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color w:val="auto"/>
                <w:lang w:val="en-US" w:eastAsia="zh-CN"/>
              </w:rPr>
              <w:t>0-6</w:t>
            </w:r>
            <w:r>
              <w:rPr>
                <w:rFonts w:hint="eastAsia"/>
                <w:color w:val="auto"/>
              </w:rPr>
              <w:t>分</w:t>
            </w:r>
          </w:p>
        </w:tc>
        <w:tc>
          <w:tcPr>
            <w:tcW w:w="137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vertAlign w:val="baseline"/>
                <w:lang w:val="en-US" w:eastAsia="zh-CN"/>
              </w:rPr>
            </w:pPr>
          </w:p>
        </w:tc>
        <w:tc>
          <w:tcPr>
            <w:tcW w:w="121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olor w:val="auto"/>
                <w:szCs w:val="21"/>
                <w:highlight w:val="none"/>
                <w:vertAlign w:val="baseline"/>
                <w:lang w:val="en-US" w:eastAsia="zh-CN"/>
              </w:rPr>
            </w:pPr>
          </w:p>
        </w:tc>
        <w:tc>
          <w:tcPr>
            <w:tcW w:w="63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336" w:lineRule="auto"/>
              <w:jc w:val="left"/>
              <w:textAlignment w:val="baseline"/>
              <w:rPr>
                <w:rFonts w:hint="eastAsia" w:ascii="宋体" w:hAnsi="宋体" w:eastAsia="宋体"/>
                <w:color w:val="auto"/>
                <w:sz w:val="21"/>
                <w:szCs w:val="21"/>
                <w:highlight w:val="none"/>
                <w:vertAlign w:val="baseline"/>
                <w:lang w:val="en-US" w:eastAsia="zh-CN"/>
              </w:rPr>
            </w:pPr>
            <w:r>
              <w:rPr>
                <w:rFonts w:hint="eastAsia" w:ascii="宋体" w:hAnsi="宋体" w:cs="宋体"/>
                <w:color w:val="auto"/>
                <w:szCs w:val="21"/>
                <w:lang w:bidi="ar"/>
              </w:rPr>
              <w:t>服务质量标准合理化建议：综合比较投标人拟提供服务质量标准合理化建议等进行评审。评审按各投标响应横向对比评价打分，优的得</w:t>
            </w:r>
            <w:r>
              <w:rPr>
                <w:rFonts w:hint="eastAsia" w:ascii="宋体" w:hAnsi="宋体" w:cs="宋体"/>
                <w:color w:val="auto"/>
                <w:szCs w:val="21"/>
                <w:lang w:val="en-US" w:eastAsia="zh-CN" w:bidi="ar"/>
              </w:rPr>
              <w:t>6</w:t>
            </w:r>
            <w:r>
              <w:rPr>
                <w:rFonts w:hint="eastAsia" w:ascii="宋体" w:hAnsi="宋体" w:cs="宋体"/>
                <w:color w:val="auto"/>
                <w:szCs w:val="21"/>
                <w:lang w:bidi="ar"/>
              </w:rPr>
              <w:t>分，一般的得</w:t>
            </w:r>
            <w:r>
              <w:rPr>
                <w:rFonts w:hint="eastAsia" w:ascii="宋体" w:hAnsi="宋体" w:cs="宋体"/>
                <w:color w:val="auto"/>
                <w:szCs w:val="21"/>
                <w:lang w:val="en-US" w:eastAsia="zh-CN" w:bidi="ar"/>
              </w:rPr>
              <w:t>4</w:t>
            </w:r>
            <w:r>
              <w:rPr>
                <w:rFonts w:hint="eastAsia" w:ascii="宋体" w:hAnsi="宋体" w:cs="宋体"/>
                <w:color w:val="auto"/>
                <w:szCs w:val="21"/>
                <w:lang w:bidi="ar"/>
              </w:rPr>
              <w:t>分，</w:t>
            </w:r>
            <w:r>
              <w:rPr>
                <w:rFonts w:hint="eastAsia" w:ascii="宋体" w:hAnsi="宋体" w:cs="宋体"/>
                <w:color w:val="auto"/>
                <w:szCs w:val="21"/>
                <w:lang w:val="en-US" w:eastAsia="zh-CN" w:bidi="ar"/>
              </w:rPr>
              <w:t>合格的得1分，</w:t>
            </w:r>
            <w:r>
              <w:rPr>
                <w:rFonts w:hint="eastAsia" w:ascii="宋体" w:hAnsi="宋体" w:cs="宋体"/>
                <w:color w:val="auto"/>
                <w:szCs w:val="21"/>
                <w:lang w:bidi="ar"/>
              </w:rPr>
              <w:t>差的</w:t>
            </w:r>
            <w:r>
              <w:rPr>
                <w:rFonts w:hint="eastAsia" w:ascii="宋体" w:hAnsi="宋体" w:cs="宋体"/>
                <w:color w:val="auto"/>
                <w:szCs w:val="21"/>
                <w:lang w:val="en-US" w:eastAsia="zh-CN" w:bidi="ar"/>
              </w:rPr>
              <w:t>或未提供</w:t>
            </w:r>
            <w:r>
              <w:rPr>
                <w:rFonts w:hint="eastAsia" w:ascii="宋体" w:hAnsi="宋体" w:cs="宋体"/>
                <w:color w:val="auto"/>
                <w:szCs w:val="21"/>
                <w:lang w:bidi="ar"/>
              </w:rPr>
              <w:t>的不得分</w:t>
            </w:r>
            <w:r>
              <w:rPr>
                <w:rFonts w:hint="eastAsia" w:ascii="宋体" w:hAnsi="宋体" w:cs="宋体"/>
                <w:color w:val="auto"/>
                <w:szCs w:val="21"/>
                <w:lang w:eastAsia="zh-CN" w:bidi="ar"/>
              </w:rPr>
              <w:t>。</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color w:val="auto"/>
                <w:lang w:val="en-US" w:eastAsia="zh-CN"/>
              </w:rPr>
              <w:t>0-6</w:t>
            </w:r>
            <w:r>
              <w:rPr>
                <w:rFonts w:hint="eastAsia"/>
                <w:color w:val="auto"/>
              </w:rPr>
              <w:t>分</w:t>
            </w:r>
          </w:p>
        </w:tc>
        <w:tc>
          <w:tcPr>
            <w:tcW w:w="137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vertAlign w:val="baseline"/>
                <w:lang w:val="en-US" w:eastAsia="zh-CN"/>
              </w:rPr>
            </w:pPr>
          </w:p>
        </w:tc>
        <w:tc>
          <w:tcPr>
            <w:tcW w:w="121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olor w:val="auto"/>
                <w:szCs w:val="21"/>
                <w:highlight w:val="none"/>
                <w:vertAlign w:val="baseline"/>
                <w:lang w:val="en-US" w:eastAsia="zh-CN"/>
              </w:rPr>
            </w:pPr>
          </w:p>
        </w:tc>
        <w:tc>
          <w:tcPr>
            <w:tcW w:w="63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336" w:lineRule="auto"/>
              <w:jc w:val="left"/>
              <w:textAlignment w:val="baseline"/>
              <w:rPr>
                <w:rFonts w:hint="eastAsia" w:ascii="宋体" w:hAnsi="宋体" w:eastAsia="宋体"/>
                <w:color w:val="auto"/>
                <w:sz w:val="21"/>
                <w:szCs w:val="21"/>
                <w:highlight w:val="none"/>
                <w:vertAlign w:val="baseline"/>
                <w:lang w:val="en-US" w:eastAsia="zh-CN"/>
              </w:rPr>
            </w:pPr>
            <w:r>
              <w:rPr>
                <w:rFonts w:hint="eastAsia" w:ascii="宋体" w:hAnsi="宋体" w:cs="宋体"/>
                <w:color w:val="auto"/>
                <w:szCs w:val="21"/>
                <w:lang w:bidi="ar"/>
              </w:rPr>
              <w:t>应急服务安排服务人员配置：综合比较投标人拟提供应急服务安排服务人员配置等进行评审。评审按各投标响应横向对比评价打分，优的得</w:t>
            </w:r>
            <w:r>
              <w:rPr>
                <w:rFonts w:hint="eastAsia" w:ascii="宋体" w:hAnsi="宋体" w:cs="宋体"/>
                <w:color w:val="auto"/>
                <w:szCs w:val="21"/>
                <w:lang w:val="en-US" w:eastAsia="zh-CN" w:bidi="ar"/>
              </w:rPr>
              <w:t>6</w:t>
            </w:r>
            <w:r>
              <w:rPr>
                <w:rFonts w:hint="eastAsia" w:ascii="宋体" w:hAnsi="宋体" w:cs="宋体"/>
                <w:color w:val="auto"/>
                <w:szCs w:val="21"/>
                <w:lang w:bidi="ar"/>
              </w:rPr>
              <w:t>分，一般的得</w:t>
            </w:r>
            <w:r>
              <w:rPr>
                <w:rFonts w:hint="eastAsia" w:ascii="宋体" w:hAnsi="宋体" w:cs="宋体"/>
                <w:color w:val="auto"/>
                <w:szCs w:val="21"/>
                <w:lang w:val="en-US" w:eastAsia="zh-CN" w:bidi="ar"/>
              </w:rPr>
              <w:t>4</w:t>
            </w:r>
            <w:r>
              <w:rPr>
                <w:rFonts w:hint="eastAsia" w:ascii="宋体" w:hAnsi="宋体" w:cs="宋体"/>
                <w:color w:val="auto"/>
                <w:szCs w:val="21"/>
                <w:lang w:bidi="ar"/>
              </w:rPr>
              <w:t>分，</w:t>
            </w:r>
            <w:r>
              <w:rPr>
                <w:rFonts w:hint="eastAsia" w:ascii="宋体" w:hAnsi="宋体" w:cs="宋体"/>
                <w:color w:val="auto"/>
                <w:szCs w:val="21"/>
                <w:lang w:val="en-US" w:eastAsia="zh-CN" w:bidi="ar"/>
              </w:rPr>
              <w:t>合格的得1分，</w:t>
            </w:r>
            <w:r>
              <w:rPr>
                <w:rFonts w:hint="eastAsia" w:ascii="宋体" w:hAnsi="宋体" w:cs="宋体"/>
                <w:color w:val="auto"/>
                <w:szCs w:val="21"/>
                <w:lang w:bidi="ar"/>
              </w:rPr>
              <w:t>差的</w:t>
            </w:r>
            <w:r>
              <w:rPr>
                <w:rFonts w:hint="eastAsia" w:ascii="宋体" w:hAnsi="宋体" w:cs="宋体"/>
                <w:color w:val="auto"/>
                <w:szCs w:val="21"/>
                <w:lang w:val="en-US" w:eastAsia="zh-CN" w:bidi="ar"/>
              </w:rPr>
              <w:t>或未提供</w:t>
            </w:r>
            <w:r>
              <w:rPr>
                <w:rFonts w:hint="eastAsia" w:ascii="宋体" w:hAnsi="宋体" w:cs="宋体"/>
                <w:color w:val="auto"/>
                <w:szCs w:val="21"/>
                <w:lang w:bidi="ar"/>
              </w:rPr>
              <w:t>的不得分</w:t>
            </w:r>
            <w:r>
              <w:rPr>
                <w:rFonts w:hint="eastAsia" w:ascii="宋体" w:hAnsi="宋体" w:cs="宋体"/>
                <w:color w:val="auto"/>
                <w:szCs w:val="21"/>
                <w:lang w:eastAsia="zh-CN" w:bidi="ar"/>
              </w:rPr>
              <w:t>。</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color w:val="auto"/>
                <w:lang w:val="en-US" w:eastAsia="zh-CN"/>
              </w:rPr>
              <w:t>0-6</w:t>
            </w:r>
            <w:r>
              <w:rPr>
                <w:rFonts w:hint="eastAsia"/>
                <w:color w:val="auto"/>
              </w:rPr>
              <w:t>分</w:t>
            </w:r>
          </w:p>
        </w:tc>
        <w:tc>
          <w:tcPr>
            <w:tcW w:w="13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r>
    </w:tbl>
    <w:p>
      <w:pPr>
        <w:spacing w:line="320" w:lineRule="exact"/>
        <w:ind w:firstLine="480" w:firstLineChars="200"/>
        <w:rPr>
          <w:rFonts w:ascii="宋体" w:hAnsi="宋体" w:cs="宋体"/>
          <w:color w:val="auto"/>
          <w:sz w:val="24"/>
        </w:rPr>
      </w:pPr>
    </w:p>
    <w:p>
      <w:pPr>
        <w:pStyle w:val="50"/>
        <w:rPr>
          <w:rFonts w:hint="eastAsia" w:ascii="宋体" w:hAnsi="宋体"/>
          <w:b/>
          <w:color w:val="auto"/>
          <w:szCs w:val="21"/>
        </w:rPr>
      </w:pPr>
      <w:r>
        <w:rPr>
          <w:rFonts w:hint="eastAsia" w:ascii="宋体" w:hAnsi="宋体"/>
          <w:bCs/>
          <w:color w:val="auto"/>
          <w:szCs w:val="21"/>
        </w:rPr>
        <w:t>注：</w:t>
      </w:r>
      <w:r>
        <w:rPr>
          <w:rFonts w:hint="eastAsia" w:ascii="宋体" w:hAnsi="宋体"/>
          <w:bCs/>
          <w:color w:val="auto"/>
          <w:szCs w:val="21"/>
          <w:lang w:val="en-US" w:eastAsia="zh-CN"/>
        </w:rPr>
        <w:t>评标委员会</w:t>
      </w:r>
      <w:r>
        <w:rPr>
          <w:rFonts w:hint="eastAsia" w:ascii="宋体" w:hAnsi="宋体"/>
          <w:bCs/>
          <w:color w:val="auto"/>
          <w:szCs w:val="21"/>
        </w:rPr>
        <w:t>将根据技术标所有内容进行独立打分，</w:t>
      </w:r>
      <w:r>
        <w:rPr>
          <w:rFonts w:hint="eastAsia" w:ascii="宋体" w:hAnsi="宋体"/>
          <w:bCs/>
          <w:color w:val="auto"/>
          <w:szCs w:val="21"/>
          <w:lang w:val="en-US" w:eastAsia="zh-CN"/>
        </w:rPr>
        <w:t>将</w:t>
      </w:r>
      <w:r>
        <w:rPr>
          <w:rFonts w:hint="eastAsia" w:ascii="宋体" w:hAnsi="宋体"/>
          <w:bCs/>
          <w:color w:val="auto"/>
          <w:szCs w:val="21"/>
        </w:rPr>
        <w:t>各</w:t>
      </w:r>
      <w:r>
        <w:rPr>
          <w:rFonts w:hint="eastAsia" w:ascii="宋体" w:hAnsi="宋体"/>
          <w:bCs/>
          <w:color w:val="auto"/>
          <w:szCs w:val="21"/>
          <w:lang w:val="en-US" w:eastAsia="zh-CN"/>
        </w:rPr>
        <w:t>评审专家</w:t>
      </w:r>
      <w:r>
        <w:rPr>
          <w:rFonts w:hint="eastAsia" w:ascii="宋体" w:hAnsi="宋体"/>
          <w:bCs/>
          <w:color w:val="auto"/>
          <w:szCs w:val="21"/>
        </w:rPr>
        <w:t>打分分值的算术平均值作为最终得分，得分保留两位小数点，第三位四舍五入。</w:t>
      </w:r>
    </w:p>
    <w:p>
      <w:pPr>
        <w:spacing w:line="320" w:lineRule="exact"/>
        <w:ind w:firstLine="480" w:firstLineChars="200"/>
        <w:rPr>
          <w:rFonts w:hint="eastAsia" w:ascii="宋体" w:hAnsi="宋体" w:cs="宋体"/>
          <w:color w:val="auto"/>
          <w:sz w:val="24"/>
        </w:rPr>
      </w:pPr>
    </w:p>
    <w:p>
      <w:pPr>
        <w:spacing w:line="320" w:lineRule="exact"/>
        <w:ind w:firstLine="482" w:firstLineChars="200"/>
        <w:rPr>
          <w:rFonts w:ascii="宋体" w:hAnsi="宋体" w:cs="宋体"/>
          <w:b/>
          <w:bCs/>
          <w:color w:val="auto"/>
          <w:sz w:val="24"/>
        </w:rPr>
      </w:pPr>
      <w:r>
        <w:rPr>
          <w:rFonts w:hint="eastAsia" w:ascii="宋体" w:hAnsi="宋体" w:cs="宋体"/>
          <w:b/>
          <w:bCs/>
          <w:color w:val="auto"/>
          <w:sz w:val="24"/>
        </w:rPr>
        <w:t>6.3商务部分（</w:t>
      </w:r>
      <w:r>
        <w:rPr>
          <w:rFonts w:hint="eastAsia" w:ascii="宋体" w:hAnsi="宋体" w:cs="宋体"/>
          <w:b/>
          <w:bCs/>
          <w:color w:val="auto"/>
          <w:sz w:val="24"/>
          <w:lang w:val="en-US" w:eastAsia="zh-CN"/>
        </w:rPr>
        <w:t>36</w:t>
      </w:r>
      <w:r>
        <w:rPr>
          <w:rFonts w:hint="eastAsia" w:ascii="宋体" w:hAnsi="宋体" w:cs="宋体"/>
          <w:b/>
          <w:bCs/>
          <w:color w:val="auto"/>
          <w:sz w:val="24"/>
        </w:rPr>
        <w:t>分）</w:t>
      </w: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58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rPr>
            </w:pPr>
            <w:r>
              <w:rPr>
                <w:rFonts w:hint="eastAsia" w:ascii="宋体" w:hAnsi="宋体" w:cs="宋体"/>
                <w:b/>
                <w:color w:val="auto"/>
                <w:sz w:val="24"/>
              </w:rPr>
              <w:t>评审项目</w:t>
            </w:r>
          </w:p>
        </w:tc>
        <w:tc>
          <w:tcPr>
            <w:tcW w:w="75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rPr>
            </w:pPr>
            <w:r>
              <w:rPr>
                <w:rFonts w:hint="eastAsia" w:ascii="宋体" w:hAnsi="宋体" w:cs="宋体"/>
                <w:b/>
                <w:color w:val="auto"/>
                <w:sz w:val="24"/>
              </w:rPr>
              <w:t>评审内容</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rPr>
            </w:pPr>
            <w:r>
              <w:rPr>
                <w:rFonts w:hint="eastAsia" w:ascii="宋体" w:hAnsi="宋体" w:cs="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b/>
                <w:bCs/>
                <w:color w:val="auto"/>
                <w:szCs w:val="21"/>
                <w:lang w:val="en-US" w:eastAsia="zh-CN"/>
              </w:rPr>
            </w:pPr>
            <w:r>
              <w:rPr>
                <w:rFonts w:hint="eastAsia" w:ascii="宋体" w:hAnsi="宋体"/>
                <w:b/>
                <w:bCs/>
                <w:color w:val="auto"/>
                <w:szCs w:val="21"/>
              </w:rPr>
              <w:t>报 价</w:t>
            </w:r>
            <w:r>
              <w:rPr>
                <w:rFonts w:hint="eastAsia" w:ascii="宋体" w:hAnsi="宋体"/>
                <w:b/>
                <w:bCs/>
                <w:color w:val="auto"/>
                <w:szCs w:val="21"/>
                <w:lang w:val="en-US" w:eastAsia="zh-CN"/>
              </w:rPr>
              <w:t>1</w:t>
            </w:r>
          </w:p>
        </w:tc>
        <w:tc>
          <w:tcPr>
            <w:tcW w:w="75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Cs w:val="21"/>
              </w:rPr>
            </w:pPr>
            <w:r>
              <w:rPr>
                <w:rFonts w:hint="eastAsia" w:ascii="宋体" w:hAnsi="宋体" w:cs="宋体"/>
                <w:b/>
                <w:bCs/>
                <w:color w:val="auto"/>
                <w:szCs w:val="21"/>
                <w:lang w:val="en-US" w:eastAsia="zh-CN"/>
              </w:rPr>
              <w:t>1.</w:t>
            </w:r>
            <w:r>
              <w:rPr>
                <w:rFonts w:hint="eastAsia" w:ascii="宋体" w:hAnsi="宋体" w:cs="宋体"/>
                <w:b/>
                <w:bCs/>
                <w:color w:val="auto"/>
                <w:szCs w:val="21"/>
              </w:rPr>
              <w:t>采购人设置投标报价最高限价（</w:t>
            </w:r>
            <w:r>
              <w:rPr>
                <w:rFonts w:hint="eastAsia" w:ascii="宋体" w:hAnsi="宋体" w:cs="宋体"/>
                <w:b/>
                <w:bCs/>
                <w:color w:val="auto"/>
                <w:szCs w:val="21"/>
                <w:lang w:val="en-US" w:eastAsia="zh-CN"/>
              </w:rPr>
              <w:t>15万元/年</w:t>
            </w:r>
            <w:r>
              <w:rPr>
                <w:rFonts w:hint="eastAsia" w:ascii="宋体" w:hAnsi="宋体" w:cs="宋体"/>
                <w:b/>
                <w:bCs/>
                <w:color w:val="auto"/>
                <w:szCs w:val="21"/>
              </w:rPr>
              <w:t>），各投标人有效总报价不得高于最高限价，否则，其投标文件按无效标处理。</w:t>
            </w:r>
          </w:p>
          <w:p>
            <w:pPr>
              <w:spacing w:line="360" w:lineRule="exac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评标基准价=所</w:t>
            </w:r>
            <w:r>
              <w:rPr>
                <w:rFonts w:hint="eastAsia" w:ascii="宋体" w:hAnsi="宋体" w:cs="宋体"/>
                <w:color w:val="auto"/>
                <w:szCs w:val="21"/>
                <w:lang w:val="en-US" w:eastAsia="zh-CN"/>
              </w:rPr>
              <w:t>有</w:t>
            </w:r>
            <w:r>
              <w:rPr>
                <w:rFonts w:hint="eastAsia" w:ascii="宋体" w:hAnsi="宋体" w:cs="宋体"/>
                <w:color w:val="auto"/>
                <w:szCs w:val="21"/>
              </w:rPr>
              <w:t>有效投标人的最低报价，其得分为满分；</w:t>
            </w:r>
          </w:p>
          <w:p>
            <w:pPr>
              <w:spacing w:line="36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报价得分=评标基准价/投标报价*</w:t>
            </w:r>
            <w:r>
              <w:rPr>
                <w:rFonts w:hint="eastAsia" w:ascii="宋体" w:hAnsi="宋体" w:cs="宋体"/>
                <w:color w:val="auto"/>
                <w:szCs w:val="21"/>
                <w:lang w:val="en-US" w:eastAsia="zh-CN"/>
              </w:rPr>
              <w:t>20</w:t>
            </w:r>
            <w:r>
              <w:rPr>
                <w:rFonts w:hint="eastAsia" w:ascii="宋体" w:hAnsi="宋体" w:cs="宋体"/>
                <w:color w:val="auto"/>
                <w:szCs w:val="21"/>
              </w:rPr>
              <w:t>分（小数点后保留两位小数，第三位四舍五入）；</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lang w:val="en-US" w:eastAsia="zh-CN"/>
              </w:rPr>
              <w:t>20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68" w:type="dxa"/>
            <w:tcBorders>
              <w:top w:val="single" w:color="auto" w:sz="4" w:space="0"/>
              <w:left w:val="single" w:color="auto" w:sz="4" w:space="0"/>
              <w:right w:val="single" w:color="auto" w:sz="4" w:space="0"/>
            </w:tcBorders>
            <w:vAlign w:val="center"/>
          </w:tcPr>
          <w:p>
            <w:pPr>
              <w:spacing w:line="400" w:lineRule="exact"/>
              <w:jc w:val="center"/>
              <w:textAlignment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报价2</w:t>
            </w:r>
          </w:p>
        </w:tc>
        <w:tc>
          <w:tcPr>
            <w:tcW w:w="75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b/>
                <w:bCs/>
                <w:color w:val="auto"/>
                <w:szCs w:val="21"/>
                <w:lang w:val="en-US" w:eastAsia="zh-CN"/>
              </w:rPr>
            </w:pPr>
            <w:r>
              <w:rPr>
                <w:rFonts w:hint="eastAsia" w:ascii="宋体" w:hAnsi="宋体" w:cs="宋体"/>
                <w:b/>
                <w:bCs/>
                <w:color w:val="auto"/>
                <w:szCs w:val="21"/>
                <w:lang w:val="en-US" w:eastAsia="zh-CN"/>
              </w:rPr>
              <w:t>空调非免费配件报价部分：</w:t>
            </w:r>
          </w:p>
          <w:p>
            <w:pPr>
              <w:numPr>
                <w:ilvl w:val="0"/>
                <w:numId w:val="2"/>
              </w:numPr>
              <w:spacing w:line="360" w:lineRule="exact"/>
              <w:rPr>
                <w:rFonts w:hint="eastAsia" w:ascii="宋体" w:hAnsi="宋体" w:cs="宋体"/>
                <w:b/>
                <w:bCs/>
                <w:color w:val="auto"/>
                <w:szCs w:val="21"/>
                <w:lang w:val="en-US" w:eastAsia="zh-CN"/>
              </w:rPr>
            </w:pPr>
            <w:r>
              <w:rPr>
                <w:rFonts w:hint="eastAsia" w:ascii="宋体" w:hAnsi="宋体" w:cs="宋体"/>
                <w:b/>
                <w:bCs/>
                <w:color w:val="auto"/>
                <w:szCs w:val="21"/>
                <w:lang w:val="en-US" w:eastAsia="zh-CN"/>
              </w:rPr>
              <w:t>空调非免费配件报价部分采用折扣率的形式进行报价，最高折扣率为100%，低于或等于100%为有效报价；</w:t>
            </w:r>
          </w:p>
          <w:p>
            <w:pPr>
              <w:spacing w:line="360" w:lineRule="exac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评标基准价=所</w:t>
            </w:r>
            <w:r>
              <w:rPr>
                <w:rFonts w:hint="eastAsia" w:ascii="宋体" w:hAnsi="宋体" w:cs="宋体"/>
                <w:color w:val="auto"/>
                <w:szCs w:val="21"/>
                <w:lang w:val="en-US" w:eastAsia="zh-CN"/>
              </w:rPr>
              <w:t>有</w:t>
            </w:r>
            <w:r>
              <w:rPr>
                <w:rFonts w:hint="eastAsia" w:ascii="宋体" w:hAnsi="宋体" w:cs="宋体"/>
                <w:color w:val="auto"/>
                <w:szCs w:val="21"/>
              </w:rPr>
              <w:t>有效投标人的</w:t>
            </w:r>
            <w:r>
              <w:rPr>
                <w:rFonts w:hint="eastAsia" w:ascii="宋体" w:hAnsi="宋体" w:cs="宋体"/>
                <w:color w:val="auto"/>
                <w:szCs w:val="21"/>
                <w:lang w:val="en-US" w:eastAsia="zh-CN"/>
              </w:rPr>
              <w:t>最高折扣率</w:t>
            </w:r>
            <w:r>
              <w:rPr>
                <w:rFonts w:hint="eastAsia" w:ascii="宋体" w:hAnsi="宋体" w:cs="宋体"/>
                <w:color w:val="auto"/>
                <w:szCs w:val="21"/>
              </w:rPr>
              <w:t>，其得分为满分；</w:t>
            </w:r>
          </w:p>
          <w:p>
            <w:pPr>
              <w:pStyle w:val="2"/>
              <w:numPr>
                <w:ilvl w:val="0"/>
                <w:numId w:val="0"/>
              </w:numPr>
              <w:rPr>
                <w:rFonts w:hint="default"/>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报价得分=评标基准价/投标</w:t>
            </w:r>
            <w:r>
              <w:rPr>
                <w:rFonts w:hint="eastAsia" w:ascii="宋体" w:hAnsi="宋体" w:cs="宋体"/>
                <w:color w:val="auto"/>
                <w:szCs w:val="21"/>
                <w:lang w:val="en-US" w:eastAsia="zh-CN"/>
              </w:rPr>
              <w:t>折扣率</w:t>
            </w:r>
            <w:r>
              <w:rPr>
                <w:rFonts w:hint="eastAsia" w:ascii="宋体" w:hAnsi="宋体" w:cs="宋体"/>
                <w:color w:val="auto"/>
                <w:szCs w:val="21"/>
              </w:rPr>
              <w:t>*</w:t>
            </w:r>
            <w:r>
              <w:rPr>
                <w:rFonts w:hint="eastAsia" w:ascii="宋体" w:hAnsi="宋体" w:cs="宋体"/>
                <w:color w:val="auto"/>
                <w:szCs w:val="21"/>
                <w:lang w:val="en-US" w:eastAsia="zh-CN"/>
              </w:rPr>
              <w:t>16</w:t>
            </w:r>
            <w:r>
              <w:rPr>
                <w:rFonts w:hint="eastAsia" w:ascii="宋体" w:hAnsi="宋体" w:cs="宋体"/>
                <w:color w:val="auto"/>
                <w:szCs w:val="21"/>
              </w:rPr>
              <w:t>分（小数点后保留两位小数，第三位四舍五入）；</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16分</w:t>
            </w:r>
          </w:p>
        </w:tc>
      </w:tr>
    </w:tbl>
    <w:p>
      <w:pPr>
        <w:overflowPunct w:val="0"/>
        <w:adjustRightInd w:val="0"/>
        <w:snapToGrid w:val="0"/>
        <w:spacing w:line="440" w:lineRule="exact"/>
        <w:rPr>
          <w:rFonts w:hint="eastAsia"/>
          <w:b/>
          <w:color w:val="auto"/>
          <w:szCs w:val="21"/>
          <w:lang w:val="en-US" w:eastAsia="zh-CN"/>
        </w:rPr>
      </w:pPr>
      <w:r>
        <w:rPr>
          <w:rFonts w:hint="eastAsia"/>
          <w:b/>
          <w:color w:val="auto"/>
          <w:szCs w:val="21"/>
        </w:rPr>
        <w:t>特别说明：1.</w:t>
      </w:r>
      <w:r>
        <w:rPr>
          <w:rFonts w:hint="eastAsia"/>
          <w:b/>
          <w:color w:val="auto"/>
          <w:szCs w:val="21"/>
          <w:lang w:val="en-US" w:eastAsia="zh-CN"/>
        </w:rPr>
        <w:t>商务标总得分=报价1得分+报价2得分；</w:t>
      </w:r>
    </w:p>
    <w:p>
      <w:pPr>
        <w:overflowPunct w:val="0"/>
        <w:adjustRightInd w:val="0"/>
        <w:snapToGrid w:val="0"/>
        <w:spacing w:line="440" w:lineRule="exact"/>
        <w:ind w:firstLine="1054" w:firstLineChars="500"/>
        <w:rPr>
          <w:rFonts w:hint="eastAsia"/>
          <w:b/>
          <w:color w:val="auto"/>
          <w:szCs w:val="21"/>
          <w:lang w:eastAsia="zh-CN"/>
        </w:rPr>
      </w:pPr>
      <w:r>
        <w:rPr>
          <w:rFonts w:hint="eastAsia"/>
          <w:b/>
          <w:color w:val="auto"/>
          <w:szCs w:val="21"/>
          <w:lang w:val="en-US" w:eastAsia="zh-CN"/>
        </w:rPr>
        <w:t>2.</w:t>
      </w:r>
      <w:r>
        <w:rPr>
          <w:rFonts w:hint="eastAsia"/>
          <w:b/>
          <w:color w:val="auto"/>
          <w:szCs w:val="21"/>
        </w:rPr>
        <w:t>以上分值均保留二位小数，小数点后第三位四舍五入</w:t>
      </w:r>
      <w:r>
        <w:rPr>
          <w:rFonts w:hint="eastAsia"/>
          <w:b/>
          <w:color w:val="auto"/>
          <w:szCs w:val="21"/>
          <w:lang w:eastAsia="zh-CN"/>
        </w:rPr>
        <w:t>；</w:t>
      </w:r>
    </w:p>
    <w:p>
      <w:pPr>
        <w:overflowPunct w:val="0"/>
        <w:adjustRightInd w:val="0"/>
        <w:snapToGrid w:val="0"/>
        <w:spacing w:line="440" w:lineRule="exact"/>
        <w:ind w:firstLine="1054" w:firstLineChars="500"/>
        <w:rPr>
          <w:rFonts w:hint="default"/>
          <w:b/>
          <w:color w:val="0000FF"/>
          <w:szCs w:val="21"/>
          <w:highlight w:val="yellow"/>
          <w:lang w:val="en-US" w:eastAsia="zh-CN"/>
        </w:rPr>
      </w:pPr>
      <w:r>
        <w:rPr>
          <w:rFonts w:hint="eastAsia"/>
          <w:b/>
          <w:color w:val="0000FF"/>
          <w:szCs w:val="21"/>
          <w:highlight w:val="yellow"/>
          <w:lang w:val="en-US" w:eastAsia="zh-CN"/>
        </w:rPr>
        <w:t>3.</w:t>
      </w:r>
      <w:r>
        <w:rPr>
          <w:rFonts w:hint="eastAsia" w:ascii="宋体" w:hAnsi="宋体" w:cs="宋体"/>
          <w:b/>
          <w:bCs/>
          <w:color w:val="0000FF"/>
          <w:szCs w:val="21"/>
          <w:highlight w:val="yellow"/>
          <w:lang w:val="en-US" w:eastAsia="zh-CN"/>
        </w:rPr>
        <w:t>空调非免费配件部分结算时以采购需求清单中的金额为计算基数*中标折扣率进行计算。</w:t>
      </w:r>
    </w:p>
    <w:p>
      <w:pPr>
        <w:overflowPunct w:val="0"/>
        <w:adjustRightInd w:val="0"/>
        <w:snapToGrid w:val="0"/>
        <w:spacing w:line="440" w:lineRule="exact"/>
        <w:ind w:firstLine="498" w:firstLineChars="236"/>
        <w:rPr>
          <w:rFonts w:hint="eastAsia"/>
          <w:b/>
          <w:color w:val="auto"/>
          <w:szCs w:val="21"/>
        </w:rPr>
      </w:pPr>
    </w:p>
    <w:p>
      <w:pPr>
        <w:numPr>
          <w:ilvl w:val="0"/>
          <w:numId w:val="3"/>
        </w:numPr>
        <w:spacing w:line="400" w:lineRule="exact"/>
        <w:jc w:val="center"/>
        <w:outlineLvl w:val="1"/>
        <w:rPr>
          <w:rFonts w:hint="eastAsia" w:ascii="宋体"/>
          <w:b/>
          <w:color w:val="auto"/>
          <w:sz w:val="24"/>
        </w:rPr>
      </w:pPr>
      <w:bookmarkStart w:id="549" w:name="_Hlk91343611"/>
      <w:r>
        <w:rPr>
          <w:rFonts w:hint="eastAsia" w:ascii="宋体"/>
          <w:b/>
          <w:color w:val="auto"/>
          <w:sz w:val="24"/>
        </w:rPr>
        <w:t>推荐中标候选人</w:t>
      </w:r>
    </w:p>
    <w:p>
      <w:pPr>
        <w:snapToGrid w:val="0"/>
        <w:spacing w:line="440" w:lineRule="exact"/>
        <w:ind w:firstLine="570"/>
        <w:rPr>
          <w:rFonts w:hint="eastAsia" w:ascii="宋体" w:hAnsi="Times New Roman" w:eastAsia="宋体" w:cs="Times New Roman"/>
          <w:b/>
          <w:color w:val="auto"/>
          <w:szCs w:val="21"/>
          <w:lang w:val="en-US" w:eastAsia="zh-CN"/>
        </w:rPr>
      </w:pPr>
      <w:r>
        <w:rPr>
          <w:rFonts w:hint="eastAsia" w:ascii="宋体" w:hAnsi="Times New Roman" w:eastAsia="宋体" w:cs="Times New Roman"/>
          <w:b/>
          <w:color w:val="auto"/>
          <w:szCs w:val="21"/>
          <w:lang w:val="en-US" w:eastAsia="zh-CN"/>
        </w:rPr>
        <w:t>7.评审结果</w:t>
      </w:r>
    </w:p>
    <w:p>
      <w:pPr>
        <w:numPr>
          <w:ilvl w:val="0"/>
          <w:numId w:val="0"/>
        </w:numPr>
        <w:snapToGrid w:val="0"/>
        <w:spacing w:line="440" w:lineRule="exact"/>
        <w:ind w:firstLine="630" w:firstLineChars="300"/>
        <w:jc w:val="left"/>
        <w:rPr>
          <w:rFonts w:hint="eastAsia" w:ascii="宋体"/>
          <w:color w:val="auto"/>
          <w:szCs w:val="21"/>
        </w:rPr>
      </w:pPr>
      <w:r>
        <w:rPr>
          <w:rFonts w:hint="eastAsia" w:ascii="宋体"/>
          <w:color w:val="auto"/>
          <w:szCs w:val="21"/>
          <w:lang w:val="en-US" w:eastAsia="zh-CN"/>
        </w:rPr>
        <w:t>7.1</w:t>
      </w:r>
      <w:r>
        <w:rPr>
          <w:rFonts w:hint="eastAsia" w:ascii="宋体"/>
          <w:color w:val="auto"/>
          <w:szCs w:val="21"/>
        </w:rPr>
        <w:t>评标委员会对经过综合评审的投标人，按综合评审得分从高到低的顺序依次推荐1-3名中标候选人。排名第一的为首选中标侯选人，依次类推第二、第三中标侯选人。</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w:t>
      </w:r>
      <w:r>
        <w:rPr>
          <w:rFonts w:hint="eastAsia" w:ascii="宋体"/>
          <w:color w:val="auto"/>
          <w:szCs w:val="21"/>
        </w:rPr>
        <w:t>.2评标委员会完成评标后，应当向招标人提交书面评标报告。</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7.3</w:t>
      </w:r>
      <w:r>
        <w:rPr>
          <w:rFonts w:hint="eastAsia" w:ascii="宋体"/>
          <w:color w:val="auto"/>
          <w:szCs w:val="21"/>
        </w:rPr>
        <w:t>例外情况</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7.3.1</w:t>
      </w:r>
      <w:r>
        <w:rPr>
          <w:rFonts w:hint="eastAsia" w:ascii="宋体"/>
          <w:color w:val="auto"/>
          <w:szCs w:val="21"/>
        </w:rPr>
        <w:t>当出现投标人综合评审得分相等时，按下列顺序排序：“投标报价”得分高的优先；仍相同时，由评标委员会现场抽签确定顺序。</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7.3.2</w:t>
      </w:r>
      <w:r>
        <w:rPr>
          <w:rFonts w:hint="eastAsia" w:ascii="宋体"/>
          <w:color w:val="auto"/>
          <w:szCs w:val="21"/>
        </w:rPr>
        <w:t>当评标委员会认为各投标报价均较高时，可以否决全部投标。</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7.3.3</w:t>
      </w:r>
      <w:r>
        <w:rPr>
          <w:rFonts w:hint="eastAsia" w:ascii="宋体"/>
          <w:color w:val="auto"/>
          <w:szCs w:val="21"/>
        </w:rPr>
        <w:t>招标文件条款存在含义不清或者相互矛盾的，评标委员会应当针对相应条款作出有利于相应投标人的结论。</w:t>
      </w:r>
    </w:p>
    <w:p>
      <w:pPr>
        <w:snapToGrid w:val="0"/>
        <w:spacing w:line="440" w:lineRule="exact"/>
        <w:ind w:firstLine="570"/>
        <w:rPr>
          <w:rFonts w:ascii="宋体"/>
          <w:b/>
          <w:color w:val="auto"/>
          <w:szCs w:val="21"/>
        </w:rPr>
      </w:pPr>
      <w:r>
        <w:rPr>
          <w:rFonts w:hint="eastAsia" w:ascii="宋体"/>
          <w:b/>
          <w:color w:val="auto"/>
          <w:szCs w:val="21"/>
        </w:rPr>
        <w:t>8.</w:t>
      </w:r>
      <w:r>
        <w:rPr>
          <w:rFonts w:hint="eastAsia" w:ascii="宋体" w:hAnsi="宋体"/>
          <w:b/>
          <w:color w:val="auto"/>
          <w:sz w:val="24"/>
        </w:rPr>
        <w:t xml:space="preserve"> </w:t>
      </w:r>
      <w:bookmarkStart w:id="550" w:name="_Hlk61815781"/>
      <w:r>
        <w:rPr>
          <w:rFonts w:hint="eastAsia" w:ascii="宋体"/>
          <w:b/>
          <w:color w:val="auto"/>
          <w:szCs w:val="21"/>
        </w:rPr>
        <w:t>无效投标条款</w:t>
      </w:r>
    </w:p>
    <w:p>
      <w:pPr>
        <w:snapToGrid w:val="0"/>
        <w:spacing w:line="440" w:lineRule="exact"/>
        <w:ind w:firstLine="525" w:firstLineChars="250"/>
        <w:rPr>
          <w:rFonts w:ascii="宋体" w:cs="宋体"/>
          <w:color w:val="auto"/>
          <w:szCs w:val="21"/>
        </w:rPr>
      </w:pPr>
      <w:r>
        <w:rPr>
          <w:rFonts w:hint="eastAsia" w:ascii="宋体" w:cs="宋体"/>
          <w:color w:val="auto"/>
          <w:szCs w:val="21"/>
        </w:rPr>
        <w:t>8.1投标文件有下列情形之一的,其投标文件拒收:</w:t>
      </w:r>
    </w:p>
    <w:p>
      <w:pPr>
        <w:snapToGrid w:val="0"/>
        <w:spacing w:line="440" w:lineRule="exact"/>
        <w:ind w:firstLine="420"/>
        <w:rPr>
          <w:rFonts w:ascii="宋体" w:hAnsi="宋体" w:cs="宋体"/>
          <w:b/>
          <w:bCs/>
          <w:color w:val="auto"/>
          <w:szCs w:val="21"/>
        </w:rPr>
      </w:pPr>
      <w:r>
        <w:rPr>
          <w:rFonts w:hint="eastAsia" w:ascii="宋体" w:cs="宋体"/>
          <w:color w:val="auto"/>
          <w:szCs w:val="21"/>
        </w:rPr>
        <w:t xml:space="preserve"> </w:t>
      </w:r>
      <w:r>
        <w:rPr>
          <w:rFonts w:hint="eastAsia" w:ascii="宋体" w:hAnsi="宋体" w:cs="宋体"/>
          <w:b/>
          <w:bCs/>
          <w:color w:val="auto"/>
          <w:szCs w:val="21"/>
        </w:rPr>
        <w:t xml:space="preserve"> 未在开标截止时间前递交投标文件的，不予接收，投标将被拒绝。</w:t>
      </w:r>
    </w:p>
    <w:p>
      <w:pPr>
        <w:snapToGrid w:val="0"/>
        <w:spacing w:line="440" w:lineRule="exact"/>
        <w:ind w:firstLine="420"/>
        <w:rPr>
          <w:rFonts w:ascii="宋体" w:hAnsi="宋体" w:cs="宋体"/>
          <w:color w:val="auto"/>
          <w:szCs w:val="21"/>
        </w:rPr>
      </w:pPr>
      <w:r>
        <w:rPr>
          <w:rFonts w:hint="eastAsia" w:ascii="宋体" w:hAnsi="宋体" w:cs="宋体"/>
          <w:color w:val="auto"/>
          <w:szCs w:val="21"/>
        </w:rPr>
        <w:t>8.2投标人有下列情形之一的,资格审查后其投标作无效投标处理：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(1)投标人为本项目提供招标代理服务的；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(2)投标人与在本项目代理机构存在相互任职或工作的；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(3)被暂停营业的；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(4)被暂停或取消投标资格的；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(5)财产被接管或冻结的；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(6)投标人单位负责人为同一人或者存在控股、管理关系的不同单位的；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 投标人基本资格条件和特定资格条件中有一项及以上不符合要求的；</w:t>
      </w:r>
    </w:p>
    <w:p>
      <w:pPr>
        <w:snapToGrid w:val="0"/>
        <w:spacing w:line="440" w:lineRule="exact"/>
        <w:ind w:firstLine="420" w:firstLineChars="200"/>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 xml:space="preserve"> 投标人单方面出现其他投标人材料的；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(9) 招标文件规定的其它无效投标情形。</w:t>
      </w:r>
    </w:p>
    <w:p>
      <w:pPr>
        <w:snapToGrid w:val="0"/>
        <w:spacing w:line="440" w:lineRule="exact"/>
        <w:rPr>
          <w:rFonts w:ascii="宋体" w:hAnsi="宋体" w:cs="宋体"/>
          <w:color w:val="auto"/>
          <w:szCs w:val="21"/>
        </w:rPr>
      </w:pPr>
      <w:r>
        <w:rPr>
          <w:rFonts w:hint="eastAsia" w:ascii="宋体" w:hAnsi="宋体" w:cs="宋体"/>
          <w:color w:val="auto"/>
          <w:szCs w:val="21"/>
        </w:rPr>
        <w:t xml:space="preserve">   8.3 投标人有下列情形之一的,符合性审查后其投标按无效投标处理：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(2)未按规定的格式填写，实质性内容不全或关键字迹模糊、无法辨认的；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(3)同一投标人提交两个以上不同的投标文件或者投标报价，但招标文件规定提交备选方案的除外；</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(4)投标文件没有对招标文件的实质性要求和条件作出响应;</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(5)投标报价超出规定的投标限价或公布的采购预算的或投标人的投标报价各项单价高于招标文件给定的单价最高限价；</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(6)不按评标委员会要求澄清、说明或补正的，或者评标委员会根据招标文件的规定对招标文件的计算错误进行修正后，投标人不接受修正的投标报价的。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(7)投标文件含有采购人不能接受的附加条件的；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(8)招标文件规定的其它无效投标情形。</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8.4 投标人有下列情形之一的, 详细评审后其投标按无效投标处理：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(1)投标产品不符合必须强制执行的国家标准的；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(2)投标人有串通投标、弄虚作假、行贿等违法行为；</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(3)投标文件含有违反国家法律、法规的内容，或附有采购人不能接受的条件的；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(4)在同一项目（或同一标段）中有多个投标人有效投标报价接近最高限价，且评标委员会认为报价出现异常的，可以宣布其投标无效；</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报价明显低于其他投标人，且不能证明报价合理性的投标无效</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拒不确认评标委员会评审修正的投标无效</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(7)招标文件规定的其它无效投标情形。</w:t>
      </w:r>
    </w:p>
    <w:bookmarkEnd w:id="550"/>
    <w:p>
      <w:pPr>
        <w:jc w:val="center"/>
        <w:rPr>
          <w:rFonts w:ascii="宋体" w:hAnsi="宋体" w:cs="宋体"/>
          <w:b/>
          <w:bCs/>
          <w:color w:val="auto"/>
          <w:sz w:val="32"/>
          <w:szCs w:val="32"/>
        </w:rPr>
      </w:pPr>
    </w:p>
    <w:p>
      <w:pPr>
        <w:jc w:val="center"/>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rPr>
        <w:t>第</w:t>
      </w: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 xml:space="preserve">章 </w:t>
      </w:r>
      <w:r>
        <w:rPr>
          <w:rFonts w:hint="eastAsia" w:ascii="宋体" w:hAnsi="宋体" w:cs="宋体"/>
          <w:b/>
          <w:bCs/>
          <w:color w:val="000000"/>
          <w:kern w:val="0"/>
          <w:sz w:val="32"/>
          <w:szCs w:val="32"/>
          <w:lang w:bidi="ar"/>
        </w:rPr>
        <w:t>采购需求</w:t>
      </w:r>
      <w:r>
        <w:rPr>
          <w:rFonts w:hint="eastAsia" w:ascii="宋体" w:hAnsi="宋体" w:cs="宋体"/>
          <w:b/>
          <w:bCs/>
          <w:color w:val="000000"/>
          <w:kern w:val="0"/>
          <w:sz w:val="32"/>
          <w:szCs w:val="32"/>
          <w:lang w:val="en-US" w:eastAsia="zh-CN" w:bidi="ar"/>
        </w:rPr>
        <w:t>及服务要求</w:t>
      </w:r>
    </w:p>
    <w:bookmarkEnd w:id="48"/>
    <w:bookmarkEnd w:id="549"/>
    <w:p>
      <w:pPr>
        <w:snapToGrid w:val="0"/>
        <w:spacing w:line="440" w:lineRule="exact"/>
        <w:ind w:firstLine="301" w:firstLineChars="100"/>
        <w:rPr>
          <w:rFonts w:hint="eastAsia" w:ascii="宋体" w:hAnsi="宋体" w:eastAsia="宋体" w:cs="宋体"/>
          <w:b/>
          <w:bCs/>
          <w:color w:val="auto"/>
          <w:sz w:val="30"/>
          <w:szCs w:val="30"/>
        </w:rPr>
      </w:pPr>
      <w:bookmarkStart w:id="551" w:name="_Toc24931"/>
      <w:bookmarkStart w:id="552" w:name="_Toc22879"/>
      <w:bookmarkStart w:id="553" w:name="_Toc31972"/>
      <w:bookmarkStart w:id="554" w:name="_Toc35864588"/>
      <w:bookmarkStart w:id="555" w:name="_Toc15832"/>
      <w:bookmarkStart w:id="556" w:name="_Toc22466"/>
      <w:bookmarkStart w:id="557" w:name="_Toc26076"/>
      <w:r>
        <w:rPr>
          <w:rFonts w:hint="eastAsia" w:ascii="宋体" w:hAnsi="宋体" w:eastAsia="宋体" w:cs="宋体"/>
          <w:b/>
          <w:bCs/>
          <w:color w:val="auto"/>
          <w:sz w:val="30"/>
          <w:szCs w:val="30"/>
          <w:lang w:val="en-US" w:eastAsia="zh-CN"/>
        </w:rPr>
        <w:t>一、</w:t>
      </w:r>
      <w:r>
        <w:rPr>
          <w:rFonts w:hint="eastAsia" w:ascii="宋体" w:hAnsi="宋体" w:eastAsia="宋体" w:cs="宋体"/>
          <w:b/>
          <w:bCs/>
          <w:color w:val="auto"/>
          <w:sz w:val="30"/>
          <w:szCs w:val="30"/>
        </w:rPr>
        <w:t>服务内容</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中选单位对</w:t>
      </w:r>
      <w:r>
        <w:rPr>
          <w:rFonts w:hint="eastAsia" w:ascii="宋体" w:hAnsi="宋体" w:eastAsia="宋体" w:cs="宋体"/>
          <w:color w:val="auto"/>
          <w:szCs w:val="21"/>
          <w:lang w:val="en-US" w:eastAsia="zh-CN"/>
        </w:rPr>
        <w:t>滁州市第二人民医院中央空调</w:t>
      </w:r>
      <w:r>
        <w:rPr>
          <w:rFonts w:hint="eastAsia" w:ascii="宋体" w:hAnsi="宋体" w:eastAsia="宋体" w:cs="宋体"/>
          <w:color w:val="auto"/>
          <w:szCs w:val="21"/>
        </w:rPr>
        <w:t>机组设备进行清包服务。中选单位负责保证中央空调机组设备的正常使用，通过对采购人设备的日常维护以及维修等服务手段，使采购人设备正常、安全的运行。在合同期内，</w:t>
      </w:r>
      <w:r>
        <w:rPr>
          <w:rFonts w:hint="eastAsia" w:ascii="宋体" w:hAnsi="宋体" w:eastAsia="宋体" w:cs="宋体"/>
          <w:color w:val="auto"/>
          <w:szCs w:val="21"/>
          <w:lang w:val="en-US" w:eastAsia="zh-CN"/>
        </w:rPr>
        <w:t>中央空调</w:t>
      </w:r>
      <w:r>
        <w:rPr>
          <w:rFonts w:hint="eastAsia" w:ascii="宋体" w:hAnsi="宋体" w:eastAsia="宋体" w:cs="宋体"/>
          <w:color w:val="auto"/>
          <w:szCs w:val="21"/>
        </w:rPr>
        <w:t>机组等所有零部件发生损坏，如需更换配件，配件材料的价格需经甲方需求部门确认同意后方可更换。配件费用</w:t>
      </w:r>
      <w:r>
        <w:rPr>
          <w:rFonts w:hint="eastAsia" w:ascii="宋体" w:hAnsi="宋体" w:eastAsia="宋体" w:cs="宋体"/>
          <w:color w:val="auto"/>
          <w:szCs w:val="21"/>
          <w:lang w:val="en-US" w:eastAsia="zh-CN"/>
        </w:rPr>
        <w:t>≥300元</w:t>
      </w:r>
      <w:r>
        <w:rPr>
          <w:rFonts w:hint="eastAsia" w:ascii="宋体" w:hAnsi="宋体" w:eastAsia="宋体" w:cs="宋体"/>
          <w:color w:val="auto"/>
          <w:szCs w:val="21"/>
        </w:rPr>
        <w:t>由采购方承担，</w:t>
      </w:r>
      <w:r>
        <w:rPr>
          <w:rFonts w:hint="eastAsia" w:ascii="宋体" w:hAnsi="宋体" w:eastAsia="宋体" w:cs="宋体"/>
          <w:color w:val="auto"/>
          <w:szCs w:val="21"/>
          <w:lang w:val="en-US" w:eastAsia="zh-CN"/>
        </w:rPr>
        <w:t>＜300元由中标人承担。</w:t>
      </w:r>
      <w:r>
        <w:rPr>
          <w:rFonts w:hint="eastAsia" w:ascii="宋体" w:hAnsi="宋体" w:eastAsia="宋体" w:cs="宋体"/>
          <w:color w:val="auto"/>
          <w:szCs w:val="21"/>
        </w:rPr>
        <w:t>中标单位不得另行收取拆装及服务费用。所更换易损件质保期依据厂家质保期限执行。同时提供更换配件明细及单价报价表做为结算依据。</w:t>
      </w:r>
    </w:p>
    <w:p>
      <w:pPr>
        <w:snapToGrid w:val="0"/>
        <w:spacing w:line="440" w:lineRule="exact"/>
        <w:ind w:firstLine="301" w:firstLineChars="100"/>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二、</w:t>
      </w:r>
      <w:r>
        <w:rPr>
          <w:rFonts w:hint="eastAsia" w:ascii="宋体" w:hAnsi="宋体" w:eastAsia="宋体" w:cs="宋体"/>
          <w:b/>
          <w:bCs/>
          <w:color w:val="auto"/>
          <w:sz w:val="30"/>
          <w:szCs w:val="30"/>
        </w:rPr>
        <w:t>服务要求</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1、中标人必须安排</w:t>
      </w:r>
      <w:r>
        <w:rPr>
          <w:rFonts w:hint="eastAsia" w:ascii="宋体" w:hAnsi="宋体" w:eastAsia="宋体" w:cs="宋体"/>
          <w:color w:val="auto"/>
          <w:szCs w:val="21"/>
          <w:lang w:val="en-US" w:eastAsia="zh-CN"/>
        </w:rPr>
        <w:t>1</w:t>
      </w:r>
      <w:r>
        <w:rPr>
          <w:rFonts w:hint="eastAsia" w:ascii="宋体" w:hAnsi="宋体" w:eastAsia="宋体" w:cs="宋体"/>
          <w:color w:val="auto"/>
          <w:szCs w:val="21"/>
        </w:rPr>
        <w:t>名及以上有三年以上的相关工作经验、能独立操作</w:t>
      </w:r>
      <w:r>
        <w:rPr>
          <w:rFonts w:hint="eastAsia" w:ascii="宋体" w:hAnsi="宋体" w:eastAsia="宋体" w:cs="宋体"/>
          <w:color w:val="auto"/>
          <w:szCs w:val="21"/>
          <w:lang w:val="en-US" w:eastAsia="zh-CN"/>
        </w:rPr>
        <w:t>驻场的</w:t>
      </w:r>
      <w:r>
        <w:rPr>
          <w:rFonts w:hint="eastAsia" w:ascii="宋体" w:hAnsi="宋体" w:eastAsia="宋体" w:cs="宋体"/>
          <w:color w:val="auto"/>
          <w:szCs w:val="21"/>
        </w:rPr>
        <w:t>专业技术人员</w:t>
      </w:r>
      <w:r>
        <w:rPr>
          <w:rFonts w:hint="eastAsia" w:ascii="宋体" w:hAnsi="宋体" w:eastAsia="宋体" w:cs="宋体"/>
          <w:color w:val="auto"/>
          <w:szCs w:val="21"/>
          <w:lang w:val="en-US" w:eastAsia="zh-CN"/>
        </w:rPr>
        <w:t>专职负责本项目</w:t>
      </w:r>
      <w:r>
        <w:rPr>
          <w:rFonts w:hint="eastAsia" w:ascii="宋体" w:hAnsi="宋体" w:eastAsia="宋体" w:cs="宋体"/>
          <w:color w:val="auto"/>
          <w:szCs w:val="21"/>
        </w:rPr>
        <w:t>，以确保维修及时性，且必须持有技能主管部门核发的制冷</w:t>
      </w:r>
      <w:r>
        <w:rPr>
          <w:rFonts w:hint="eastAsia" w:ascii="宋体" w:hAnsi="宋体" w:eastAsia="宋体" w:cs="宋体"/>
          <w:color w:val="auto"/>
          <w:szCs w:val="21"/>
          <w:lang w:val="en-US" w:eastAsia="zh-CN"/>
        </w:rPr>
        <w:t>或电工证书</w:t>
      </w:r>
      <w:r>
        <w:rPr>
          <w:rFonts w:hint="eastAsia" w:ascii="宋体" w:hAnsi="宋体" w:eastAsia="宋体" w:cs="宋体"/>
          <w:color w:val="auto"/>
          <w:szCs w:val="21"/>
        </w:rPr>
        <w:t>；</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2、中标人要备足常用配件和耗材，保证维修及时性；</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3、中标人负责空调机组设备全年的维护和保养工作，每年两次清洗保养；</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4、中标人安排巡值人员定期对空调设备巡检并作时间记录；</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5、投标价中应包括与维保内容有关的所有费用（如工具、消耗材料、利润、税金、人员保险等）；</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6、零配件需为全新原厂配件； </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7、保养期内，中标人必须按照设备相关规定及有关标准、质量指标等，对空调系统进行保养维修，确保设备处于正常工作状态，设备故障修复时间最长不得超过三天； </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8、中标人必须根据维修保养内容的要求，制定具体量化计划，严格按照计划组织实施，并作好设备检查记录，列明系统设施设备的运行情况、故障原因、处理结果。</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9、中标人工作人员在采购人单位工作期间，必须严格遵守采购人单位的规章制度,做到文明施工，确保安全、保质、快捷可靠，并保持通讯畅通。因中标人维修保养质量所引起的一切事故责任由中标人承担；</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10、空调系统维修保养内容包括：制冷系统、控制系统、水系统、电气系统、通风系统</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锅炉等</w:t>
      </w:r>
      <w:r>
        <w:rPr>
          <w:rFonts w:hint="eastAsia" w:ascii="宋体" w:hAnsi="宋体" w:eastAsia="宋体" w:cs="宋体"/>
          <w:color w:val="auto"/>
          <w:szCs w:val="21"/>
        </w:rPr>
        <w:t>（如有遗漏视同包含）。</w:t>
      </w:r>
    </w:p>
    <w:p>
      <w:pPr>
        <w:snapToGrid w:val="0"/>
        <w:spacing w:line="44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11、中标人须及时提供维修清单给采购人签字确认。</w:t>
      </w:r>
    </w:p>
    <w:p>
      <w:pPr>
        <w:snapToGrid w:val="0"/>
        <w:spacing w:line="440" w:lineRule="exact"/>
        <w:ind w:firstLine="301" w:firstLineChars="100"/>
        <w:rPr>
          <w:rFonts w:hint="eastAsia" w:ascii="宋体" w:hAnsi="宋体" w:eastAsia="宋体" w:cs="宋体"/>
          <w:b/>
          <w:bCs/>
          <w:color w:val="auto"/>
          <w:sz w:val="30"/>
          <w:szCs w:val="30"/>
        </w:rPr>
      </w:pPr>
      <w:r>
        <w:rPr>
          <w:rFonts w:hint="eastAsia" w:ascii="宋体" w:hAnsi="宋体" w:eastAsia="宋体" w:cs="宋体"/>
          <w:b/>
          <w:bCs/>
          <w:color w:val="auto"/>
          <w:sz w:val="30"/>
          <w:szCs w:val="30"/>
        </w:rPr>
        <w:t>三、维修保养内容：</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）空调主机</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1、运行季节检查（每月）</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1.1、检查各冷冻、冷却系统管道有无渗水现象，有无渗到天花板造成事故的可能，并提出可行性整改方案。</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1.2、检查各出风口有无冷凝水现象，并提出解决方案。</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2、运行季节检查（每</w:t>
      </w:r>
      <w:r>
        <w:rPr>
          <w:rFonts w:hint="eastAsia" w:ascii="宋体" w:hAnsi="宋体" w:eastAsia="宋体" w:cs="宋体"/>
          <w:color w:val="auto"/>
          <w:szCs w:val="21"/>
          <w:lang w:val="en-US" w:eastAsia="zh-CN"/>
        </w:rPr>
        <w:t>季度</w:t>
      </w:r>
      <w:r>
        <w:rPr>
          <w:rFonts w:hint="eastAsia" w:ascii="宋体" w:hAnsi="宋体" w:eastAsia="宋体" w:cs="宋体"/>
          <w:color w:val="auto"/>
          <w:szCs w:val="21"/>
        </w:rPr>
        <w:t>）</w:t>
      </w:r>
    </w:p>
    <w:p>
      <w:pPr>
        <w:snapToGrid w:val="0"/>
        <w:spacing w:line="44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机组运行期间，定期进行下列各项检查，确保机组在整个供冷季节运行高效，可靠</w:t>
      </w:r>
      <w:r>
        <w:rPr>
          <w:rFonts w:hint="eastAsia" w:ascii="宋体" w:hAnsi="宋体" w:eastAsia="宋体" w:cs="宋体"/>
          <w:color w:val="auto"/>
          <w:szCs w:val="21"/>
          <w:lang w:eastAsia="zh-CN"/>
        </w:rPr>
        <w:t>。</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2.1、检查冷水机组，调整安全控制装置。</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2.2、开机运行，观察机组运行状况，记录运行参数；对照相应机组标准工况运行参数分析机组运行性能，必要时调整以达到机组运行最佳状态。</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2.3、检查机组各个安全装置，对各传感器参数进行核对。</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2.4、检测机组运行的三相电流值及各个温度传感器、压力传感器的反馈电流信号值观察电流表移动情况。</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2.5、检测机组运行的三相工作电压值与中央处理器以及各个温度、压力传感器的工作电压以及各项强电、弱电控制电路的工作电压值并校核机组的变压器所输出的高低电压数值是否正常。</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2.6、检查润滑油系统的工作状态与查看油量是否足够以及各油路系统是否有泄漏现象并测量润滑油的工作温度以及工作压力，并校正油压，控制压缩机增减载速度是否正常。</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2.7、参照机组的各项安全运行指标检查及调整安全保护设定点检测主机微处理机各组态设定值是否正确。</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2.8、检查机组的冷冻水和冷却水的水流开关的工作电压以及检测机组的冷冻水和冷却水的水流量是否正常并查看水质是否合格，检查冷却塔的工作是否符合机组的运行需要。</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2.9、膨胀阀性能检测，防止机组压缩机渗液等现象。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2.10、检测压缩机增减载情况，校正能量位移传感器。</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2.11、检测马达增载限制控制。</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2.12、检验增载平衡运转。</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2.13、检查控制装置的运行。</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2.14、检查制冷剂液位和油位。</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2.15、检查制冷剂有无泄漏。</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2.16、检查润滑系统的运行。</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2.17、检查回油系统。</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2.18、检查电机和启动器的运行。</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2.19、记录运行状态参数，分析确认机组运行正常，必要时进行机组检修。</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2.20、记录和报告要求的备件。</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3、供冷季节启动前的准备和检查（年度）</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3.1、重复月度、季度保养工作内容。</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3.2、检查冷冻油色，冷冻油杂质含量等冷冻油性质以反映压缩机内部机械运转状况和运行趋势，如发现冷冻油异常，及时处理以免造成压缩机磨损加剧将核心关键部位损坏。</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3.3、对机组压缩机不同部位进行运行时振动分析，在无须拆卸压缩机的情况下，准确诊断各种原因引起的多类故障类型，将故障暴露在初发状态，以及时采取措施，防止故障的恶化升级，保护设备。</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3.4、检查制冷剂液位和油面。</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3.5、检测机组冷媒系统的工作状态并分析冷媒过滤器是否工作正常。</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3.6、更换润滑油、油过滤器和干燥过滤器。</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3.7、检查油槽、油加热器和温度。</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3.8、检查和测试所有运行控制和安全控制功能。</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3.9、检测各个安全保护装置，必要时调整。</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3.10、做模拟启动，检查启动器的运行状况。</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3.11、检查调整微电脑控制中心的设定值。</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3.12、检查是否有不正常的声响，震动及高温，检查机组各运动装置。</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3.13、检测油温控制传感器及其它传感器及压力表。</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3.14、压缩机装置和端子绝缘。</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3.15、启动冷水机组，检查整个系统的运行状况，记录机组运行参数。</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3.16、根据运行记录，分析处理机组问题。</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3.17、提供检修保养报告。</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3.18、检查冷却管道软连接有无裂缝，承受是否安全。有无瀑裂隐患。</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二</w:t>
      </w:r>
      <w:r>
        <w:rPr>
          <w:rFonts w:hint="eastAsia" w:ascii="宋体" w:hAnsi="宋体" w:eastAsia="宋体" w:cs="宋体"/>
          <w:color w:val="auto"/>
          <w:szCs w:val="21"/>
        </w:rPr>
        <w:t>）空调冷冻、冷却水泵及补水泵</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1、月度日常保养工作内容</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1.1、不定期要检查机械各部位紧固螺钉的松紧度，发现松动应及时拧紧。</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1.2、检查水泵控制电路，检测水泵运行各项电压、电流。</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1.3、检查是否有不正常的声响，震动及高温，检查机组各运动装置。</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1.4、水泵工作100—150小时后，给转动部位加注润滑油；在运行过程中，检查水泵异常震动噪音等，发现异常，及时处理。</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1.5、检查水泵轴头渗水情况，根据实际情况及时处理。</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1.6、检查电机与水泵的联结轴与垫圈是否正常。</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1.7、检查水泵是否漏气、冷却管软接有无松动及开裂现象。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1.8、检查电机接地、绝缘状况。</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1.9、每项工作完工后提交工作报告，建立设备维护保养记录卡。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1.10、出现异常状况和相关故障及时维修保养，提交每月工作记录报告。</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季度</w:t>
      </w:r>
      <w:r>
        <w:rPr>
          <w:rFonts w:hint="eastAsia" w:ascii="宋体" w:hAnsi="宋体" w:eastAsia="宋体" w:cs="宋体"/>
          <w:color w:val="auto"/>
          <w:szCs w:val="21"/>
        </w:rPr>
        <w:t>保养内容</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2.1、检测控制电路，清理接触器各触点，紧固所有接线端子；</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2.2、检测马达线圈绝缘性，接线端子连接情况；</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2.3、检查电机、定子、转子及轴承；</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2.4、检查并调整、更换联接轴、缓冲垫和封垫；</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2.5、检查全部油封和水封；</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2.6、检查水泵叶轮；</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2.7、呈交</w:t>
      </w:r>
      <w:r>
        <w:rPr>
          <w:rFonts w:hint="eastAsia" w:ascii="宋体" w:hAnsi="宋体" w:eastAsia="宋体" w:cs="宋体"/>
          <w:color w:val="auto"/>
          <w:szCs w:val="21"/>
          <w:lang w:val="en-US" w:eastAsia="zh-CN"/>
        </w:rPr>
        <w:t>季度</w:t>
      </w:r>
      <w:r>
        <w:rPr>
          <w:rFonts w:hint="eastAsia" w:ascii="宋体" w:hAnsi="宋体" w:eastAsia="宋体" w:cs="宋体"/>
          <w:color w:val="auto"/>
          <w:szCs w:val="21"/>
        </w:rPr>
        <w:t>维保报告。</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三</w:t>
      </w:r>
      <w:r>
        <w:rPr>
          <w:rFonts w:hint="eastAsia" w:ascii="宋体" w:hAnsi="宋体" w:eastAsia="宋体" w:cs="宋体"/>
          <w:color w:val="auto"/>
          <w:szCs w:val="21"/>
        </w:rPr>
        <w:t>）空调冷却塔</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1、检查控制电路，清理电器控制回路，检查任何松脱及过热收紧接头；</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2、测试机组各电器绝缘情况，及冷却塔电机绝缘情况；</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3、检查安全保护装置，必要时进行调整；</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4、运行前对冷却塔接水盘和填料进行除青苔和除污清洗，检查填料有无破损及时更换；</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5、检查电动机运行电流，温升是否正常，有无异常噪音；</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6、检查风机运转时扇叶是否平稳，有无异常噪音；</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7、每月定期给冷却塔风机轴承加润滑油，调整风机皮带松紧度；</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四</w:t>
      </w:r>
      <w:r>
        <w:rPr>
          <w:rFonts w:hint="eastAsia" w:ascii="宋体" w:hAnsi="宋体" w:eastAsia="宋体" w:cs="宋体"/>
          <w:color w:val="auto"/>
          <w:szCs w:val="21"/>
        </w:rPr>
        <w:t>）风机盘管维保</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主要包括检修风机盘管风、水滤网控制系统及电机检修。具体流程如下：</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1检查控制系统</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2检查风盘电机</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3对接水盘，y型过滤器进行检查</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4每年两次清洗风、水滤网</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五</w:t>
      </w:r>
      <w:r>
        <w:rPr>
          <w:rFonts w:hint="eastAsia" w:ascii="宋体" w:hAnsi="宋体" w:eastAsia="宋体" w:cs="宋体"/>
          <w:color w:val="auto"/>
          <w:szCs w:val="21"/>
        </w:rPr>
        <w:t>）多联机组</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1、制冷系统</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（1）压缩机的维护：检查压缩机润滑、吸排气压力，压缩电机性能等是否完好。</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（2）检查制冷系统管路压力是否达到设计值，否则应找出原因进行维修。</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（3）检查室外机的运行情况，并做好日常维护保养工作。</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2、电气系统</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（1）对电器柜进行全面检查，重点检查断路器电气特征是否完好。</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（2）检查风机电机静态阻值及绝缘特征。</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（3）检查电气箱内各电器系统是否完好。</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（4）校正高、低保护器是否与设定值相符。</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3、对空调机组进行独立系统调试，使之达到运行要求。其他方面如有不正常进行维护维修。</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（1）检查蒸发器/冷凝器清洁度。</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（2）核定面板显示功能和准确度。</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（3）检查各告警功能。</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4、紧急故障抢修和处理时限：</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（1）紧急故障的处理原则：应按照先抢修、后修复的原则迅速处理。</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（2）紧急故障的处理时限：除不可抗力的影响外，维保方接到故障通知后，2小时内到达故障所在地。一般性设备故障的最大修复时间不得超过8小时。</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5、常规维护保养：</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（1）逢冷热季节交换时，对本标规定范围内所有空调，实行定期检查维护（每年两次）：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a、检查机组运行数据（每年两次）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b、检查蒸发器进出口温度（每年两次）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c、检查冷媒系统运行情况（每年两次）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d、风滤网及外机冷凝器清洗（每年</w:t>
      </w:r>
      <w:r>
        <w:rPr>
          <w:rFonts w:hint="eastAsia" w:ascii="宋体" w:hAnsi="宋体" w:eastAsia="宋体" w:cs="宋体"/>
          <w:color w:val="auto"/>
          <w:szCs w:val="21"/>
          <w:lang w:val="en-US" w:eastAsia="zh-CN"/>
        </w:rPr>
        <w:t>两</w:t>
      </w:r>
      <w:r>
        <w:rPr>
          <w:rFonts w:hint="eastAsia" w:ascii="宋体" w:hAnsi="宋体" w:eastAsia="宋体" w:cs="宋体"/>
          <w:color w:val="auto"/>
          <w:szCs w:val="21"/>
        </w:rPr>
        <w:t>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e、检查压缩机各部位温度及排气、吸气压力（每年两次）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f、检查压缩机三相电压及电流（每年两次）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g、检查膨胀阀、换向阀、电磁阀等阀件的工作状态（每年两次）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h、检查油电加热器、汽液分离器、排气止回阀等工作状态（每年两次）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i、检查控制系统的动作程序（每年两次）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j、检查安全保护开关整定情况（每年两次）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k、检查任何不正常的噪音和振动（每年两次）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l、检查及收紧电路上各电线接点（每年两次）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m、检查电机绝缘情况（每年两次）</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n、调校安全及控制设置（每年两次）</w:t>
      </w:r>
    </w:p>
    <w:p>
      <w:pPr>
        <w:snapToGrid w:val="0"/>
        <w:spacing w:line="440" w:lineRule="exact"/>
        <w:ind w:firstLine="301" w:firstLineChars="1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四、</w:t>
      </w:r>
      <w:r>
        <w:rPr>
          <w:rFonts w:hint="default" w:ascii="宋体" w:hAnsi="宋体" w:eastAsia="宋体" w:cs="宋体"/>
          <w:b/>
          <w:bCs/>
          <w:color w:val="auto"/>
          <w:sz w:val="30"/>
          <w:szCs w:val="30"/>
          <w:lang w:val="en-US" w:eastAsia="zh-CN"/>
        </w:rPr>
        <w:t>空调设备清单</w:t>
      </w:r>
    </w:p>
    <w:tbl>
      <w:tblPr>
        <w:tblStyle w:val="51"/>
        <w:tblW w:w="95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3186"/>
        <w:gridCol w:w="2200"/>
        <w:gridCol w:w="170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4"/>
                <w:szCs w:val="24"/>
                <w:u w:val="none"/>
              </w:rPr>
            </w:pPr>
            <w:r>
              <w:rPr>
                <w:rFonts w:hint="default" w:ascii="楷体_GB2312" w:hAnsi="宋体" w:eastAsia="楷体_GB2312" w:cs="楷体_GB2312"/>
                <w:b/>
                <w:bCs/>
                <w:i w:val="0"/>
                <w:iCs w:val="0"/>
                <w:color w:val="000000"/>
                <w:kern w:val="0"/>
                <w:sz w:val="24"/>
                <w:szCs w:val="24"/>
                <w:u w:val="none"/>
                <w:lang w:val="en-US" w:eastAsia="zh-CN" w:bidi="ar"/>
              </w:rPr>
              <w:t>名称:1#综合科门诊楼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  料  名  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规格、型号等特殊要求</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SN-D22T2/N1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SN-D28T2/N1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SN-D36T2/N1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SN-D45T2/N1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SN-D56T2/N1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SN-D71T2/N1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SN-D80T2/N1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天花板嵌入式室内机（SN-D90Q4/N1)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天花板嵌入式室内机（SND56Q4/N1）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天花板嵌入式室内机（SN-D71Q4/N1）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天花板嵌入式室内机（SN-D80Q4/N1）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新风机XF-1-1-4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新风机XF-2-1-4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新风机XF-3-1-4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变冷媒空调室外机SW-1-1等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变冷媒空调室外机SW-2-3等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变冷媒空调室外机SW-2-4等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变冷媒空调室外机SW-3-1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变冷媒空调室外机SW-1-3等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变冷媒空调室外机SW-1-4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变冷媒空调室外机SW-3-4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变冷媒空调室外机SW-1-2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变冷媒空调室外机SW-1-5等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依米康精密空调</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SCA602DES</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名称:2#行政后勤综合楼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  料  名  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规格、型号等特殊要求</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SN-D22T2/N1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SN-D28T2/N1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SN-D36T2/N1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SN-D45T2/N1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SN-D56T2/N1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SN-D71T2/N1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薄壁风管天井式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SN-D80T2/N1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天花板嵌入式室内机（SN-D45Q4/N1）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天花板嵌入式室内机（SN-D56Q4/N1）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天花板嵌入式室内机（SN-D71Q4/N1）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天花板嵌入式室内机（SN-D80Q4/N1）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天花板嵌入式室内机（SN-D90Q4/N1)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全热交换器</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QR-15DZ/B</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全热交换器</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QR-20DZ/B</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新风机XF-2-1-2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新风机XF-3-1-2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变冷媒空调室外机SW-2-1等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变冷媒空调室外机SW-2-3等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变冷媒空调室外机SW-3-1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变冷媒空调室外机SW-2-2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食堂冷库</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名称:预防门诊楼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  料  名  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规格、型号等特殊要求</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扬子中央空调主机</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中央空调末端风盘</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冷冻水泵</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冷冻系统水处理</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格力5P风管机</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格力1.5P挂机</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格力3P柜机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名称:西院区1#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  料  名  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规格、型号等特殊要求</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风盘</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新风机组</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名称:西院区2#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  料  名  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规格、型号等特殊要求</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风盘</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新风机组</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名称:西院区3#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  料  名  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规格、型号等特殊要求</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风盘</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新风机组</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名称:西院区4#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  料  名  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规格、型号等特殊要求</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多联机室内机</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新风机组</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多联机室外机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名称:西院区地下室设备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  料  名  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规格、型号等特殊要求</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美的离心式水冷机组</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美的螺杆式水冷机组</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蒸汽换热器</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管道循环泵</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5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名称:传染病院区东区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风机盘管</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新风机组</w:t>
            </w:r>
          </w:p>
        </w:tc>
        <w:tc>
          <w:tcPr>
            <w:tcW w:w="2200" w:type="dxa"/>
            <w:tcBorders>
              <w:top w:val="nil"/>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负压新风排风机组</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新风排风数字化模块</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板换</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约克螺杆式水冷主机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YVWE240</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约克离心式水冷主机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YKCKC4Q65EMH</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换热设备</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r>
    </w:tbl>
    <w:p>
      <w:pPr>
        <w:pStyle w:val="2"/>
        <w:ind w:left="0" w:leftChars="0" w:firstLine="0" w:firstLineChars="0"/>
        <w:rPr>
          <w:rFonts w:hint="eastAsia" w:ascii="宋体" w:hAnsi="宋体" w:cs="宋体" w:eastAsiaTheme="minorEastAsia"/>
          <w:b/>
          <w:color w:val="auto"/>
          <w:szCs w:val="21"/>
          <w:lang w:eastAsia="zh-CN"/>
        </w:rPr>
      </w:pPr>
    </w:p>
    <w:tbl>
      <w:tblPr>
        <w:tblStyle w:val="51"/>
        <w:tblpPr w:leftFromText="180" w:rightFromText="180" w:vertAnchor="text" w:horzAnchor="page" w:tblpXSpec="center" w:tblpY="487"/>
        <w:tblOverlap w:val="never"/>
        <w:tblW w:w="9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3200"/>
        <w:gridCol w:w="5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9533"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空调维保（＜300元）免费配件清单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风机电容</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通讯信号线</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水压表</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水温计</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排气阀</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风盘控制面板</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风盘阀门</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风盘过滤器</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风盘软连接</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冷凝水管件</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通用（不含改造）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连接帆布</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通用（不含改造）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空调水管外包保温棉</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通用（不含改造）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33"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注：以上材料含在维保费内，不再另行支付。</w:t>
            </w:r>
          </w:p>
        </w:tc>
      </w:tr>
    </w:tbl>
    <w:p>
      <w:pPr>
        <w:pStyle w:val="2"/>
        <w:ind w:left="0" w:leftChars="0" w:firstLine="0" w:firstLineChars="0"/>
        <w:rPr>
          <w:rFonts w:hint="eastAsia" w:ascii="宋体" w:hAnsi="宋体" w:cs="宋体" w:eastAsiaTheme="minorEastAsia"/>
          <w:b/>
          <w:color w:val="auto"/>
          <w:szCs w:val="21"/>
          <w:lang w:eastAsia="zh-CN"/>
        </w:rPr>
      </w:pPr>
    </w:p>
    <w:p>
      <w:pPr>
        <w:pStyle w:val="2"/>
        <w:rPr>
          <w:rFonts w:hint="eastAsia" w:ascii="宋体" w:hAnsi="宋体" w:cs="宋体"/>
          <w:b/>
          <w:color w:val="auto"/>
          <w:szCs w:val="21"/>
        </w:rPr>
      </w:pPr>
    </w:p>
    <w:tbl>
      <w:tblPr>
        <w:tblStyle w:val="51"/>
        <w:tblW w:w="9511"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7"/>
        <w:gridCol w:w="2199"/>
        <w:gridCol w:w="2515"/>
        <w:gridCol w:w="3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yellow"/>
                <w:u w:val="none"/>
              </w:rPr>
            </w:pPr>
            <w:r>
              <w:rPr>
                <w:rFonts w:hint="eastAsia" w:ascii="宋体" w:hAnsi="宋体" w:eastAsia="宋体" w:cs="宋体"/>
                <w:b/>
                <w:bCs/>
                <w:i w:val="0"/>
                <w:iCs w:val="0"/>
                <w:color w:val="000000"/>
                <w:kern w:val="0"/>
                <w:sz w:val="32"/>
                <w:szCs w:val="32"/>
                <w:highlight w:val="yellow"/>
                <w:u w:val="none"/>
                <w:lang w:val="en-US" w:eastAsia="zh-CN" w:bidi="ar"/>
              </w:rPr>
              <w:t>空调非免费配件报价清单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多 联 机 配 件 报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型号</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多联机压缩机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多联机变频模块</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多联机电源模块</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多联机风机模块</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多联机外机主板</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多联机外机电机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多联机外机扇叶</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多联机整流桥堆</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多联机内机主板</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多联机内机电机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四通阀</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压力传感器</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电子膨胀阀</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排水泵</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全系列</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 体 机（冷库） 配 件 报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内机电脑板</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1.5P-5P</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内风扇电机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1.5P-5P</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外机电脑板</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1.5P-5P</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外风扇电机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1.5P-5P</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四通阀</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1.5P-5P</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扬子风冷模块及水式风盘配件报价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LS（R）F65-130E</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手操器</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LS（R）F65-130E</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外机主板</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LS（R）F65-130E</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外机风机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LS（R）F65-130E</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外风扇叶</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LS（R）F65-130E</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四通阀</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LS（R）F65-130E</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水式风盘电机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34-238</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循环水泵</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3KW</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精 密 空 调 配 件 报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手操器</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PLC</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加湿罐</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电加热</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内风机电机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外风机电机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风机压力控制器</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压力传感器</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温湿度传感器</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通 用 配 件 </w:t>
            </w:r>
            <w:r>
              <w:rPr>
                <w:rFonts w:hint="eastAsia" w:ascii="宋体" w:hAnsi="宋体" w:cs="宋体"/>
                <w:b/>
                <w:bCs/>
                <w:i w:val="0"/>
                <w:iCs w:val="0"/>
                <w:color w:val="000000"/>
                <w:kern w:val="0"/>
                <w:sz w:val="32"/>
                <w:szCs w:val="32"/>
                <w:u w:val="none"/>
                <w:lang w:val="en-US" w:eastAsia="zh-CN" w:bidi="ar"/>
              </w:rPr>
              <w:t xml:space="preserve">和 安 装 等 </w:t>
            </w:r>
            <w:r>
              <w:rPr>
                <w:rFonts w:hint="eastAsia" w:ascii="宋体" w:hAnsi="宋体" w:eastAsia="宋体" w:cs="宋体"/>
                <w:b/>
                <w:bCs/>
                <w:i w:val="0"/>
                <w:iCs w:val="0"/>
                <w:color w:val="000000"/>
                <w:kern w:val="0"/>
                <w:sz w:val="32"/>
                <w:szCs w:val="32"/>
                <w:u w:val="none"/>
                <w:lang w:val="en-US" w:eastAsia="zh-CN" w:bidi="ar"/>
              </w:rPr>
              <w:t>报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冷媒R22/KG</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冰龙/巨化</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冷媒R410/KG</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冰龙/巨化</w:t>
            </w:r>
          </w:p>
        </w:tc>
        <w:tc>
          <w:tcPr>
            <w:tcW w:w="33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冷媒R32/KG</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冰龙/巨化</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空调安装</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空调拆除</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打孔</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不锈钢空调支架</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铜管</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120.00/米</w:t>
            </w:r>
          </w:p>
        </w:tc>
      </w:tr>
    </w:tbl>
    <w:p>
      <w:pPr>
        <w:pStyle w:val="17"/>
        <w:spacing w:line="360" w:lineRule="auto"/>
        <w:ind w:firstLine="480" w:firstLineChars="200"/>
        <w:rPr>
          <w:color w:val="auto"/>
        </w:rPr>
      </w:pPr>
    </w:p>
    <w:p>
      <w:pPr>
        <w:pStyle w:val="17"/>
        <w:spacing w:line="360" w:lineRule="auto"/>
        <w:ind w:firstLine="480" w:firstLineChars="200"/>
        <w:rPr>
          <w:color w:val="auto"/>
        </w:rPr>
      </w:pPr>
    </w:p>
    <w:p>
      <w:pPr>
        <w:pStyle w:val="17"/>
        <w:spacing w:line="360" w:lineRule="auto"/>
        <w:ind w:firstLine="480" w:firstLineChars="200"/>
        <w:rPr>
          <w:color w:val="auto"/>
        </w:rPr>
      </w:pPr>
    </w:p>
    <w:p>
      <w:pPr>
        <w:pStyle w:val="17"/>
        <w:spacing w:line="360" w:lineRule="auto"/>
        <w:ind w:firstLine="480" w:firstLineChars="200"/>
        <w:rPr>
          <w:color w:val="auto"/>
        </w:rPr>
      </w:pPr>
    </w:p>
    <w:p>
      <w:pPr>
        <w:pStyle w:val="17"/>
        <w:spacing w:line="360" w:lineRule="auto"/>
        <w:ind w:firstLine="480" w:firstLineChars="200"/>
        <w:rPr>
          <w:color w:val="auto"/>
        </w:rPr>
      </w:pPr>
    </w:p>
    <w:p>
      <w:pPr>
        <w:pStyle w:val="17"/>
        <w:spacing w:line="360" w:lineRule="auto"/>
        <w:ind w:firstLine="480" w:firstLineChars="200"/>
        <w:rPr>
          <w:color w:val="auto"/>
        </w:rPr>
      </w:pPr>
    </w:p>
    <w:bookmarkEnd w:id="551"/>
    <w:bookmarkEnd w:id="552"/>
    <w:bookmarkEnd w:id="553"/>
    <w:bookmarkEnd w:id="554"/>
    <w:bookmarkEnd w:id="555"/>
    <w:bookmarkEnd w:id="556"/>
    <w:bookmarkEnd w:id="557"/>
    <w:p>
      <w:pPr>
        <w:spacing w:before="156" w:beforeLines="50" w:after="156" w:afterLines="50"/>
        <w:jc w:val="center"/>
        <w:outlineLvl w:val="0"/>
        <w:rPr>
          <w:rFonts w:ascii="宋体"/>
          <w:b/>
          <w:color w:val="auto"/>
          <w:sz w:val="32"/>
          <w:szCs w:val="32"/>
        </w:rPr>
      </w:pPr>
      <w:bookmarkStart w:id="558" w:name="_Toc449028948"/>
      <w:bookmarkStart w:id="559" w:name="_Toc58430332"/>
      <w:bookmarkStart w:id="560" w:name="_Toc179632833"/>
      <w:bookmarkStart w:id="561" w:name="_Toc152045813"/>
      <w:bookmarkStart w:id="562" w:name="_Toc144974881"/>
      <w:bookmarkStart w:id="563" w:name="_Toc247085892"/>
      <w:bookmarkStart w:id="564" w:name="_Toc246997117"/>
      <w:bookmarkStart w:id="565" w:name="_Toc296602622"/>
      <w:bookmarkStart w:id="566" w:name="_Toc246996374"/>
      <w:bookmarkStart w:id="567" w:name="_Toc152042602"/>
      <w:r>
        <w:rPr>
          <w:rFonts w:hint="eastAsia" w:ascii="宋体"/>
          <w:b/>
          <w:color w:val="auto"/>
          <w:sz w:val="32"/>
          <w:szCs w:val="32"/>
        </w:rPr>
        <w:t>第</w:t>
      </w:r>
      <w:r>
        <w:rPr>
          <w:rFonts w:hint="eastAsia" w:ascii="宋体"/>
          <w:b/>
          <w:color w:val="auto"/>
          <w:sz w:val="32"/>
          <w:szCs w:val="32"/>
          <w:lang w:val="en-US" w:eastAsia="zh-CN"/>
        </w:rPr>
        <w:t>五</w:t>
      </w:r>
      <w:r>
        <w:rPr>
          <w:rFonts w:hint="eastAsia" w:ascii="宋体"/>
          <w:b/>
          <w:color w:val="auto"/>
          <w:sz w:val="32"/>
          <w:szCs w:val="32"/>
        </w:rPr>
        <w:t>章 合同条款及格式参考范本（服务类）</w:t>
      </w:r>
    </w:p>
    <w:p>
      <w:pPr>
        <w:widowControl/>
        <w:spacing w:line="400" w:lineRule="exact"/>
        <w:ind w:left="360"/>
        <w:jc w:val="center"/>
        <w:textAlignment w:val="baseline"/>
        <w:outlineLvl w:val="1"/>
        <w:rPr>
          <w:rFonts w:ascii="宋体"/>
          <w:b/>
          <w:color w:val="auto"/>
          <w:sz w:val="30"/>
          <w:szCs w:val="30"/>
        </w:rPr>
      </w:pPr>
      <w:bookmarkStart w:id="568" w:name="_Toc58430330"/>
    </w:p>
    <w:p>
      <w:pPr>
        <w:widowControl/>
        <w:spacing w:line="400" w:lineRule="exact"/>
        <w:ind w:left="360"/>
        <w:jc w:val="center"/>
        <w:textAlignment w:val="baseline"/>
        <w:outlineLvl w:val="1"/>
        <w:rPr>
          <w:rFonts w:ascii="宋体"/>
          <w:b/>
          <w:color w:val="auto"/>
          <w:sz w:val="30"/>
          <w:szCs w:val="30"/>
        </w:rPr>
      </w:pPr>
    </w:p>
    <w:p>
      <w:pPr>
        <w:widowControl/>
        <w:spacing w:line="400" w:lineRule="exact"/>
        <w:ind w:left="360"/>
        <w:jc w:val="center"/>
        <w:textAlignment w:val="baseline"/>
        <w:outlineLvl w:val="1"/>
        <w:rPr>
          <w:rFonts w:ascii="宋体"/>
          <w:b/>
          <w:color w:val="auto"/>
          <w:sz w:val="30"/>
          <w:szCs w:val="30"/>
        </w:rPr>
      </w:pPr>
    </w:p>
    <w:p>
      <w:pPr>
        <w:widowControl/>
        <w:spacing w:line="400" w:lineRule="exact"/>
        <w:ind w:left="360"/>
        <w:jc w:val="center"/>
        <w:textAlignment w:val="baseline"/>
        <w:outlineLvl w:val="1"/>
        <w:rPr>
          <w:rFonts w:ascii="黑体" w:eastAsia="黑体"/>
          <w:b/>
          <w:color w:val="auto"/>
          <w:sz w:val="30"/>
          <w:szCs w:val="30"/>
        </w:rPr>
      </w:pPr>
      <w:r>
        <w:rPr>
          <w:rFonts w:hint="eastAsia" w:ascii="宋体"/>
          <w:b/>
          <w:color w:val="auto"/>
          <w:sz w:val="30"/>
          <w:szCs w:val="30"/>
        </w:rPr>
        <w:t>一</w:t>
      </w:r>
      <w:bookmarkStart w:id="569" w:name="_Toc449028946"/>
      <w:r>
        <w:rPr>
          <w:rFonts w:hint="eastAsia" w:ascii="宋体"/>
          <w:b/>
          <w:color w:val="auto"/>
          <w:sz w:val="30"/>
          <w:szCs w:val="30"/>
        </w:rPr>
        <w:t>、合同协议书（格式）</w:t>
      </w:r>
      <w:bookmarkEnd w:id="568"/>
      <w:bookmarkEnd w:id="569"/>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Cs w:val="21"/>
        </w:rPr>
      </w:pPr>
      <w:r>
        <w:rPr>
          <w:rFonts w:hint="eastAsia" w:ascii="宋体" w:hAnsi="宋体"/>
          <w:color w:val="auto"/>
          <w:szCs w:val="21"/>
        </w:rPr>
        <w:t xml:space="preserve">项目名称：    </w:t>
      </w:r>
    </w:p>
    <w:p>
      <w:pPr>
        <w:spacing w:before="120" w:line="480" w:lineRule="auto"/>
        <w:ind w:left="960"/>
        <w:rPr>
          <w:rFonts w:ascii="宋体" w:hAnsi="宋体"/>
          <w:color w:val="auto"/>
          <w:szCs w:val="21"/>
        </w:rPr>
      </w:pPr>
      <w:r>
        <w:rPr>
          <w:rFonts w:hint="eastAsia" w:ascii="宋体" w:hAnsi="宋体"/>
          <w:color w:val="auto"/>
          <w:szCs w:val="21"/>
        </w:rPr>
        <w:t>项目编号：</w:t>
      </w:r>
    </w:p>
    <w:p>
      <w:pPr>
        <w:spacing w:before="120" w:line="480" w:lineRule="auto"/>
        <w:ind w:left="960"/>
        <w:rPr>
          <w:rFonts w:ascii="宋体" w:hAnsi="宋体"/>
          <w:color w:val="auto"/>
          <w:szCs w:val="21"/>
          <w:u w:val="single"/>
        </w:rPr>
      </w:pPr>
      <w:r>
        <w:rPr>
          <w:rFonts w:hint="eastAsia" w:ascii="宋体" w:hAnsi="宋体"/>
          <w:color w:val="auto"/>
          <w:szCs w:val="21"/>
        </w:rPr>
        <w:t>甲方（采购人）：</w:t>
      </w:r>
      <w:r>
        <w:rPr>
          <w:rFonts w:hint="eastAsia" w:ascii="宋体" w:hAnsi="宋体"/>
          <w:color w:val="auto"/>
          <w:szCs w:val="21"/>
          <w:u w:val="single"/>
        </w:rPr>
        <w:t xml:space="preserve">                              </w:t>
      </w:r>
    </w:p>
    <w:p>
      <w:pPr>
        <w:spacing w:before="120" w:line="480" w:lineRule="auto"/>
        <w:ind w:left="960"/>
        <w:rPr>
          <w:rFonts w:ascii="宋体" w:hAnsi="宋体"/>
          <w:color w:val="auto"/>
          <w:szCs w:val="21"/>
          <w:u w:val="single"/>
        </w:rPr>
      </w:pPr>
      <w:r>
        <w:rPr>
          <w:rFonts w:hint="eastAsia" w:ascii="宋体" w:hAnsi="宋体"/>
          <w:color w:val="auto"/>
          <w:szCs w:val="21"/>
        </w:rPr>
        <w:t>乙方（中标人）：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spacing w:before="120" w:line="480" w:lineRule="auto"/>
        <w:ind w:firstLine="840" w:firstLineChars="400"/>
        <w:rPr>
          <w:rFonts w:ascii="宋体" w:hAnsi="宋体"/>
          <w:color w:val="auto"/>
          <w:szCs w:val="21"/>
          <w:u w:val="single"/>
        </w:rPr>
      </w:pPr>
      <w:r>
        <w:rPr>
          <w:rFonts w:hint="eastAsia" w:ascii="宋体" w:hAnsi="宋体"/>
          <w:color w:val="auto"/>
          <w:szCs w:val="21"/>
        </w:rPr>
        <w:t>签订地：</w:t>
      </w:r>
      <w:r>
        <w:rPr>
          <w:rFonts w:hint="eastAsia" w:ascii="宋体" w:hAnsi="宋体"/>
          <w:color w:val="auto"/>
          <w:szCs w:val="21"/>
          <w:u w:val="single"/>
        </w:rPr>
        <w:t xml:space="preserve">                                     </w:t>
      </w:r>
    </w:p>
    <w:p>
      <w:pPr>
        <w:spacing w:before="120" w:line="480" w:lineRule="auto"/>
        <w:ind w:firstLine="840" w:firstLineChars="400"/>
        <w:rPr>
          <w:rFonts w:ascii="宋体" w:hAnsi="宋体"/>
          <w:color w:val="auto"/>
          <w:szCs w:val="21"/>
        </w:rPr>
      </w:pPr>
      <w:r>
        <w:rPr>
          <w:rFonts w:hint="eastAsia" w:ascii="宋体" w:hAnsi="宋体"/>
          <w:color w:val="auto"/>
          <w:szCs w:val="21"/>
        </w:rPr>
        <w:t>签订日期：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widowControl/>
        <w:jc w:val="left"/>
        <w:rPr>
          <w:rFonts w:ascii="宋体" w:hAnsi="宋体"/>
          <w:color w:val="auto"/>
          <w:szCs w:val="21"/>
        </w:rPr>
      </w:pPr>
      <w:r>
        <w:rPr>
          <w:rFonts w:ascii="宋体" w:hAnsi="宋体"/>
          <w:color w:val="auto"/>
          <w:szCs w:val="21"/>
        </w:rPr>
        <w:br w:type="page"/>
      </w:r>
    </w:p>
    <w:p>
      <w:pPr>
        <w:spacing w:line="360" w:lineRule="auto"/>
        <w:ind w:firstLine="435"/>
        <w:rPr>
          <w:rFonts w:ascii="宋体" w:hAnsi="宋体"/>
          <w:color w:val="auto"/>
          <w:szCs w:val="21"/>
        </w:rPr>
      </w:pPr>
      <w:r>
        <w:rPr>
          <w:rFonts w:hint="eastAsia" w:ascii="宋体" w:hAnsi="宋体"/>
          <w:i/>
          <w:iCs/>
          <w:color w:val="auto"/>
          <w:szCs w:val="21"/>
          <w:u w:val="single"/>
        </w:rPr>
        <w:t>（采购人名称）</w:t>
      </w:r>
      <w:r>
        <w:rPr>
          <w:rFonts w:hint="eastAsia" w:ascii="宋体" w:hAnsi="宋体"/>
          <w:color w:val="auto"/>
          <w:szCs w:val="21"/>
        </w:rPr>
        <w:t>（</w:t>
      </w:r>
      <w:r>
        <w:rPr>
          <w:rFonts w:hint="eastAsia" w:ascii="宋体" w:hAnsi="宋体"/>
          <w:color w:val="auto"/>
          <w:szCs w:val="21"/>
          <w:lang w:val="zh-CN"/>
        </w:rPr>
        <w:t>以下简称：甲方</w:t>
      </w:r>
      <w:r>
        <w:rPr>
          <w:rFonts w:hint="eastAsia" w:ascii="宋体" w:hAnsi="宋体"/>
          <w:color w:val="auto"/>
          <w:szCs w:val="21"/>
        </w:rPr>
        <w:t>）通过公开招标，经评标委员会评定，确定</w:t>
      </w:r>
      <w:r>
        <w:rPr>
          <w:rFonts w:hint="eastAsia" w:ascii="宋体" w:hAnsi="宋体"/>
          <w:i/>
          <w:iCs/>
          <w:color w:val="auto"/>
          <w:szCs w:val="21"/>
          <w:u w:val="single"/>
        </w:rPr>
        <w:t>（中标人名称）</w:t>
      </w:r>
      <w:r>
        <w:rPr>
          <w:rFonts w:hint="eastAsia" w:ascii="宋体" w:hAnsi="宋体"/>
          <w:color w:val="auto"/>
          <w:szCs w:val="21"/>
        </w:rPr>
        <w:t>（</w:t>
      </w:r>
      <w:r>
        <w:rPr>
          <w:rFonts w:hint="eastAsia" w:ascii="宋体" w:hAnsi="宋体"/>
          <w:color w:val="auto"/>
          <w:szCs w:val="21"/>
          <w:lang w:val="zh-CN"/>
        </w:rPr>
        <w:t>以下简称：乙方</w:t>
      </w:r>
      <w:r>
        <w:rPr>
          <w:rFonts w:hint="eastAsia" w:ascii="宋体" w:hAnsi="宋体"/>
          <w:color w:val="auto"/>
          <w:szCs w:val="21"/>
        </w:rPr>
        <w:t>）为本项目中标人，现按照采购文件确定的事项签订本合同。</w:t>
      </w:r>
    </w:p>
    <w:p>
      <w:pPr>
        <w:spacing w:line="360" w:lineRule="auto"/>
        <w:ind w:firstLine="435"/>
        <w:rPr>
          <w:rFonts w:ascii="宋体" w:hAnsi="宋体"/>
          <w:color w:val="auto"/>
          <w:szCs w:val="21"/>
          <w:lang w:val="zh-CN"/>
        </w:rPr>
      </w:pPr>
      <w:r>
        <w:rPr>
          <w:rFonts w:hint="eastAsia" w:ascii="宋体" w:hAnsi="宋体"/>
          <w:color w:val="auto"/>
          <w:szCs w:val="21"/>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b/>
          <w:bCs/>
          <w:color w:val="auto"/>
          <w:szCs w:val="21"/>
          <w:lang w:val="zh-CN"/>
        </w:rPr>
      </w:pPr>
      <w:bookmarkStart w:id="570" w:name="_Toc3029"/>
      <w:bookmarkStart w:id="571" w:name="_Toc24059"/>
      <w:bookmarkStart w:id="572" w:name="_Toc2232"/>
      <w:r>
        <w:rPr>
          <w:rFonts w:hint="eastAsia" w:ascii="宋体" w:hAnsi="宋体"/>
          <w:b/>
          <w:bCs/>
          <w:color w:val="auto"/>
          <w:szCs w:val="21"/>
          <w:lang w:val="zh-CN"/>
        </w:rPr>
        <w:t>1.1</w:t>
      </w:r>
      <w:r>
        <w:rPr>
          <w:rFonts w:ascii="宋体" w:hAnsi="宋体"/>
          <w:b/>
          <w:bCs/>
          <w:color w:val="auto"/>
          <w:szCs w:val="21"/>
          <w:lang w:val="zh-CN"/>
        </w:rPr>
        <w:t xml:space="preserve"> </w:t>
      </w:r>
      <w:r>
        <w:rPr>
          <w:rFonts w:hint="eastAsia" w:ascii="宋体" w:hAnsi="宋体"/>
          <w:b/>
          <w:bCs/>
          <w:color w:val="auto"/>
          <w:szCs w:val="21"/>
          <w:lang w:val="zh-CN"/>
        </w:rPr>
        <w:t>合同组成部分</w:t>
      </w:r>
      <w:bookmarkEnd w:id="570"/>
      <w:bookmarkEnd w:id="571"/>
      <w:bookmarkEnd w:id="572"/>
    </w:p>
    <w:p>
      <w:pPr>
        <w:spacing w:line="360" w:lineRule="auto"/>
        <w:ind w:firstLine="435"/>
        <w:rPr>
          <w:rFonts w:ascii="宋体" w:hAnsi="宋体"/>
          <w:color w:val="auto"/>
          <w:szCs w:val="21"/>
          <w:lang w:val="zh-CN"/>
        </w:rPr>
      </w:pPr>
      <w:r>
        <w:rPr>
          <w:rFonts w:hint="eastAsia" w:ascii="宋体" w:hAnsi="宋体"/>
          <w:color w:val="auto"/>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color w:val="auto"/>
          <w:szCs w:val="21"/>
          <w:lang w:val="zh-CN"/>
        </w:rPr>
      </w:pPr>
      <w:r>
        <w:rPr>
          <w:rFonts w:hint="eastAsia" w:ascii="宋体" w:hAnsi="宋体"/>
          <w:color w:val="auto"/>
          <w:szCs w:val="21"/>
          <w:lang w:val="zh-CN"/>
        </w:rPr>
        <w:t>1.1.1本合同及其补充合同、变更协议；</w:t>
      </w:r>
    </w:p>
    <w:p>
      <w:pPr>
        <w:spacing w:line="360" w:lineRule="auto"/>
        <w:ind w:firstLine="435"/>
        <w:rPr>
          <w:rFonts w:ascii="宋体" w:hAnsi="宋体"/>
          <w:color w:val="auto"/>
          <w:szCs w:val="21"/>
          <w:lang w:val="zh-CN"/>
        </w:rPr>
      </w:pPr>
      <w:r>
        <w:rPr>
          <w:rFonts w:hint="eastAsia" w:ascii="宋体" w:hAnsi="宋体"/>
          <w:color w:val="auto"/>
          <w:szCs w:val="21"/>
          <w:lang w:val="zh-CN"/>
        </w:rPr>
        <w:t>1.1.2中标通知书；</w:t>
      </w:r>
    </w:p>
    <w:p>
      <w:pPr>
        <w:spacing w:line="360" w:lineRule="auto"/>
        <w:ind w:firstLine="435"/>
        <w:rPr>
          <w:rFonts w:ascii="宋体" w:hAnsi="宋体"/>
          <w:color w:val="auto"/>
          <w:szCs w:val="21"/>
          <w:lang w:val="zh-CN"/>
        </w:rPr>
      </w:pPr>
      <w:r>
        <w:rPr>
          <w:rFonts w:hint="eastAsia" w:ascii="宋体" w:hAnsi="宋体"/>
          <w:color w:val="auto"/>
          <w:szCs w:val="21"/>
          <w:lang w:val="zh-CN"/>
        </w:rPr>
        <w:t>1.1.3投标文件（含澄清或者说明文件）；</w:t>
      </w:r>
    </w:p>
    <w:p>
      <w:pPr>
        <w:spacing w:line="360" w:lineRule="auto"/>
        <w:ind w:firstLine="435"/>
        <w:rPr>
          <w:rFonts w:ascii="宋体" w:hAnsi="宋体"/>
          <w:color w:val="auto"/>
          <w:szCs w:val="21"/>
          <w:lang w:val="zh-CN"/>
        </w:rPr>
      </w:pPr>
      <w:r>
        <w:rPr>
          <w:rFonts w:hint="eastAsia" w:ascii="宋体" w:hAnsi="宋体"/>
          <w:color w:val="auto"/>
          <w:szCs w:val="21"/>
          <w:lang w:val="zh-CN"/>
        </w:rPr>
        <w:t>1.1.4招标文件（含澄清或者修改文件）；</w:t>
      </w:r>
    </w:p>
    <w:p>
      <w:pPr>
        <w:spacing w:line="360" w:lineRule="auto"/>
        <w:ind w:firstLine="435"/>
        <w:rPr>
          <w:rFonts w:ascii="宋体" w:hAnsi="宋体"/>
          <w:color w:val="auto"/>
          <w:szCs w:val="21"/>
          <w:lang w:val="zh-CN"/>
        </w:rPr>
      </w:pPr>
      <w:r>
        <w:rPr>
          <w:rFonts w:hint="eastAsia" w:ascii="宋体" w:hAnsi="宋体"/>
          <w:color w:val="auto"/>
          <w:szCs w:val="21"/>
          <w:lang w:val="zh-CN"/>
        </w:rPr>
        <w:t>1.1.5其他相关采购文件。</w:t>
      </w:r>
    </w:p>
    <w:p>
      <w:pPr>
        <w:spacing w:line="360" w:lineRule="auto"/>
        <w:ind w:firstLine="437"/>
        <w:outlineLvl w:val="3"/>
        <w:rPr>
          <w:rFonts w:ascii="宋体" w:hAnsi="宋体"/>
          <w:b/>
          <w:bCs/>
          <w:color w:val="auto"/>
          <w:szCs w:val="21"/>
          <w:lang w:val="zh-CN"/>
        </w:rPr>
      </w:pPr>
      <w:bookmarkStart w:id="573" w:name="_Toc2918"/>
      <w:bookmarkStart w:id="574" w:name="_Toc22185"/>
      <w:bookmarkStart w:id="575" w:name="_Toc6773"/>
      <w:bookmarkStart w:id="576" w:name="_Toc18585"/>
      <w:bookmarkStart w:id="577" w:name="_Toc6311"/>
      <w:r>
        <w:rPr>
          <w:rFonts w:hint="eastAsia" w:ascii="宋体" w:hAnsi="宋体"/>
          <w:b/>
          <w:bCs/>
          <w:color w:val="auto"/>
          <w:szCs w:val="21"/>
          <w:lang w:val="zh-CN"/>
        </w:rPr>
        <w:t xml:space="preserve">1.2 </w:t>
      </w:r>
      <w:bookmarkEnd w:id="573"/>
      <w:bookmarkEnd w:id="574"/>
      <w:bookmarkEnd w:id="575"/>
      <w:bookmarkEnd w:id="576"/>
      <w:bookmarkEnd w:id="577"/>
      <w:r>
        <w:rPr>
          <w:rFonts w:hint="eastAsia" w:ascii="宋体" w:hAnsi="宋体"/>
          <w:b/>
          <w:bCs/>
          <w:color w:val="auto"/>
          <w:szCs w:val="21"/>
          <w:lang w:val="zh-CN"/>
        </w:rPr>
        <w:t>服务</w:t>
      </w:r>
    </w:p>
    <w:p>
      <w:pPr>
        <w:spacing w:line="360" w:lineRule="auto"/>
        <w:ind w:firstLine="435"/>
        <w:rPr>
          <w:rFonts w:ascii="宋体" w:hAnsi="宋体"/>
          <w:color w:val="auto"/>
          <w:szCs w:val="21"/>
          <w:u w:val="single"/>
        </w:rPr>
      </w:pPr>
      <w:r>
        <w:rPr>
          <w:rFonts w:hint="eastAsia" w:ascii="宋体" w:hAnsi="宋体"/>
          <w:color w:val="auto"/>
          <w:szCs w:val="21"/>
        </w:rPr>
        <w:t>1.2.1服务</w:t>
      </w:r>
      <w:r>
        <w:rPr>
          <w:rFonts w:ascii="宋体" w:hAnsi="宋体"/>
          <w:color w:val="auto"/>
          <w:szCs w:val="21"/>
        </w:rPr>
        <w:t>名称：</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u w:val="single"/>
        </w:rPr>
      </w:pPr>
      <w:r>
        <w:rPr>
          <w:rFonts w:hint="eastAsia" w:ascii="宋体" w:hAnsi="宋体"/>
          <w:color w:val="auto"/>
          <w:szCs w:val="21"/>
        </w:rPr>
        <w:t>1.2.2服务内容</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1.2.3服务质量：</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7"/>
        <w:outlineLvl w:val="3"/>
        <w:rPr>
          <w:rFonts w:ascii="宋体" w:hAnsi="宋体"/>
          <w:b/>
          <w:bCs/>
          <w:color w:val="auto"/>
          <w:szCs w:val="21"/>
          <w:lang w:val="zh-CN"/>
        </w:rPr>
      </w:pPr>
      <w:bookmarkStart w:id="578" w:name="_Toc23292"/>
      <w:bookmarkStart w:id="579" w:name="_Toc21551"/>
      <w:bookmarkStart w:id="580" w:name="_Toc21631"/>
      <w:r>
        <w:rPr>
          <w:rFonts w:hint="eastAsia" w:ascii="宋体" w:hAnsi="宋体"/>
          <w:b/>
          <w:bCs/>
          <w:color w:val="auto"/>
          <w:szCs w:val="21"/>
          <w:lang w:val="zh-CN"/>
        </w:rPr>
        <w:t>1.</w:t>
      </w:r>
      <w:r>
        <w:rPr>
          <w:rFonts w:ascii="宋体" w:hAnsi="宋体"/>
          <w:b/>
          <w:bCs/>
          <w:color w:val="auto"/>
          <w:szCs w:val="21"/>
          <w:lang w:val="zh-CN"/>
        </w:rPr>
        <w:t xml:space="preserve">3 </w:t>
      </w:r>
      <w:r>
        <w:rPr>
          <w:rFonts w:hint="eastAsia" w:ascii="宋体" w:hAnsi="宋体"/>
          <w:b/>
          <w:bCs/>
          <w:color w:val="auto"/>
          <w:szCs w:val="21"/>
          <w:lang w:val="zh-CN"/>
        </w:rPr>
        <w:t>价款</w:t>
      </w:r>
      <w:bookmarkEnd w:id="578"/>
      <w:bookmarkEnd w:id="579"/>
      <w:bookmarkEnd w:id="580"/>
    </w:p>
    <w:p>
      <w:pPr>
        <w:spacing w:line="360" w:lineRule="auto"/>
        <w:ind w:firstLine="435"/>
        <w:rPr>
          <w:rFonts w:ascii="宋体" w:hAnsi="宋体"/>
          <w:color w:val="auto"/>
          <w:szCs w:val="21"/>
        </w:rPr>
      </w:pPr>
      <w:r>
        <w:rPr>
          <w:rFonts w:ascii="宋体" w:hAnsi="宋体"/>
          <w:color w:val="auto"/>
          <w:szCs w:val="21"/>
        </w:rPr>
        <w:t>本合同总价为</w:t>
      </w:r>
      <w:r>
        <w:rPr>
          <w:rFonts w:hint="eastAsia" w:ascii="宋体" w:hAnsi="宋体"/>
          <w:color w:val="auto"/>
          <w:szCs w:val="21"/>
        </w:rPr>
        <w:t>：¥</w:t>
      </w:r>
      <w:r>
        <w:rPr>
          <w:rFonts w:hint="eastAsia"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（大写：人民币</w:t>
      </w:r>
      <w:r>
        <w:rPr>
          <w:rFonts w:hint="eastAsia" w:ascii="宋体" w:hAnsi="宋体"/>
          <w:color w:val="auto"/>
          <w:szCs w:val="21"/>
          <w:u w:val="single"/>
        </w:rPr>
        <w:t xml:space="preserve">                 </w:t>
      </w:r>
      <w:r>
        <w:rPr>
          <w:rFonts w:hint="eastAsia" w:ascii="宋体" w:hAnsi="宋体"/>
          <w:color w:val="auto"/>
          <w:szCs w:val="21"/>
        </w:rPr>
        <w:t>元）</w:t>
      </w:r>
      <w:r>
        <w:rPr>
          <w:rFonts w:ascii="宋体" w:hAnsi="宋体"/>
          <w:color w:val="auto"/>
          <w:szCs w:val="21"/>
        </w:rPr>
        <w:t>。</w:t>
      </w:r>
    </w:p>
    <w:p>
      <w:pPr>
        <w:spacing w:line="360" w:lineRule="auto"/>
        <w:ind w:firstLine="435"/>
        <w:rPr>
          <w:rFonts w:ascii="宋体" w:hAnsi="宋体"/>
          <w:color w:val="auto"/>
          <w:szCs w:val="21"/>
          <w:u w:val="single"/>
        </w:rPr>
      </w:pPr>
      <w:r>
        <w:rPr>
          <w:rFonts w:ascii="宋体" w:hAnsi="宋体"/>
          <w:color w:val="auto"/>
          <w:szCs w:val="21"/>
        </w:rPr>
        <w:t>分项价格：</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pPr>
              <w:jc w:val="center"/>
              <w:rPr>
                <w:rFonts w:ascii="宋体" w:hAnsi="宋体"/>
                <w:color w:val="auto"/>
                <w:szCs w:val="21"/>
                <w:lang w:val="zh-CN"/>
              </w:rPr>
            </w:pPr>
            <w:r>
              <w:rPr>
                <w:rFonts w:ascii="宋体" w:hAnsi="宋体"/>
                <w:color w:val="auto"/>
                <w:szCs w:val="21"/>
                <w:lang w:val="zh-CN"/>
              </w:rPr>
              <w:t>序号</w:t>
            </w:r>
          </w:p>
        </w:tc>
        <w:tc>
          <w:tcPr>
            <w:tcW w:w="4317" w:type="dxa"/>
            <w:vAlign w:val="center"/>
          </w:tcPr>
          <w:p>
            <w:pPr>
              <w:ind w:firstLine="200"/>
              <w:jc w:val="center"/>
              <w:rPr>
                <w:rFonts w:ascii="宋体" w:hAnsi="宋体"/>
                <w:color w:val="auto"/>
                <w:szCs w:val="21"/>
              </w:rPr>
            </w:pPr>
            <w:r>
              <w:rPr>
                <w:rFonts w:hint="eastAsia" w:ascii="宋体" w:hAnsi="宋体"/>
                <w:color w:val="auto"/>
                <w:szCs w:val="21"/>
              </w:rPr>
              <w:t>分项名称</w:t>
            </w:r>
          </w:p>
        </w:tc>
        <w:tc>
          <w:tcPr>
            <w:tcW w:w="3237" w:type="dxa"/>
            <w:gridSpan w:val="2"/>
            <w:vAlign w:val="center"/>
          </w:tcPr>
          <w:p>
            <w:pPr>
              <w:jc w:val="center"/>
              <w:rPr>
                <w:rFonts w:ascii="宋体" w:hAnsi="宋体"/>
                <w:color w:val="auto"/>
                <w:szCs w:val="21"/>
              </w:rPr>
            </w:pPr>
            <w:r>
              <w:rPr>
                <w:rFonts w:ascii="宋体" w:hAnsi="宋体"/>
                <w:color w:val="auto"/>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hint="eastAsia" w:ascii="宋体" w:hAnsi="宋体"/>
                <w:color w:val="auto"/>
                <w:szCs w:val="21"/>
                <w:lang w:val="zh-CN"/>
              </w:rPr>
              <w:t>1</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hint="eastAsia" w:ascii="宋体" w:hAnsi="宋体"/>
                <w:color w:val="auto"/>
                <w:szCs w:val="21"/>
                <w:lang w:val="zh-CN"/>
              </w:rPr>
              <w:t>2</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ascii="宋体" w:hAnsi="宋体"/>
                <w:color w:val="auto"/>
                <w:szCs w:val="21"/>
                <w:lang w:val="zh-CN"/>
              </w:rPr>
              <w:t>3</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hint="eastAsia" w:ascii="宋体" w:hAnsi="宋体"/>
                <w:color w:val="auto"/>
                <w:szCs w:val="21"/>
                <w:lang w:val="zh-CN"/>
              </w:rPr>
              <w:t>……</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ind w:firstLine="200"/>
              <w:jc w:val="center"/>
              <w:rPr>
                <w:rFonts w:ascii="宋体" w:hAnsi="宋体"/>
                <w:color w:val="auto"/>
                <w:szCs w:val="21"/>
              </w:rPr>
            </w:pPr>
            <w:r>
              <w:rPr>
                <w:rFonts w:hint="eastAsia" w:ascii="宋体" w:hAnsi="宋体"/>
                <w:color w:val="auto"/>
                <w:szCs w:val="21"/>
              </w:rPr>
              <w:t>总价</w:t>
            </w:r>
          </w:p>
        </w:tc>
        <w:tc>
          <w:tcPr>
            <w:tcW w:w="3237" w:type="dxa"/>
            <w:gridSpan w:val="2"/>
            <w:vAlign w:val="center"/>
          </w:tcPr>
          <w:p>
            <w:pPr>
              <w:ind w:firstLine="200"/>
              <w:jc w:val="center"/>
              <w:rPr>
                <w:rFonts w:ascii="宋体" w:hAnsi="宋体"/>
                <w:color w:val="auto"/>
                <w:szCs w:val="21"/>
              </w:rPr>
            </w:pPr>
          </w:p>
        </w:tc>
      </w:tr>
    </w:tbl>
    <w:p>
      <w:pPr>
        <w:spacing w:line="360" w:lineRule="auto"/>
        <w:ind w:firstLine="437"/>
        <w:outlineLvl w:val="3"/>
        <w:rPr>
          <w:rFonts w:ascii="宋体" w:hAnsi="宋体"/>
          <w:b/>
          <w:bCs/>
          <w:color w:val="auto"/>
          <w:szCs w:val="21"/>
          <w:lang w:val="zh-CN"/>
        </w:rPr>
      </w:pPr>
      <w:bookmarkStart w:id="581" w:name="_Toc1814"/>
      <w:bookmarkStart w:id="582" w:name="_Toc10340"/>
      <w:bookmarkStart w:id="583" w:name="_Toc22618"/>
      <w:r>
        <w:rPr>
          <w:rFonts w:hint="eastAsia" w:ascii="宋体" w:hAnsi="宋体"/>
          <w:b/>
          <w:bCs/>
          <w:color w:val="auto"/>
          <w:szCs w:val="21"/>
          <w:lang w:val="zh-CN"/>
        </w:rPr>
        <w:t>1.</w:t>
      </w:r>
      <w:r>
        <w:rPr>
          <w:rFonts w:ascii="宋体" w:hAnsi="宋体"/>
          <w:b/>
          <w:bCs/>
          <w:color w:val="auto"/>
          <w:szCs w:val="21"/>
          <w:lang w:val="zh-CN"/>
        </w:rPr>
        <w:t>4 付款方式和发票开具方式</w:t>
      </w:r>
      <w:bookmarkEnd w:id="581"/>
      <w:bookmarkEnd w:id="582"/>
      <w:bookmarkEnd w:id="583"/>
    </w:p>
    <w:p>
      <w:pPr>
        <w:pStyle w:val="237"/>
        <w:spacing w:before="0" w:beforeAutospacing="0" w:after="0" w:afterAutospacing="0" w:line="580" w:lineRule="exact"/>
        <w:ind w:firstLine="420" w:firstLineChars="200"/>
        <w:jc w:val="both"/>
        <w:rPr>
          <w:rFonts w:cs="Times New Roman"/>
          <w:color w:val="auto"/>
          <w:sz w:val="21"/>
          <w:szCs w:val="21"/>
        </w:rPr>
      </w:pPr>
      <w:r>
        <w:rPr>
          <w:rFonts w:hint="eastAsia" w:cs="Times New Roman"/>
          <w:color w:val="auto"/>
          <w:sz w:val="21"/>
          <w:szCs w:val="21"/>
        </w:rPr>
        <w:t>1.4.1</w:t>
      </w:r>
      <w:r>
        <w:rPr>
          <w:rFonts w:cs="Times New Roman"/>
          <w:color w:val="auto"/>
          <w:sz w:val="21"/>
          <w:szCs w:val="21"/>
        </w:rPr>
        <w:t>付款方式：</w:t>
      </w:r>
      <w:r>
        <w:rPr>
          <w:rFonts w:hint="eastAsia" w:cs="Times New Roman"/>
          <w:color w:val="auto"/>
          <w:sz w:val="21"/>
          <w:szCs w:val="21"/>
          <w:u w:val="single"/>
        </w:rPr>
        <w:t xml:space="preserve">                                            </w:t>
      </w:r>
    </w:p>
    <w:p>
      <w:pPr>
        <w:spacing w:line="360" w:lineRule="auto"/>
        <w:ind w:firstLine="435"/>
        <w:rPr>
          <w:rFonts w:ascii="宋体" w:hAnsi="宋体"/>
          <w:color w:val="auto"/>
          <w:szCs w:val="21"/>
        </w:rPr>
      </w:pPr>
      <w:r>
        <w:rPr>
          <w:rFonts w:hint="eastAsia" w:ascii="宋体" w:hAnsi="宋体"/>
          <w:color w:val="auto"/>
          <w:szCs w:val="21"/>
        </w:rPr>
        <w:t>1.4.2发票开具方式：</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7"/>
        <w:outlineLvl w:val="3"/>
        <w:rPr>
          <w:rFonts w:ascii="宋体" w:hAnsi="宋体"/>
          <w:b/>
          <w:bCs/>
          <w:color w:val="auto"/>
          <w:szCs w:val="21"/>
          <w:lang w:val="zh-CN"/>
        </w:rPr>
      </w:pPr>
      <w:bookmarkStart w:id="584" w:name="_Toc32071"/>
      <w:bookmarkStart w:id="585" w:name="_Toc2846"/>
      <w:bookmarkStart w:id="586" w:name="_Toc19304"/>
      <w:r>
        <w:rPr>
          <w:rFonts w:hint="eastAsia" w:ascii="宋体" w:hAnsi="宋体"/>
          <w:b/>
          <w:bCs/>
          <w:color w:val="auto"/>
          <w:szCs w:val="21"/>
          <w:lang w:val="zh-CN"/>
        </w:rPr>
        <w:t>1.</w:t>
      </w:r>
      <w:r>
        <w:rPr>
          <w:rFonts w:ascii="宋体" w:hAnsi="宋体"/>
          <w:b/>
          <w:bCs/>
          <w:color w:val="auto"/>
          <w:szCs w:val="21"/>
          <w:lang w:val="zh-CN"/>
        </w:rPr>
        <w:t xml:space="preserve">5 </w:t>
      </w:r>
      <w:r>
        <w:rPr>
          <w:rFonts w:hint="eastAsia" w:ascii="宋体" w:hAnsi="宋体"/>
          <w:b/>
          <w:bCs/>
          <w:color w:val="auto"/>
          <w:szCs w:val="21"/>
          <w:lang w:val="zh-CN"/>
        </w:rPr>
        <w:t>服务</w:t>
      </w:r>
      <w:r>
        <w:rPr>
          <w:rFonts w:ascii="宋体" w:hAnsi="宋体"/>
          <w:b/>
          <w:bCs/>
          <w:color w:val="auto"/>
          <w:szCs w:val="21"/>
          <w:lang w:val="zh-CN"/>
        </w:rPr>
        <w:t>期限</w:t>
      </w:r>
      <w:r>
        <w:rPr>
          <w:rFonts w:hint="eastAsia" w:ascii="宋体" w:hAnsi="宋体"/>
          <w:b/>
          <w:bCs/>
          <w:color w:val="auto"/>
          <w:szCs w:val="21"/>
          <w:lang w:val="zh-CN"/>
        </w:rPr>
        <w:t>、地点和方式</w:t>
      </w:r>
      <w:bookmarkEnd w:id="584"/>
      <w:bookmarkEnd w:id="585"/>
      <w:bookmarkEnd w:id="586"/>
    </w:p>
    <w:p>
      <w:pPr>
        <w:spacing w:line="360" w:lineRule="auto"/>
        <w:ind w:firstLine="435"/>
        <w:rPr>
          <w:rFonts w:ascii="宋体" w:hAnsi="宋体"/>
          <w:color w:val="auto"/>
          <w:szCs w:val="21"/>
          <w:u w:val="single"/>
        </w:rPr>
      </w:pPr>
      <w:r>
        <w:rPr>
          <w:rFonts w:hint="eastAsia" w:ascii="宋体" w:hAnsi="宋体"/>
          <w:color w:val="auto"/>
          <w:szCs w:val="21"/>
        </w:rPr>
        <w:t>1.5.1服务期限</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1.5.2服务地点</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1.5.3服务方式：</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7"/>
        <w:outlineLvl w:val="3"/>
        <w:rPr>
          <w:rFonts w:ascii="宋体" w:hAnsi="宋体"/>
          <w:b/>
          <w:bCs/>
          <w:color w:val="auto"/>
          <w:szCs w:val="21"/>
          <w:lang w:val="zh-CN"/>
        </w:rPr>
      </w:pPr>
      <w:bookmarkStart w:id="587" w:name="_Toc27250"/>
      <w:bookmarkStart w:id="588" w:name="_Toc21423"/>
      <w:bookmarkStart w:id="589" w:name="_Toc19554"/>
      <w:r>
        <w:rPr>
          <w:rFonts w:hint="eastAsia" w:ascii="宋体" w:hAnsi="宋体"/>
          <w:b/>
          <w:bCs/>
          <w:color w:val="auto"/>
          <w:szCs w:val="21"/>
          <w:lang w:val="zh-CN"/>
        </w:rPr>
        <w:t>1.6 违约责任</w:t>
      </w:r>
      <w:bookmarkEnd w:id="587"/>
      <w:bookmarkEnd w:id="588"/>
      <w:bookmarkEnd w:id="589"/>
    </w:p>
    <w:p>
      <w:pPr>
        <w:spacing w:line="360" w:lineRule="auto"/>
        <w:ind w:firstLine="435"/>
        <w:rPr>
          <w:rFonts w:ascii="宋体" w:hAnsi="宋体"/>
          <w:color w:val="auto"/>
          <w:szCs w:val="21"/>
        </w:rPr>
      </w:pPr>
      <w:r>
        <w:rPr>
          <w:rFonts w:hint="eastAsia" w:ascii="宋体" w:hAnsi="宋体"/>
          <w:color w:val="auto"/>
          <w:szCs w:val="21"/>
        </w:rPr>
        <w:t>1.6.1</w:t>
      </w:r>
      <w:r>
        <w:rPr>
          <w:rFonts w:ascii="宋体" w:hAnsi="宋体"/>
          <w:color w:val="auto"/>
          <w:szCs w:val="21"/>
        </w:rPr>
        <w:t>除不可抗力外，如果乙方没有按照本合同约定的期限</w:t>
      </w:r>
      <w:r>
        <w:rPr>
          <w:rFonts w:hint="eastAsia" w:ascii="宋体" w:hAnsi="宋体"/>
          <w:color w:val="auto"/>
          <w:szCs w:val="21"/>
        </w:rPr>
        <w:t>、</w:t>
      </w:r>
      <w:r>
        <w:rPr>
          <w:rFonts w:ascii="宋体" w:hAnsi="宋体"/>
          <w:color w:val="auto"/>
          <w:szCs w:val="21"/>
        </w:rPr>
        <w:t>地点和方式</w:t>
      </w:r>
      <w:r>
        <w:rPr>
          <w:rFonts w:hint="eastAsia" w:ascii="宋体" w:hAnsi="宋体"/>
          <w:color w:val="auto"/>
          <w:szCs w:val="21"/>
        </w:rPr>
        <w:t>履行</w:t>
      </w:r>
      <w:r>
        <w:rPr>
          <w:rFonts w:ascii="宋体" w:hAnsi="宋体"/>
          <w:color w:val="auto"/>
          <w:szCs w:val="21"/>
        </w:rPr>
        <w:t>，那么甲方可要求乙方支付违约金</w:t>
      </w:r>
      <w:r>
        <w:rPr>
          <w:rFonts w:hint="eastAsia" w:ascii="宋体" w:hAnsi="宋体"/>
          <w:color w:val="auto"/>
          <w:szCs w:val="21"/>
        </w:rPr>
        <w:t>，</w:t>
      </w:r>
      <w:r>
        <w:rPr>
          <w:rFonts w:ascii="宋体" w:hAnsi="宋体"/>
          <w:color w:val="auto"/>
          <w:szCs w:val="21"/>
        </w:rPr>
        <w:t>违约金按每迟延</w:t>
      </w:r>
      <w:r>
        <w:rPr>
          <w:rFonts w:hint="eastAsia" w:ascii="宋体" w:hAnsi="宋体"/>
          <w:color w:val="auto"/>
          <w:szCs w:val="21"/>
        </w:rPr>
        <w:t>履行</w:t>
      </w:r>
      <w:r>
        <w:rPr>
          <w:rFonts w:ascii="宋体" w:hAnsi="宋体"/>
          <w:color w:val="auto"/>
          <w:szCs w:val="21"/>
        </w:rPr>
        <w:t>一日的应提供而未</w:t>
      </w:r>
      <w:r>
        <w:rPr>
          <w:rFonts w:hint="eastAsia" w:ascii="宋体" w:hAnsi="宋体"/>
          <w:color w:val="auto"/>
          <w:szCs w:val="21"/>
        </w:rPr>
        <w:t>提供</w:t>
      </w:r>
      <w:r>
        <w:rPr>
          <w:rFonts w:ascii="宋体" w:hAnsi="宋体"/>
          <w:color w:val="auto"/>
          <w:szCs w:val="21"/>
        </w:rPr>
        <w:t>服务价格的</w:t>
      </w:r>
      <w:r>
        <w:rPr>
          <w:rFonts w:hint="eastAsia" w:ascii="宋体" w:hAnsi="宋体"/>
          <w:color w:val="auto"/>
          <w:szCs w:val="21"/>
          <w:u w:val="single"/>
        </w:rPr>
        <w:t>1</w:t>
      </w:r>
      <w:r>
        <w:rPr>
          <w:rFonts w:ascii="宋体" w:hAnsi="宋体"/>
          <w:color w:val="auto"/>
          <w:szCs w:val="21"/>
        </w:rPr>
        <w:t>%计算</w:t>
      </w:r>
      <w:r>
        <w:rPr>
          <w:rFonts w:hint="eastAsia" w:ascii="宋体" w:hAnsi="宋体"/>
          <w:color w:val="auto"/>
          <w:szCs w:val="21"/>
        </w:rPr>
        <w:t>，</w:t>
      </w:r>
      <w:r>
        <w:rPr>
          <w:rFonts w:ascii="宋体" w:hAnsi="宋体"/>
          <w:color w:val="auto"/>
          <w:szCs w:val="21"/>
        </w:rPr>
        <w:t>最高限额为</w:t>
      </w:r>
      <w:r>
        <w:rPr>
          <w:rFonts w:hint="eastAsia" w:ascii="宋体" w:hAnsi="宋体"/>
          <w:color w:val="auto"/>
          <w:szCs w:val="21"/>
        </w:rPr>
        <w:t>本</w:t>
      </w:r>
      <w:r>
        <w:rPr>
          <w:rFonts w:ascii="宋体" w:hAnsi="宋体"/>
          <w:color w:val="auto"/>
          <w:szCs w:val="21"/>
        </w:rPr>
        <w:t>合同总价的</w:t>
      </w:r>
      <w:r>
        <w:rPr>
          <w:rFonts w:hint="eastAsia" w:ascii="宋体" w:hAnsi="宋体"/>
          <w:color w:val="auto"/>
          <w:szCs w:val="21"/>
          <w:u w:val="single"/>
        </w:rPr>
        <w:t xml:space="preserve">1 </w:t>
      </w:r>
      <w:r>
        <w:rPr>
          <w:rFonts w:ascii="宋体" w:hAnsi="宋体"/>
          <w:color w:val="auto"/>
          <w:szCs w:val="21"/>
        </w:rPr>
        <w:t>%</w:t>
      </w:r>
      <w:r>
        <w:rPr>
          <w:rFonts w:hint="eastAsia" w:ascii="宋体" w:hAnsi="宋体"/>
          <w:color w:val="auto"/>
          <w:szCs w:val="21"/>
        </w:rPr>
        <w:t>；</w:t>
      </w:r>
      <w:r>
        <w:rPr>
          <w:rFonts w:ascii="宋体" w:hAnsi="宋体"/>
          <w:color w:val="auto"/>
          <w:szCs w:val="21"/>
        </w:rPr>
        <w:t>迟延</w:t>
      </w:r>
      <w:r>
        <w:rPr>
          <w:rFonts w:hint="eastAsia" w:ascii="宋体" w:hAnsi="宋体"/>
          <w:color w:val="auto"/>
          <w:szCs w:val="21"/>
        </w:rPr>
        <w:t>履行</w:t>
      </w:r>
      <w:r>
        <w:rPr>
          <w:rFonts w:ascii="宋体" w:hAnsi="宋体"/>
          <w:color w:val="auto"/>
          <w:szCs w:val="21"/>
        </w:rPr>
        <w:t>的违约金计算数额达到前述最高限额之日起</w:t>
      </w:r>
      <w:r>
        <w:rPr>
          <w:rFonts w:hint="eastAsia" w:ascii="宋体" w:hAnsi="宋体"/>
          <w:color w:val="auto"/>
          <w:szCs w:val="21"/>
        </w:rPr>
        <w:t>，</w:t>
      </w:r>
      <w:r>
        <w:rPr>
          <w:rFonts w:ascii="宋体" w:hAnsi="宋体"/>
          <w:color w:val="auto"/>
          <w:szCs w:val="21"/>
        </w:rPr>
        <w:t>甲方有权在要求乙方支付违约金的同时</w:t>
      </w:r>
      <w:r>
        <w:rPr>
          <w:rFonts w:hint="eastAsia" w:ascii="宋体" w:hAnsi="宋体"/>
          <w:color w:val="auto"/>
          <w:szCs w:val="21"/>
        </w:rPr>
        <w:t>，书面通知乙方</w:t>
      </w:r>
      <w:r>
        <w:rPr>
          <w:rFonts w:ascii="宋体" w:hAnsi="宋体"/>
          <w:color w:val="auto"/>
          <w:szCs w:val="21"/>
        </w:rPr>
        <w:t>解除本合同</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1.6.2</w:t>
      </w:r>
      <w:r>
        <w:rPr>
          <w:rFonts w:ascii="宋体" w:hAnsi="宋体"/>
          <w:color w:val="auto"/>
          <w:szCs w:val="21"/>
        </w:rPr>
        <w:t>除不可抗力外，如果甲方没有按照本合同约定的付款方式付款，那么乙方可要求甲方支付违约金</w:t>
      </w:r>
      <w:r>
        <w:rPr>
          <w:rFonts w:hint="eastAsia" w:ascii="宋体" w:hAnsi="宋体"/>
          <w:color w:val="auto"/>
          <w:szCs w:val="21"/>
        </w:rPr>
        <w:t>，</w:t>
      </w:r>
      <w:r>
        <w:rPr>
          <w:rFonts w:ascii="宋体" w:hAnsi="宋体"/>
          <w:color w:val="auto"/>
          <w:szCs w:val="21"/>
        </w:rPr>
        <w:t>违约金按每迟延</w:t>
      </w:r>
      <w:r>
        <w:rPr>
          <w:rFonts w:hint="eastAsia" w:ascii="宋体" w:hAnsi="宋体"/>
          <w:color w:val="auto"/>
          <w:szCs w:val="21"/>
        </w:rPr>
        <w:t>付款</w:t>
      </w:r>
      <w:r>
        <w:rPr>
          <w:rFonts w:ascii="宋体" w:hAnsi="宋体"/>
          <w:color w:val="auto"/>
          <w:szCs w:val="21"/>
        </w:rPr>
        <w:t>一日的应付而未付款的</w:t>
      </w:r>
      <w:r>
        <w:rPr>
          <w:rFonts w:hint="eastAsia" w:ascii="宋体" w:hAnsi="宋体"/>
          <w:color w:val="auto"/>
          <w:szCs w:val="21"/>
          <w:u w:val="single"/>
        </w:rPr>
        <w:t xml:space="preserve">1 </w:t>
      </w:r>
      <w:r>
        <w:rPr>
          <w:rFonts w:ascii="宋体" w:hAnsi="宋体"/>
          <w:color w:val="auto"/>
          <w:szCs w:val="21"/>
        </w:rPr>
        <w:t>%计算</w:t>
      </w:r>
      <w:r>
        <w:rPr>
          <w:rFonts w:hint="eastAsia" w:ascii="宋体" w:hAnsi="宋体"/>
          <w:color w:val="auto"/>
          <w:szCs w:val="21"/>
        </w:rPr>
        <w:t>，</w:t>
      </w:r>
      <w:r>
        <w:rPr>
          <w:rFonts w:ascii="宋体" w:hAnsi="宋体"/>
          <w:color w:val="auto"/>
          <w:szCs w:val="21"/>
        </w:rPr>
        <w:t>最高限额为</w:t>
      </w:r>
      <w:r>
        <w:rPr>
          <w:rFonts w:hint="eastAsia" w:ascii="宋体" w:hAnsi="宋体"/>
          <w:color w:val="auto"/>
          <w:szCs w:val="21"/>
        </w:rPr>
        <w:t>本</w:t>
      </w:r>
      <w:r>
        <w:rPr>
          <w:rFonts w:ascii="宋体" w:hAnsi="宋体"/>
          <w:color w:val="auto"/>
          <w:szCs w:val="21"/>
        </w:rPr>
        <w:t>合同总价的</w:t>
      </w:r>
      <w:r>
        <w:rPr>
          <w:rFonts w:hint="eastAsia" w:ascii="宋体" w:hAnsi="宋体"/>
          <w:color w:val="auto"/>
          <w:szCs w:val="21"/>
          <w:u w:val="single"/>
        </w:rPr>
        <w:t xml:space="preserve">1 </w:t>
      </w:r>
      <w:r>
        <w:rPr>
          <w:rFonts w:ascii="宋体" w:hAnsi="宋体"/>
          <w:color w:val="auto"/>
          <w:szCs w:val="21"/>
        </w:rPr>
        <w:t>%</w:t>
      </w:r>
      <w:r>
        <w:rPr>
          <w:rFonts w:hint="eastAsia" w:ascii="宋体" w:hAnsi="宋体"/>
          <w:color w:val="auto"/>
          <w:szCs w:val="21"/>
        </w:rPr>
        <w:t>；</w:t>
      </w:r>
      <w:r>
        <w:rPr>
          <w:rFonts w:ascii="宋体" w:hAnsi="宋体"/>
          <w:color w:val="auto"/>
          <w:szCs w:val="21"/>
        </w:rPr>
        <w:t>迟延</w:t>
      </w:r>
      <w:r>
        <w:rPr>
          <w:rFonts w:hint="eastAsia" w:ascii="宋体" w:hAnsi="宋体"/>
          <w:color w:val="auto"/>
          <w:szCs w:val="21"/>
        </w:rPr>
        <w:t>付款</w:t>
      </w:r>
      <w:r>
        <w:rPr>
          <w:rFonts w:ascii="宋体" w:hAnsi="宋体"/>
          <w:color w:val="auto"/>
          <w:szCs w:val="21"/>
        </w:rPr>
        <w:t>的违约金计算数额达到前述最高限额之日起</w:t>
      </w:r>
      <w:r>
        <w:rPr>
          <w:rFonts w:hint="eastAsia" w:ascii="宋体" w:hAnsi="宋体"/>
          <w:color w:val="auto"/>
          <w:szCs w:val="21"/>
        </w:rPr>
        <w:t>，乙</w:t>
      </w:r>
      <w:r>
        <w:rPr>
          <w:rFonts w:ascii="宋体" w:hAnsi="宋体"/>
          <w:color w:val="auto"/>
          <w:szCs w:val="21"/>
        </w:rPr>
        <w:t>方有权在要求甲方支付违约金的同时</w:t>
      </w:r>
      <w:r>
        <w:rPr>
          <w:rFonts w:hint="eastAsia" w:ascii="宋体" w:hAnsi="宋体"/>
          <w:color w:val="auto"/>
          <w:szCs w:val="21"/>
        </w:rPr>
        <w:t>，书面通知甲方</w:t>
      </w:r>
      <w:r>
        <w:rPr>
          <w:rFonts w:ascii="宋体" w:hAnsi="宋体"/>
          <w:color w:val="auto"/>
          <w:szCs w:val="21"/>
        </w:rPr>
        <w:t>解除本合同</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color w:val="auto"/>
          <w:szCs w:val="21"/>
        </w:rPr>
      </w:pPr>
      <w:r>
        <w:rPr>
          <w:rFonts w:hint="eastAsia" w:ascii="宋体" w:hAnsi="宋体"/>
          <w:color w:val="auto"/>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color w:val="auto"/>
          <w:szCs w:val="21"/>
        </w:rPr>
      </w:pPr>
      <w:r>
        <w:rPr>
          <w:rFonts w:hint="eastAsia" w:ascii="宋体" w:hAnsi="宋体"/>
          <w:color w:val="auto"/>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color w:val="auto"/>
          <w:szCs w:val="21"/>
        </w:rPr>
      </w:pPr>
      <w:r>
        <w:rPr>
          <w:rFonts w:hint="eastAsia" w:ascii="宋体" w:hAnsi="宋体"/>
          <w:color w:val="auto"/>
          <w:szCs w:val="21"/>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宋体" w:hAnsi="宋体"/>
          <w:b/>
          <w:bCs/>
          <w:color w:val="auto"/>
          <w:szCs w:val="21"/>
          <w:lang w:val="zh-CN"/>
        </w:rPr>
      </w:pPr>
      <w:bookmarkStart w:id="590" w:name="_Toc28375"/>
      <w:bookmarkStart w:id="591" w:name="_Toc16021"/>
      <w:bookmarkStart w:id="592" w:name="_Toc15583"/>
      <w:r>
        <w:rPr>
          <w:rFonts w:hint="eastAsia" w:ascii="宋体" w:hAnsi="宋体"/>
          <w:b/>
          <w:bCs/>
          <w:color w:val="auto"/>
          <w:szCs w:val="21"/>
          <w:lang w:val="zh-CN"/>
        </w:rPr>
        <w:t>1.7</w:t>
      </w:r>
      <w:r>
        <w:rPr>
          <w:rFonts w:ascii="宋体" w:hAnsi="宋体"/>
          <w:b/>
          <w:bCs/>
          <w:color w:val="auto"/>
          <w:szCs w:val="21"/>
          <w:lang w:val="zh-CN"/>
        </w:rPr>
        <w:t xml:space="preserve"> </w:t>
      </w:r>
      <w:r>
        <w:rPr>
          <w:rFonts w:hint="eastAsia" w:ascii="宋体" w:hAnsi="宋体"/>
          <w:b/>
          <w:bCs/>
          <w:color w:val="auto"/>
          <w:szCs w:val="21"/>
          <w:lang w:val="zh-CN"/>
        </w:rPr>
        <w:t>合同</w:t>
      </w:r>
      <w:r>
        <w:rPr>
          <w:rFonts w:ascii="宋体" w:hAnsi="宋体"/>
          <w:b/>
          <w:bCs/>
          <w:color w:val="auto"/>
          <w:szCs w:val="21"/>
          <w:lang w:val="zh-CN"/>
        </w:rPr>
        <w:t>争议的解决</w:t>
      </w:r>
      <w:bookmarkEnd w:id="590"/>
      <w:bookmarkEnd w:id="591"/>
      <w:bookmarkEnd w:id="592"/>
    </w:p>
    <w:p>
      <w:pPr>
        <w:spacing w:line="360" w:lineRule="auto"/>
        <w:ind w:firstLine="435"/>
        <w:rPr>
          <w:rFonts w:ascii="宋体" w:hAnsi="宋体"/>
          <w:color w:val="auto"/>
          <w:szCs w:val="21"/>
        </w:rPr>
      </w:pPr>
      <w:r>
        <w:rPr>
          <w:rFonts w:hint="eastAsia" w:ascii="宋体" w:hAnsi="宋体"/>
          <w:color w:val="auto"/>
          <w:szCs w:val="21"/>
        </w:rPr>
        <w:t>本合</w:t>
      </w:r>
      <w:r>
        <w:rPr>
          <w:rFonts w:ascii="宋体" w:hAnsi="宋体"/>
          <w:color w:val="auto"/>
          <w:szCs w:val="21"/>
        </w:rPr>
        <w:t>同履行过程中发生的任何争议，双方当事人均可</w:t>
      </w:r>
      <w:r>
        <w:rPr>
          <w:rFonts w:hint="eastAsia" w:ascii="宋体" w:hAnsi="宋体"/>
          <w:color w:val="auto"/>
          <w:szCs w:val="21"/>
        </w:rPr>
        <w:t>通过和解或者调解解决；不愿和解、调解或者和解、调解不成的，可以选择下列第</w:t>
      </w:r>
      <w:r>
        <w:rPr>
          <w:rFonts w:hint="eastAsia" w:ascii="宋体" w:hAnsi="宋体"/>
          <w:color w:val="auto"/>
          <w:szCs w:val="21"/>
          <w:u w:val="single"/>
        </w:rPr>
        <w:t xml:space="preserve"> 1.7.2  </w:t>
      </w:r>
      <w:r>
        <w:rPr>
          <w:rFonts w:hint="eastAsia" w:ascii="宋体" w:hAnsi="宋体"/>
          <w:color w:val="auto"/>
          <w:szCs w:val="21"/>
        </w:rPr>
        <w:t>种方式解决：</w:t>
      </w:r>
    </w:p>
    <w:p>
      <w:pPr>
        <w:spacing w:line="360" w:lineRule="auto"/>
        <w:ind w:firstLine="435"/>
        <w:rPr>
          <w:rFonts w:ascii="宋体" w:hAnsi="宋体"/>
          <w:color w:val="auto"/>
          <w:szCs w:val="21"/>
        </w:rPr>
      </w:pPr>
      <w:r>
        <w:rPr>
          <w:rFonts w:hint="eastAsia" w:ascii="宋体" w:hAnsi="宋体"/>
          <w:color w:val="auto"/>
          <w:szCs w:val="21"/>
        </w:rPr>
        <w:t>1.7.1将争议提交滁州仲裁委员会依申请仲裁时其现行有效的仲裁规则裁决；</w:t>
      </w:r>
    </w:p>
    <w:p>
      <w:pPr>
        <w:spacing w:line="360" w:lineRule="auto"/>
        <w:ind w:firstLine="435"/>
        <w:rPr>
          <w:rFonts w:ascii="宋体" w:hAnsi="宋体"/>
          <w:color w:val="auto"/>
          <w:szCs w:val="21"/>
        </w:rPr>
      </w:pPr>
      <w:r>
        <w:rPr>
          <w:rFonts w:hint="eastAsia" w:ascii="宋体" w:hAnsi="宋体"/>
          <w:color w:val="auto"/>
          <w:szCs w:val="21"/>
        </w:rPr>
        <w:t>1.7.2向甲方（采购人）</w:t>
      </w:r>
      <w:r>
        <w:rPr>
          <w:rFonts w:hint="eastAsia" w:ascii="宋体" w:cs="宋体"/>
          <w:color w:val="auto"/>
          <w:szCs w:val="21"/>
          <w:u w:color="000000"/>
        </w:rPr>
        <w:t>所在地</w:t>
      </w:r>
      <w:r>
        <w:rPr>
          <w:rFonts w:hint="eastAsia" w:ascii="宋体" w:hAnsi="宋体"/>
          <w:color w:val="auto"/>
          <w:szCs w:val="21"/>
        </w:rPr>
        <w:t>人民法院起诉。</w:t>
      </w:r>
    </w:p>
    <w:p>
      <w:pPr>
        <w:spacing w:line="360" w:lineRule="auto"/>
        <w:ind w:firstLine="437"/>
        <w:outlineLvl w:val="3"/>
        <w:rPr>
          <w:rFonts w:ascii="宋体" w:hAnsi="宋体"/>
          <w:b/>
          <w:bCs/>
          <w:color w:val="auto"/>
          <w:szCs w:val="21"/>
          <w:lang w:val="zh-CN"/>
        </w:rPr>
      </w:pPr>
      <w:bookmarkStart w:id="593" w:name="_Toc7245"/>
      <w:bookmarkStart w:id="594" w:name="_Toc11173"/>
      <w:bookmarkStart w:id="595" w:name="_Toc15322"/>
      <w:r>
        <w:rPr>
          <w:rFonts w:hint="eastAsia" w:ascii="宋体" w:hAnsi="宋体"/>
          <w:b/>
          <w:bCs/>
          <w:color w:val="auto"/>
          <w:szCs w:val="21"/>
          <w:lang w:val="zh-CN"/>
        </w:rPr>
        <w:t>1.8</w:t>
      </w:r>
      <w:r>
        <w:rPr>
          <w:rFonts w:ascii="宋体" w:hAnsi="宋体"/>
          <w:b/>
          <w:bCs/>
          <w:color w:val="auto"/>
          <w:szCs w:val="21"/>
          <w:lang w:val="zh-CN"/>
        </w:rPr>
        <w:t xml:space="preserve"> 合同生效</w:t>
      </w:r>
      <w:bookmarkEnd w:id="593"/>
      <w:bookmarkEnd w:id="594"/>
      <w:bookmarkEnd w:id="595"/>
    </w:p>
    <w:p>
      <w:pPr>
        <w:spacing w:line="360" w:lineRule="auto"/>
        <w:ind w:firstLine="435"/>
        <w:rPr>
          <w:rFonts w:ascii="宋体" w:hAnsi="宋体"/>
          <w:color w:val="auto"/>
          <w:szCs w:val="21"/>
        </w:rPr>
      </w:pPr>
      <w:r>
        <w:rPr>
          <w:rFonts w:ascii="宋体" w:hAnsi="宋体"/>
          <w:color w:val="auto"/>
          <w:szCs w:val="21"/>
        </w:rPr>
        <w:t>本合同自</w:t>
      </w:r>
      <w:r>
        <w:rPr>
          <w:rFonts w:hint="eastAsia" w:ascii="宋体" w:hAnsi="宋体"/>
          <w:color w:val="auto"/>
          <w:szCs w:val="21"/>
        </w:rPr>
        <w:t>双方当事人盖章时</w:t>
      </w:r>
      <w:r>
        <w:rPr>
          <w:rFonts w:ascii="宋体" w:hAnsi="宋体"/>
          <w:color w:val="auto"/>
          <w:szCs w:val="21"/>
        </w:rPr>
        <w:t>生效。</w:t>
      </w:r>
    </w:p>
    <w:p>
      <w:pPr>
        <w:autoSpaceDE w:val="0"/>
        <w:autoSpaceDN w:val="0"/>
        <w:adjustRightInd w:val="0"/>
        <w:spacing w:line="560" w:lineRule="exact"/>
        <w:rPr>
          <w:rFonts w:ascii="宋体" w:hAnsi="宋体"/>
          <w:color w:val="auto"/>
          <w:szCs w:val="21"/>
          <w:lang w:val="zh-CN"/>
        </w:rPr>
      </w:pPr>
    </w:p>
    <w:p>
      <w:pPr>
        <w:autoSpaceDE w:val="0"/>
        <w:autoSpaceDN w:val="0"/>
        <w:adjustRightInd w:val="0"/>
        <w:spacing w:line="560" w:lineRule="exact"/>
        <w:rPr>
          <w:rFonts w:ascii="宋体" w:hAnsi="宋体"/>
          <w:color w:val="auto"/>
          <w:szCs w:val="21"/>
          <w:lang w:val="zh-CN"/>
        </w:rPr>
      </w:pPr>
    </w:p>
    <w:p>
      <w:pPr>
        <w:autoSpaceDE w:val="0"/>
        <w:autoSpaceDN w:val="0"/>
        <w:adjustRightInd w:val="0"/>
        <w:spacing w:line="560" w:lineRule="exact"/>
        <w:rPr>
          <w:rFonts w:ascii="宋体" w:hAnsi="宋体"/>
          <w:bCs/>
          <w:color w:val="auto"/>
          <w:szCs w:val="21"/>
          <w:lang w:val="zh-CN"/>
        </w:rPr>
      </w:pPr>
      <w:r>
        <w:rPr>
          <w:rFonts w:hint="eastAsia" w:ascii="宋体" w:hAnsi="宋体"/>
          <w:bCs/>
          <w:color w:val="auto"/>
          <w:szCs w:val="21"/>
          <w:lang w:val="zh-CN"/>
        </w:rPr>
        <w:t xml:space="preserve">甲 </w:t>
      </w:r>
      <w:r>
        <w:rPr>
          <w:rFonts w:ascii="宋体" w:hAnsi="宋体"/>
          <w:bCs/>
          <w:color w:val="auto"/>
          <w:szCs w:val="21"/>
          <w:lang w:val="zh-CN"/>
        </w:rPr>
        <w:t xml:space="preserve">   </w:t>
      </w:r>
      <w:r>
        <w:rPr>
          <w:rFonts w:hint="eastAsia" w:ascii="宋体" w:hAnsi="宋体"/>
          <w:bCs/>
          <w:color w:val="auto"/>
          <w:szCs w:val="21"/>
          <w:lang w:val="zh-CN"/>
        </w:rPr>
        <w:t>方：</w:t>
      </w:r>
      <w:r>
        <w:rPr>
          <w:rFonts w:hint="eastAsia" w:ascii="宋体" w:hAnsi="宋体"/>
          <w:bCs/>
          <w:color w:val="auto"/>
          <w:szCs w:val="21"/>
          <w:u w:val="single"/>
          <w:lang w:val="zh-CN"/>
        </w:rPr>
        <w:t xml:space="preserve">    （单位盖章）     </w:t>
      </w:r>
      <w:r>
        <w:rPr>
          <w:rFonts w:hint="eastAsia" w:ascii="宋体" w:hAnsi="宋体"/>
          <w:bCs/>
          <w:color w:val="auto"/>
          <w:szCs w:val="21"/>
          <w:lang w:val="zh-CN"/>
        </w:rPr>
        <w:t xml:space="preserve">          乙</w:t>
      </w:r>
      <w:r>
        <w:rPr>
          <w:rFonts w:hint="eastAsia" w:ascii="宋体" w:hAnsi="宋体"/>
          <w:bCs/>
          <w:color w:val="auto"/>
          <w:szCs w:val="21"/>
        </w:rPr>
        <w:t xml:space="preserve">    </w:t>
      </w:r>
      <w:r>
        <w:rPr>
          <w:rFonts w:hint="eastAsia" w:ascii="宋体" w:hAnsi="宋体"/>
          <w:bCs/>
          <w:color w:val="auto"/>
          <w:szCs w:val="21"/>
          <w:lang w:val="zh-CN"/>
        </w:rPr>
        <w:t>方：</w:t>
      </w:r>
      <w:r>
        <w:rPr>
          <w:rFonts w:hint="eastAsia" w:ascii="宋体" w:hAnsi="宋体"/>
          <w:bCs/>
          <w:color w:val="auto"/>
          <w:szCs w:val="21"/>
          <w:u w:val="single"/>
          <w:lang w:val="zh-CN"/>
        </w:rPr>
        <w:t xml:space="preserve">    （单位盖章）     </w:t>
      </w:r>
    </w:p>
    <w:p>
      <w:pPr>
        <w:autoSpaceDE w:val="0"/>
        <w:autoSpaceDN w:val="0"/>
        <w:adjustRightInd w:val="0"/>
        <w:spacing w:line="560" w:lineRule="exact"/>
        <w:rPr>
          <w:rFonts w:ascii="宋体" w:hAnsi="宋体"/>
          <w:color w:val="auto"/>
          <w:szCs w:val="21"/>
          <w:lang w:val="zh-CN"/>
        </w:rPr>
      </w:pPr>
      <w:r>
        <w:rPr>
          <w:rFonts w:hint="eastAsia" w:ascii="宋体" w:hAnsi="宋体"/>
          <w:color w:val="auto"/>
          <w:szCs w:val="21"/>
          <w:lang w:val="zh-CN"/>
        </w:rPr>
        <w:t xml:space="preserve">法定代表人                             </w:t>
      </w:r>
      <w:r>
        <w:rPr>
          <w:rFonts w:ascii="宋体" w:hAnsi="宋体"/>
          <w:color w:val="auto"/>
          <w:szCs w:val="21"/>
          <w:lang w:val="zh-CN"/>
        </w:rPr>
        <w:t xml:space="preserve">  </w:t>
      </w:r>
      <w:r>
        <w:rPr>
          <w:rFonts w:hint="eastAsia" w:ascii="宋体" w:hAnsi="宋体"/>
          <w:color w:val="auto"/>
          <w:szCs w:val="21"/>
          <w:lang w:val="zh-CN"/>
        </w:rPr>
        <w:t>法定代表人</w:t>
      </w:r>
    </w:p>
    <w:p>
      <w:pPr>
        <w:autoSpaceDE w:val="0"/>
        <w:autoSpaceDN w:val="0"/>
        <w:adjustRightInd w:val="0"/>
        <w:spacing w:line="560" w:lineRule="exact"/>
        <w:rPr>
          <w:rFonts w:ascii="宋体" w:hAnsi="宋体"/>
          <w:color w:val="auto"/>
          <w:szCs w:val="21"/>
          <w:lang w:val="zh-CN"/>
        </w:rPr>
      </w:pPr>
      <w:r>
        <w:rPr>
          <w:rFonts w:hint="eastAsia" w:ascii="宋体" w:hAnsi="宋体"/>
          <w:color w:val="auto"/>
          <w:szCs w:val="21"/>
          <w:lang w:val="zh-CN"/>
        </w:rPr>
        <w:t>或授权代表（签字）：                     或授权代表（签字）：</w:t>
      </w:r>
    </w:p>
    <w:p>
      <w:pPr>
        <w:widowControl/>
        <w:spacing w:line="560" w:lineRule="exact"/>
        <w:jc w:val="left"/>
        <w:rPr>
          <w:rFonts w:ascii="宋体" w:hAnsi="宋体"/>
          <w:bCs/>
          <w:color w:val="auto"/>
          <w:szCs w:val="21"/>
        </w:rPr>
      </w:pPr>
      <w:bookmarkStart w:id="596" w:name="_Toc331685783"/>
      <w:r>
        <w:rPr>
          <w:rFonts w:hint="eastAsia" w:ascii="宋体" w:hAnsi="宋体"/>
          <w:bCs/>
          <w:color w:val="auto"/>
          <w:szCs w:val="21"/>
        </w:rPr>
        <w:t>时间：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日               时间：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日</w:t>
      </w:r>
    </w:p>
    <w:p>
      <w:pPr>
        <w:widowControl/>
        <w:jc w:val="left"/>
        <w:rPr>
          <w:rFonts w:ascii="宋体" w:hAnsi="宋体"/>
          <w:b/>
          <w:color w:val="auto"/>
          <w:szCs w:val="21"/>
        </w:rPr>
      </w:pPr>
    </w:p>
    <w:p>
      <w:pPr>
        <w:widowControl/>
        <w:jc w:val="left"/>
        <w:rPr>
          <w:rFonts w:ascii="宋体" w:hAnsi="宋体"/>
          <w:b/>
          <w:color w:val="auto"/>
          <w:szCs w:val="21"/>
        </w:rPr>
      </w:pPr>
    </w:p>
    <w:p>
      <w:pPr>
        <w:widowControl/>
        <w:jc w:val="center"/>
        <w:rPr>
          <w:rFonts w:ascii="宋体" w:hAnsi="宋体"/>
          <w:b/>
          <w:color w:val="auto"/>
          <w:szCs w:val="21"/>
        </w:rPr>
      </w:pPr>
      <w:r>
        <w:rPr>
          <w:rFonts w:hint="eastAsia" w:ascii="宋体" w:hAnsi="宋体"/>
          <w:b/>
          <w:color w:val="auto"/>
          <w:szCs w:val="21"/>
        </w:rPr>
        <w:t>第二部分</w:t>
      </w:r>
      <w:r>
        <w:rPr>
          <w:rFonts w:ascii="宋体" w:hAnsi="宋体"/>
          <w:b/>
          <w:color w:val="auto"/>
          <w:szCs w:val="21"/>
        </w:rPr>
        <w:t xml:space="preserve"> </w:t>
      </w:r>
      <w:r>
        <w:rPr>
          <w:rFonts w:hint="eastAsia" w:ascii="宋体" w:hAnsi="宋体"/>
          <w:b/>
          <w:color w:val="auto"/>
          <w:szCs w:val="21"/>
        </w:rPr>
        <w:t>合同一般条款</w:t>
      </w:r>
      <w:bookmarkEnd w:id="596"/>
    </w:p>
    <w:p>
      <w:pPr>
        <w:spacing w:line="360" w:lineRule="auto"/>
        <w:ind w:firstLine="437"/>
        <w:outlineLvl w:val="3"/>
        <w:rPr>
          <w:rFonts w:ascii="宋体" w:hAnsi="宋体"/>
          <w:b/>
          <w:bCs/>
          <w:color w:val="auto"/>
          <w:szCs w:val="21"/>
          <w:lang w:val="zh-CN"/>
        </w:rPr>
      </w:pPr>
      <w:bookmarkStart w:id="597" w:name="_Ref467379205"/>
      <w:bookmarkStart w:id="598" w:name="_Toc16917"/>
      <w:bookmarkStart w:id="599" w:name="_Ref467379195"/>
      <w:bookmarkStart w:id="600" w:name="_Toc487900349"/>
      <w:bookmarkStart w:id="601" w:name="_Ref467379214"/>
      <w:bookmarkStart w:id="602" w:name="_Ref467379094"/>
      <w:bookmarkStart w:id="603" w:name="_Toc279701240"/>
      <w:bookmarkStart w:id="604" w:name="_Ref467379101"/>
      <w:bookmarkStart w:id="605" w:name="_Ref467379225"/>
      <w:bookmarkStart w:id="606" w:name="_Toc28763"/>
      <w:bookmarkStart w:id="607" w:name="_Toc259093669"/>
      <w:bookmarkStart w:id="608" w:name="_Ref467378404"/>
      <w:bookmarkStart w:id="609" w:name="_Ref467379109"/>
      <w:bookmarkStart w:id="610" w:name="_Ref467378463"/>
      <w:bookmarkStart w:id="611" w:name="_Toc19614"/>
      <w:bookmarkStart w:id="612" w:name="_Ref467378499"/>
      <w:r>
        <w:rPr>
          <w:rFonts w:hint="eastAsia" w:ascii="宋体" w:hAnsi="宋体"/>
          <w:b/>
          <w:bCs/>
          <w:color w:val="auto"/>
          <w:szCs w:val="21"/>
          <w:lang w:val="zh-CN"/>
        </w:rPr>
        <w:t>2.1</w:t>
      </w:r>
      <w:r>
        <w:rPr>
          <w:rFonts w:ascii="宋体" w:hAnsi="宋体"/>
          <w:b/>
          <w:bCs/>
          <w:color w:val="auto"/>
          <w:szCs w:val="21"/>
          <w:lang w:val="zh-CN"/>
        </w:rPr>
        <w:t xml:space="preserve"> 定义</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360" w:lineRule="auto"/>
        <w:ind w:firstLine="435"/>
        <w:rPr>
          <w:rFonts w:ascii="宋体" w:hAnsi="宋体"/>
          <w:color w:val="auto"/>
          <w:szCs w:val="21"/>
        </w:rPr>
      </w:pPr>
      <w:r>
        <w:rPr>
          <w:rFonts w:ascii="宋体" w:hAnsi="宋体"/>
          <w:color w:val="auto"/>
          <w:szCs w:val="21"/>
        </w:rPr>
        <w:t>本合同中的下列</w:t>
      </w:r>
      <w:r>
        <w:rPr>
          <w:rFonts w:hint="eastAsia" w:ascii="宋体" w:hAnsi="宋体"/>
          <w:color w:val="auto"/>
          <w:szCs w:val="21"/>
        </w:rPr>
        <w:t>词</w:t>
      </w:r>
      <w:r>
        <w:rPr>
          <w:rFonts w:ascii="宋体" w:hAnsi="宋体"/>
          <w:color w:val="auto"/>
          <w:szCs w:val="21"/>
        </w:rPr>
        <w:t>语应</w:t>
      </w:r>
      <w:r>
        <w:rPr>
          <w:rFonts w:hint="eastAsia" w:ascii="宋体" w:hAnsi="宋体"/>
          <w:color w:val="auto"/>
          <w:szCs w:val="21"/>
        </w:rPr>
        <w:t>按以下内容进行</w:t>
      </w:r>
      <w:r>
        <w:rPr>
          <w:rFonts w:ascii="宋体" w:hAnsi="宋体"/>
          <w:color w:val="auto"/>
          <w:szCs w:val="21"/>
        </w:rPr>
        <w:t>解释：</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.1</w:t>
      </w:r>
      <w:r>
        <w:rPr>
          <w:rFonts w:ascii="宋体" w:hAnsi="宋体"/>
          <w:color w:val="auto"/>
          <w:szCs w:val="21"/>
        </w:rPr>
        <w:t>“合同”系指采购人和中标</w:t>
      </w:r>
      <w:r>
        <w:rPr>
          <w:rFonts w:hint="eastAsia" w:ascii="宋体" w:hAnsi="宋体"/>
          <w:color w:val="auto"/>
          <w:szCs w:val="21"/>
        </w:rPr>
        <w:t>人</w:t>
      </w:r>
      <w:r>
        <w:rPr>
          <w:rFonts w:ascii="宋体" w:hAnsi="宋体"/>
          <w:color w:val="auto"/>
          <w:szCs w:val="21"/>
        </w:rPr>
        <w:t>签订的载明双方当事人所达成的协议，并包括所有的附件、附录和构成合同的其他文件。</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1.2“合同价”系指根据合同约定，中标</w:t>
      </w:r>
      <w:r>
        <w:rPr>
          <w:rFonts w:hint="eastAsia" w:ascii="宋体" w:hAnsi="宋体"/>
          <w:color w:val="auto"/>
          <w:szCs w:val="21"/>
        </w:rPr>
        <w:t>人</w:t>
      </w:r>
      <w:r>
        <w:rPr>
          <w:rFonts w:ascii="宋体" w:hAnsi="宋体"/>
          <w:color w:val="auto"/>
          <w:szCs w:val="21"/>
        </w:rPr>
        <w:t>在完全履行合同义务后</w:t>
      </w:r>
      <w:r>
        <w:rPr>
          <w:rFonts w:hint="eastAsia" w:ascii="宋体" w:hAnsi="宋体"/>
          <w:color w:val="auto"/>
          <w:szCs w:val="21"/>
        </w:rPr>
        <w:t>，</w:t>
      </w:r>
      <w:r>
        <w:rPr>
          <w:rFonts w:ascii="宋体" w:hAnsi="宋体"/>
          <w:color w:val="auto"/>
          <w:szCs w:val="21"/>
        </w:rPr>
        <w:t>采购人应支付给中标人的价格。</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1.3“</w:t>
      </w:r>
      <w:r>
        <w:rPr>
          <w:rFonts w:hint="eastAsia" w:ascii="宋体" w:hAnsi="宋体"/>
          <w:color w:val="auto"/>
          <w:szCs w:val="21"/>
        </w:rPr>
        <w:t>服务</w:t>
      </w:r>
      <w:r>
        <w:rPr>
          <w:rFonts w:ascii="宋体" w:hAnsi="宋体"/>
          <w:color w:val="auto"/>
          <w:szCs w:val="21"/>
        </w:rPr>
        <w:t>”系指</w:t>
      </w:r>
      <w:r>
        <w:rPr>
          <w:rFonts w:hint="eastAsia" w:ascii="宋体" w:hAnsi="宋体"/>
          <w:color w:val="auto"/>
          <w:szCs w:val="21"/>
        </w:rPr>
        <w:t>中标人</w:t>
      </w:r>
      <w:r>
        <w:rPr>
          <w:rFonts w:ascii="宋体" w:hAnsi="宋体"/>
          <w:color w:val="auto"/>
          <w:szCs w:val="21"/>
        </w:rPr>
        <w:t>根据合同约定应向采购人</w:t>
      </w:r>
      <w:r>
        <w:rPr>
          <w:rFonts w:hint="eastAsia" w:ascii="宋体" w:hAnsi="宋体"/>
          <w:color w:val="auto"/>
          <w:szCs w:val="21"/>
        </w:rPr>
        <w:t>履行</w:t>
      </w:r>
      <w:r>
        <w:rPr>
          <w:rFonts w:ascii="宋体" w:hAnsi="宋体"/>
          <w:color w:val="auto"/>
          <w:szCs w:val="21"/>
        </w:rPr>
        <w:t>的</w:t>
      </w:r>
      <w:r>
        <w:rPr>
          <w:rFonts w:hint="eastAsia" w:ascii="宋体" w:hAnsi="宋体"/>
          <w:color w:val="auto"/>
          <w:szCs w:val="21"/>
        </w:rPr>
        <w:t>除货物和工程以外的其他政府采购对象，包括采购人自身需要的服务和向社会公众提供的公共服务。</w:t>
      </w:r>
    </w:p>
    <w:p>
      <w:pPr>
        <w:spacing w:line="360" w:lineRule="auto"/>
        <w:ind w:firstLine="435"/>
        <w:rPr>
          <w:rFonts w:ascii="宋体" w:hAnsi="宋体"/>
          <w:color w:val="auto"/>
          <w:szCs w:val="21"/>
        </w:rPr>
      </w:pPr>
      <w:bookmarkStart w:id="613" w:name="_Ref467378840"/>
      <w:r>
        <w:rPr>
          <w:rFonts w:hint="eastAsia" w:ascii="宋体" w:hAnsi="宋体"/>
          <w:color w:val="auto"/>
          <w:szCs w:val="21"/>
        </w:rPr>
        <w:t>2.</w:t>
      </w:r>
      <w:r>
        <w:rPr>
          <w:rFonts w:ascii="宋体" w:hAnsi="宋体"/>
          <w:color w:val="auto"/>
          <w:szCs w:val="21"/>
        </w:rPr>
        <w:t>1.</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甲方</w:t>
      </w:r>
      <w:r>
        <w:rPr>
          <w:rFonts w:ascii="宋体" w:hAnsi="宋体"/>
          <w:color w:val="auto"/>
          <w:szCs w:val="21"/>
        </w:rPr>
        <w:t>”系指与</w:t>
      </w:r>
      <w:r>
        <w:rPr>
          <w:rFonts w:hint="eastAsia" w:ascii="宋体" w:hAnsi="宋体"/>
          <w:color w:val="auto"/>
          <w:szCs w:val="21"/>
        </w:rPr>
        <w:t>中标人</w:t>
      </w:r>
      <w:r>
        <w:rPr>
          <w:rFonts w:ascii="宋体" w:hAnsi="宋体"/>
          <w:color w:val="auto"/>
          <w:szCs w:val="21"/>
        </w:rPr>
        <w:t>签署合同的采购人</w:t>
      </w:r>
      <w:bookmarkEnd w:id="613"/>
      <w:r>
        <w:rPr>
          <w:rFonts w:hint="eastAsia" w:ascii="宋体" w:hAnsi="宋体"/>
          <w:color w:val="auto"/>
          <w:szCs w:val="21"/>
        </w:rPr>
        <w:t>；采购人委托采购代理机构代表其与乙方签订合同的，采购人的授权委托书作为合同附件。</w:t>
      </w:r>
    </w:p>
    <w:p>
      <w:pPr>
        <w:spacing w:line="360" w:lineRule="auto"/>
        <w:ind w:firstLine="435"/>
        <w:rPr>
          <w:rFonts w:ascii="宋体" w:hAnsi="宋体"/>
          <w:color w:val="auto"/>
          <w:szCs w:val="21"/>
        </w:rPr>
      </w:pPr>
      <w:bookmarkStart w:id="614" w:name="_Ref467379400"/>
      <w:r>
        <w:rPr>
          <w:rFonts w:hint="eastAsia" w:ascii="宋体" w:hAnsi="宋体"/>
          <w:color w:val="auto"/>
          <w:szCs w:val="21"/>
        </w:rPr>
        <w:t>2.</w:t>
      </w:r>
      <w:r>
        <w:rPr>
          <w:rFonts w:ascii="宋体" w:hAnsi="宋体"/>
          <w:color w:val="auto"/>
          <w:szCs w:val="21"/>
        </w:rPr>
        <w:t>1.</w:t>
      </w:r>
      <w:r>
        <w:rPr>
          <w:rFonts w:hint="eastAsia" w:ascii="宋体" w:hAnsi="宋体"/>
          <w:color w:val="auto"/>
          <w:szCs w:val="21"/>
        </w:rPr>
        <w:t>5</w:t>
      </w:r>
      <w:r>
        <w:rPr>
          <w:rFonts w:ascii="宋体" w:hAnsi="宋体"/>
          <w:color w:val="auto"/>
          <w:szCs w:val="21"/>
        </w:rPr>
        <w:t>“乙方”系指根据合同约定</w:t>
      </w:r>
      <w:r>
        <w:rPr>
          <w:rFonts w:hint="eastAsia" w:ascii="宋体" w:hAnsi="宋体"/>
          <w:color w:val="auto"/>
          <w:szCs w:val="21"/>
        </w:rPr>
        <w:t>提供服务</w:t>
      </w:r>
      <w:r>
        <w:rPr>
          <w:rFonts w:ascii="宋体" w:hAnsi="宋体"/>
          <w:color w:val="auto"/>
          <w:szCs w:val="21"/>
        </w:rPr>
        <w:t>的中标人</w:t>
      </w:r>
      <w:bookmarkEnd w:id="614"/>
      <w:r>
        <w:rPr>
          <w:rFonts w:hint="eastAsia" w:ascii="宋体" w:hAnsi="宋体"/>
          <w:color w:val="auto"/>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宋体" w:hAnsi="宋体"/>
          <w:color w:val="auto"/>
          <w:szCs w:val="21"/>
        </w:rPr>
      </w:pPr>
      <w:bookmarkStart w:id="615" w:name="_Ref467379436"/>
      <w:r>
        <w:rPr>
          <w:rFonts w:hint="eastAsia" w:ascii="宋体" w:hAnsi="宋体"/>
          <w:color w:val="auto"/>
          <w:szCs w:val="21"/>
        </w:rPr>
        <w:t>2.</w:t>
      </w:r>
      <w:r>
        <w:rPr>
          <w:rFonts w:ascii="宋体" w:hAnsi="宋体"/>
          <w:color w:val="auto"/>
          <w:szCs w:val="21"/>
        </w:rPr>
        <w:t>1.</w:t>
      </w:r>
      <w:r>
        <w:rPr>
          <w:rFonts w:hint="eastAsia" w:ascii="宋体" w:hAnsi="宋体"/>
          <w:color w:val="auto"/>
          <w:szCs w:val="21"/>
        </w:rPr>
        <w:t>6</w:t>
      </w:r>
      <w:r>
        <w:rPr>
          <w:rFonts w:ascii="宋体" w:hAnsi="宋体"/>
          <w:color w:val="auto"/>
          <w:szCs w:val="21"/>
        </w:rPr>
        <w:t>“现场”系指合同约定</w:t>
      </w:r>
      <w:r>
        <w:rPr>
          <w:rFonts w:hint="eastAsia" w:ascii="宋体" w:hAnsi="宋体"/>
          <w:color w:val="auto"/>
          <w:szCs w:val="21"/>
        </w:rPr>
        <w:t>提供服务</w:t>
      </w:r>
      <w:r>
        <w:rPr>
          <w:rFonts w:ascii="宋体" w:hAnsi="宋体"/>
          <w:color w:val="auto"/>
          <w:szCs w:val="21"/>
        </w:rPr>
        <w:t>的地点。</w:t>
      </w:r>
      <w:bookmarkEnd w:id="615"/>
    </w:p>
    <w:p>
      <w:pPr>
        <w:spacing w:line="360" w:lineRule="auto"/>
        <w:ind w:firstLine="437"/>
        <w:outlineLvl w:val="3"/>
        <w:rPr>
          <w:rFonts w:ascii="宋体" w:hAnsi="宋体"/>
          <w:b/>
          <w:bCs/>
          <w:color w:val="auto"/>
          <w:szCs w:val="21"/>
          <w:lang w:val="zh-CN"/>
        </w:rPr>
      </w:pPr>
      <w:bookmarkStart w:id="616" w:name="_Toc32504"/>
      <w:bookmarkStart w:id="617" w:name="_Toc259093670"/>
      <w:bookmarkStart w:id="618" w:name="_Toc13336"/>
      <w:bookmarkStart w:id="619" w:name="_Toc27635"/>
      <w:bookmarkStart w:id="620" w:name="_Toc279701241"/>
      <w:bookmarkStart w:id="621" w:name="_Toc487900350"/>
      <w:r>
        <w:rPr>
          <w:rFonts w:hint="eastAsia" w:ascii="宋体" w:hAnsi="宋体"/>
          <w:b/>
          <w:bCs/>
          <w:color w:val="auto"/>
          <w:szCs w:val="21"/>
          <w:lang w:val="zh-CN"/>
        </w:rPr>
        <w:t>2.</w:t>
      </w:r>
      <w:r>
        <w:rPr>
          <w:rFonts w:ascii="宋体" w:hAnsi="宋体"/>
          <w:b/>
          <w:bCs/>
          <w:color w:val="auto"/>
          <w:szCs w:val="21"/>
          <w:lang w:val="zh-CN"/>
        </w:rPr>
        <w:t>2 技术规范</w:t>
      </w:r>
      <w:bookmarkEnd w:id="616"/>
      <w:bookmarkEnd w:id="617"/>
      <w:bookmarkEnd w:id="618"/>
      <w:bookmarkEnd w:id="619"/>
      <w:bookmarkEnd w:id="620"/>
      <w:bookmarkEnd w:id="621"/>
    </w:p>
    <w:p>
      <w:pPr>
        <w:spacing w:line="360" w:lineRule="auto"/>
        <w:ind w:firstLine="435"/>
        <w:rPr>
          <w:rFonts w:ascii="宋体" w:hAnsi="宋体"/>
          <w:color w:val="auto"/>
          <w:szCs w:val="21"/>
        </w:rPr>
      </w:pPr>
      <w:r>
        <w:rPr>
          <w:rFonts w:ascii="宋体" w:hAnsi="宋体"/>
          <w:color w:val="auto"/>
          <w:szCs w:val="21"/>
        </w:rPr>
        <w:t>货物所应遵守的技术规范应与采购文件规定的技术规范和技术规范附件(如果有的话)及其技术规范偏差表(如果被甲方接受的话)相一致</w:t>
      </w:r>
      <w:r>
        <w:rPr>
          <w:rFonts w:hint="eastAsia" w:ascii="宋体" w:hAnsi="宋体"/>
          <w:color w:val="auto"/>
          <w:szCs w:val="21"/>
        </w:rPr>
        <w:t>；</w:t>
      </w:r>
      <w:r>
        <w:rPr>
          <w:rFonts w:ascii="宋体" w:hAnsi="宋体"/>
          <w:color w:val="auto"/>
          <w:szCs w:val="21"/>
        </w:rPr>
        <w:t>如果采购文件中没有技术规范的相应说明，那么应以国家有关部门最新颁布的相应标准</w:t>
      </w:r>
      <w:r>
        <w:rPr>
          <w:rFonts w:hint="eastAsia" w:ascii="宋体" w:hAnsi="宋体"/>
          <w:color w:val="auto"/>
          <w:szCs w:val="21"/>
        </w:rPr>
        <w:t>和</w:t>
      </w:r>
      <w:r>
        <w:rPr>
          <w:rFonts w:ascii="宋体" w:hAnsi="宋体"/>
          <w:color w:val="auto"/>
          <w:szCs w:val="21"/>
        </w:rPr>
        <w:t>规范为准。</w:t>
      </w:r>
    </w:p>
    <w:p>
      <w:pPr>
        <w:spacing w:line="360" w:lineRule="auto"/>
        <w:ind w:firstLine="437"/>
        <w:outlineLvl w:val="3"/>
        <w:rPr>
          <w:rFonts w:ascii="宋体" w:hAnsi="宋体"/>
          <w:b/>
          <w:bCs/>
          <w:color w:val="auto"/>
          <w:szCs w:val="21"/>
          <w:lang w:val="zh-CN"/>
        </w:rPr>
      </w:pPr>
      <w:bookmarkStart w:id="622" w:name="_Toc259093671"/>
      <w:bookmarkStart w:id="623" w:name="_Toc31634"/>
      <w:bookmarkStart w:id="624" w:name="_Toc279701242"/>
      <w:bookmarkStart w:id="625" w:name="_Toc27853"/>
      <w:bookmarkStart w:id="626" w:name="_Toc9829"/>
      <w:bookmarkStart w:id="627" w:name="_Toc487900351"/>
      <w:r>
        <w:rPr>
          <w:rFonts w:hint="eastAsia" w:ascii="宋体" w:hAnsi="宋体"/>
          <w:b/>
          <w:bCs/>
          <w:color w:val="auto"/>
          <w:szCs w:val="21"/>
          <w:lang w:val="zh-CN"/>
        </w:rPr>
        <w:t>2.</w:t>
      </w:r>
      <w:r>
        <w:rPr>
          <w:rFonts w:ascii="宋体" w:hAnsi="宋体"/>
          <w:b/>
          <w:bCs/>
          <w:color w:val="auto"/>
          <w:szCs w:val="21"/>
          <w:lang w:val="zh-CN"/>
        </w:rPr>
        <w:t>3 知识产权</w:t>
      </w:r>
      <w:bookmarkEnd w:id="622"/>
      <w:bookmarkEnd w:id="623"/>
      <w:bookmarkEnd w:id="624"/>
      <w:bookmarkEnd w:id="625"/>
      <w:bookmarkEnd w:id="626"/>
      <w:bookmarkEnd w:id="627"/>
    </w:p>
    <w:p>
      <w:pPr>
        <w:spacing w:line="360" w:lineRule="auto"/>
        <w:ind w:firstLine="435"/>
        <w:rPr>
          <w:rFonts w:ascii="宋体" w:hAnsi="宋体"/>
          <w:color w:val="auto"/>
          <w:szCs w:val="21"/>
        </w:rPr>
      </w:pPr>
      <w:r>
        <w:rPr>
          <w:rFonts w:hint="eastAsia" w:ascii="宋体" w:hAnsi="宋体"/>
          <w:color w:val="auto"/>
          <w:szCs w:val="21"/>
        </w:rPr>
        <w:t>2.3.1乙</w:t>
      </w:r>
      <w:r>
        <w:rPr>
          <w:rFonts w:ascii="宋体" w:hAnsi="宋体"/>
          <w:color w:val="auto"/>
          <w:szCs w:val="21"/>
        </w:rPr>
        <w:t>方应保证</w:t>
      </w:r>
      <w:r>
        <w:rPr>
          <w:rFonts w:hint="eastAsia" w:ascii="宋体" w:hAnsi="宋体"/>
          <w:color w:val="auto"/>
          <w:szCs w:val="21"/>
        </w:rPr>
        <w:t>其提供的服务</w:t>
      </w:r>
      <w:r>
        <w:rPr>
          <w:rFonts w:ascii="宋体" w:hAnsi="宋体"/>
          <w:color w:val="auto"/>
          <w:szCs w:val="21"/>
        </w:rPr>
        <w:t>不受任何第三方提出的侵犯其著作权、商标权、专利权等知识产权方面的起诉</w:t>
      </w:r>
      <w:r>
        <w:rPr>
          <w:rFonts w:hint="eastAsia" w:ascii="宋体" w:hAnsi="宋体"/>
          <w:color w:val="auto"/>
          <w:szCs w:val="21"/>
        </w:rPr>
        <w:t>；</w:t>
      </w:r>
      <w:r>
        <w:rPr>
          <w:rFonts w:ascii="宋体" w:hAnsi="宋体"/>
          <w:color w:val="auto"/>
          <w:szCs w:val="21"/>
        </w:rPr>
        <w:t>如果任何第三方提出侵权</w:t>
      </w:r>
      <w:r>
        <w:rPr>
          <w:rFonts w:hint="eastAsia" w:ascii="宋体" w:hAnsi="宋体"/>
          <w:color w:val="auto"/>
          <w:szCs w:val="21"/>
        </w:rPr>
        <w:t>指控</w:t>
      </w:r>
      <w:r>
        <w:rPr>
          <w:rFonts w:ascii="宋体" w:hAnsi="宋体"/>
          <w:color w:val="auto"/>
          <w:szCs w:val="21"/>
        </w:rPr>
        <w:t>，那么乙方须与该第三方交涉并承担由此发生的一切责任、费用和赔偿</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2.3.2具有知识产权的计算机软件等货物的知识产权归属，</w:t>
      </w:r>
      <w:r>
        <w:rPr>
          <w:rFonts w:ascii="宋体" w:hAnsi="宋体"/>
          <w:color w:val="auto"/>
          <w:szCs w:val="21"/>
        </w:rPr>
        <w:t>详见</w:t>
      </w:r>
      <w:r>
        <w:rPr>
          <w:rFonts w:ascii="宋体" w:hAnsi="宋体"/>
          <w:b/>
          <w:i/>
          <w:color w:val="auto"/>
          <w:szCs w:val="21"/>
          <w:u w:val="single"/>
        </w:rPr>
        <w:t>合同专用条款</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28" w:name="_Ref467379527"/>
      <w:bookmarkStart w:id="629" w:name="_Toc487900354"/>
      <w:bookmarkStart w:id="630" w:name="_Ref467379536"/>
      <w:bookmarkStart w:id="631" w:name="_Ref467379542"/>
      <w:bookmarkStart w:id="632" w:name="_Ref467378541"/>
      <w:bookmarkStart w:id="633" w:name="_Toc279701245"/>
      <w:bookmarkStart w:id="634" w:name="_Ref467378591"/>
      <w:bookmarkStart w:id="635" w:name="_Toc259093674"/>
      <w:bookmarkStart w:id="636" w:name="_Toc26182"/>
      <w:bookmarkStart w:id="637" w:name="_Toc19074"/>
      <w:bookmarkStart w:id="638" w:name="_Toc30272"/>
      <w:r>
        <w:rPr>
          <w:rFonts w:hint="eastAsia" w:ascii="宋体" w:hAnsi="宋体"/>
          <w:b/>
          <w:bCs/>
          <w:color w:val="auto"/>
          <w:szCs w:val="21"/>
          <w:lang w:val="zh-CN"/>
        </w:rPr>
        <w:t>2.</w:t>
      </w:r>
      <w:bookmarkEnd w:id="628"/>
      <w:bookmarkEnd w:id="629"/>
      <w:bookmarkEnd w:id="630"/>
      <w:bookmarkEnd w:id="631"/>
      <w:bookmarkEnd w:id="632"/>
      <w:bookmarkEnd w:id="633"/>
      <w:bookmarkEnd w:id="634"/>
      <w:bookmarkEnd w:id="635"/>
      <w:r>
        <w:rPr>
          <w:rFonts w:ascii="宋体" w:hAnsi="宋体"/>
          <w:b/>
          <w:bCs/>
          <w:color w:val="auto"/>
          <w:szCs w:val="21"/>
          <w:lang w:val="zh-CN"/>
        </w:rPr>
        <w:t xml:space="preserve">4 </w:t>
      </w:r>
      <w:r>
        <w:rPr>
          <w:rFonts w:hint="eastAsia" w:ascii="宋体" w:hAnsi="宋体"/>
          <w:b/>
          <w:bCs/>
          <w:color w:val="auto"/>
          <w:szCs w:val="21"/>
          <w:lang w:val="zh-CN"/>
        </w:rPr>
        <w:t>履约检查和问题反馈</w:t>
      </w:r>
      <w:bookmarkEnd w:id="636"/>
      <w:bookmarkEnd w:id="637"/>
      <w:bookmarkEnd w:id="638"/>
    </w:p>
    <w:p>
      <w:pPr>
        <w:spacing w:line="360" w:lineRule="auto"/>
        <w:ind w:firstLine="435"/>
        <w:rPr>
          <w:rFonts w:ascii="宋体" w:hAnsi="宋体"/>
          <w:color w:val="auto"/>
          <w:szCs w:val="21"/>
        </w:rPr>
      </w:pPr>
      <w:bookmarkStart w:id="639" w:name="_Toc186431854"/>
      <w:bookmarkStart w:id="640" w:name="_Toc259093676"/>
      <w:bookmarkStart w:id="641" w:name="_Ref467379807"/>
      <w:bookmarkStart w:id="642" w:name="_Toc279701247"/>
      <w:bookmarkStart w:id="643" w:name="_Toc487900357"/>
      <w:bookmarkStart w:id="644" w:name="_Ref467379793"/>
      <w:r>
        <w:rPr>
          <w:rFonts w:hint="eastAsia" w:ascii="宋体" w:hAnsi="宋体"/>
          <w:color w:val="auto"/>
          <w:szCs w:val="21"/>
        </w:rPr>
        <w:t>2.4</w:t>
      </w:r>
      <w:r>
        <w:rPr>
          <w:rFonts w:ascii="宋体" w:hAnsi="宋体"/>
          <w:color w:val="auto"/>
          <w:szCs w:val="21"/>
        </w:rPr>
        <w:t>.1甲方</w:t>
      </w:r>
      <w:r>
        <w:rPr>
          <w:rFonts w:hint="eastAsia" w:ascii="宋体" w:hAnsi="宋体"/>
          <w:color w:val="auto"/>
          <w:szCs w:val="21"/>
        </w:rPr>
        <w:t>有权</w:t>
      </w:r>
      <w:r>
        <w:rPr>
          <w:rFonts w:ascii="宋体" w:hAnsi="宋体"/>
          <w:color w:val="auto"/>
          <w:szCs w:val="21"/>
        </w:rPr>
        <w:t>在其认为必要时</w:t>
      </w:r>
      <w:r>
        <w:rPr>
          <w:rFonts w:hint="eastAsia" w:ascii="宋体" w:hAnsi="宋体"/>
          <w:color w:val="auto"/>
          <w:szCs w:val="21"/>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4</w:t>
      </w:r>
      <w:r>
        <w:rPr>
          <w:rFonts w:hint="eastAsia" w:ascii="宋体" w:hAnsi="宋体"/>
          <w:color w:val="auto"/>
          <w:szCs w:val="21"/>
        </w:rPr>
        <w:t>.2合同履行期间，甲方有权将履行过程中出现的问题反馈给乙方，双方当事人应以书面形式约定需要完善和改进的内容</w:t>
      </w:r>
      <w:bookmarkEnd w:id="639"/>
      <w:bookmarkStart w:id="645" w:name="_Toc186431855"/>
      <w:r>
        <w:rPr>
          <w:rFonts w:hint="eastAsia" w:ascii="宋体" w:hAnsi="宋体"/>
          <w:color w:val="auto"/>
          <w:szCs w:val="21"/>
        </w:rPr>
        <w:t>。</w:t>
      </w:r>
    </w:p>
    <w:bookmarkEnd w:id="645"/>
    <w:p>
      <w:pPr>
        <w:spacing w:line="360" w:lineRule="auto"/>
        <w:ind w:firstLine="437"/>
        <w:outlineLvl w:val="3"/>
        <w:rPr>
          <w:rFonts w:ascii="宋体" w:hAnsi="宋体"/>
          <w:b/>
          <w:bCs/>
          <w:color w:val="auto"/>
          <w:szCs w:val="21"/>
          <w:lang w:val="zh-CN"/>
        </w:rPr>
      </w:pPr>
      <w:bookmarkStart w:id="646" w:name="_Toc19219"/>
      <w:bookmarkStart w:id="647" w:name="_Toc7836"/>
      <w:bookmarkStart w:id="648" w:name="_Toc28451"/>
      <w:r>
        <w:rPr>
          <w:rFonts w:hint="eastAsia" w:ascii="宋体" w:hAnsi="宋体"/>
          <w:b/>
          <w:bCs/>
          <w:color w:val="auto"/>
          <w:szCs w:val="21"/>
          <w:lang w:val="zh-CN"/>
        </w:rPr>
        <w:t>2.</w:t>
      </w:r>
      <w:r>
        <w:rPr>
          <w:rFonts w:ascii="宋体" w:hAnsi="宋体"/>
          <w:b/>
          <w:bCs/>
          <w:color w:val="auto"/>
          <w:szCs w:val="21"/>
          <w:lang w:val="zh-CN"/>
        </w:rPr>
        <w:t>5</w:t>
      </w:r>
      <w:r>
        <w:rPr>
          <w:rFonts w:hint="eastAsia" w:ascii="宋体" w:hAnsi="宋体"/>
          <w:b/>
          <w:bCs/>
          <w:color w:val="auto"/>
          <w:szCs w:val="21"/>
          <w:lang w:val="zh-CN"/>
        </w:rPr>
        <w:t xml:space="preserve"> </w:t>
      </w:r>
      <w:r>
        <w:rPr>
          <w:rFonts w:ascii="宋体" w:hAnsi="宋体"/>
          <w:b/>
          <w:bCs/>
          <w:color w:val="auto"/>
          <w:szCs w:val="21"/>
          <w:lang w:val="zh-CN"/>
        </w:rPr>
        <w:t>结算方式和付款条件</w:t>
      </w:r>
      <w:bookmarkEnd w:id="640"/>
      <w:bookmarkEnd w:id="641"/>
      <w:bookmarkEnd w:id="642"/>
      <w:bookmarkEnd w:id="643"/>
      <w:bookmarkEnd w:id="644"/>
      <w:bookmarkEnd w:id="646"/>
      <w:bookmarkEnd w:id="647"/>
      <w:bookmarkEnd w:id="648"/>
    </w:p>
    <w:p>
      <w:pPr>
        <w:spacing w:line="360" w:lineRule="auto"/>
        <w:ind w:firstLine="435"/>
        <w:rPr>
          <w:rFonts w:ascii="宋体" w:hAnsi="宋体"/>
          <w:color w:val="auto"/>
          <w:szCs w:val="21"/>
        </w:rPr>
      </w:pPr>
      <w:r>
        <w:rPr>
          <w:rFonts w:ascii="宋体" w:hAnsi="宋体"/>
          <w:color w:val="auto"/>
          <w:szCs w:val="21"/>
        </w:rPr>
        <w:t>详见</w:t>
      </w:r>
      <w:r>
        <w:rPr>
          <w:rFonts w:ascii="宋体" w:hAnsi="宋体"/>
          <w:b/>
          <w:i/>
          <w:color w:val="auto"/>
          <w:szCs w:val="21"/>
          <w:u w:val="single"/>
        </w:rPr>
        <w:t>合同专用条款</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49" w:name="_Ref467379923"/>
      <w:bookmarkStart w:id="650" w:name="_Ref467379863"/>
      <w:bookmarkStart w:id="651" w:name="_Toc487900358"/>
      <w:bookmarkStart w:id="652" w:name="_Ref467379852"/>
      <w:bookmarkStart w:id="653" w:name="_Toc279701248"/>
      <w:bookmarkStart w:id="654" w:name="_Toc259093677"/>
      <w:bookmarkStart w:id="655" w:name="_Toc3225"/>
      <w:bookmarkStart w:id="656" w:name="_Toc774"/>
      <w:bookmarkStart w:id="657" w:name="_Toc16110"/>
      <w:r>
        <w:rPr>
          <w:rFonts w:hint="eastAsia" w:ascii="宋体" w:hAnsi="宋体"/>
          <w:b/>
          <w:bCs/>
          <w:color w:val="auto"/>
          <w:szCs w:val="21"/>
          <w:lang w:val="zh-CN"/>
        </w:rPr>
        <w:t>2.</w:t>
      </w:r>
      <w:r>
        <w:rPr>
          <w:rFonts w:ascii="宋体" w:hAnsi="宋体"/>
          <w:b/>
          <w:bCs/>
          <w:color w:val="auto"/>
          <w:szCs w:val="21"/>
          <w:lang w:val="zh-CN"/>
        </w:rPr>
        <w:t>6</w:t>
      </w:r>
      <w:r>
        <w:rPr>
          <w:rFonts w:hint="eastAsia" w:ascii="宋体" w:hAnsi="宋体"/>
          <w:b/>
          <w:bCs/>
          <w:color w:val="auto"/>
          <w:szCs w:val="21"/>
          <w:lang w:val="zh-CN"/>
        </w:rPr>
        <w:t xml:space="preserve"> </w:t>
      </w:r>
      <w:r>
        <w:rPr>
          <w:rFonts w:ascii="宋体" w:hAnsi="宋体"/>
          <w:b/>
          <w:bCs/>
          <w:color w:val="auto"/>
          <w:szCs w:val="21"/>
          <w:lang w:val="zh-CN"/>
        </w:rPr>
        <w:t>技术资料</w:t>
      </w:r>
      <w:bookmarkEnd w:id="649"/>
      <w:bookmarkEnd w:id="650"/>
      <w:bookmarkEnd w:id="651"/>
      <w:bookmarkEnd w:id="652"/>
      <w:bookmarkEnd w:id="653"/>
      <w:bookmarkEnd w:id="654"/>
      <w:r>
        <w:rPr>
          <w:rFonts w:ascii="宋体" w:hAnsi="宋体"/>
          <w:b/>
          <w:bCs/>
          <w:color w:val="auto"/>
          <w:szCs w:val="21"/>
          <w:lang w:val="zh-CN"/>
        </w:rPr>
        <w:t>和保密义务</w:t>
      </w:r>
      <w:bookmarkEnd w:id="655"/>
      <w:bookmarkEnd w:id="656"/>
      <w:bookmarkEnd w:id="657"/>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6.1</w:t>
      </w:r>
      <w:r>
        <w:rPr>
          <w:rFonts w:hint="eastAsia" w:ascii="宋体" w:hAnsi="宋体"/>
          <w:color w:val="auto"/>
          <w:szCs w:val="21"/>
        </w:rPr>
        <w:t>乙方有权依据合同约定和项目需要，向甲方了解有关情况，调阅有关资料等，甲方应予积极配合；</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w:t>
      </w:r>
      <w:r>
        <w:rPr>
          <w:rFonts w:hint="eastAsia" w:ascii="宋体" w:hAnsi="宋体"/>
          <w:color w:val="auto"/>
          <w:szCs w:val="21"/>
        </w:rPr>
        <w:t>.2乙方有义务妥善保管和保护由甲方提供的前款信息和资料等；</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w:t>
      </w:r>
      <w:r>
        <w:rPr>
          <w:rFonts w:hint="eastAsia" w:ascii="宋体" w:hAnsi="宋体"/>
          <w:color w:val="auto"/>
          <w:szCs w:val="21"/>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rPr>
        <w:t>技术情报</w:t>
      </w:r>
      <w:r>
        <w:rPr>
          <w:rFonts w:hint="eastAsia" w:ascii="宋体" w:hAnsi="宋体"/>
          <w:color w:val="auto"/>
          <w:szCs w:val="21"/>
        </w:rPr>
        <w:t>、</w:t>
      </w:r>
      <w:r>
        <w:rPr>
          <w:rFonts w:ascii="宋体" w:hAnsi="宋体"/>
          <w:color w:val="auto"/>
          <w:szCs w:val="21"/>
        </w:rPr>
        <w:t>技术资料</w:t>
      </w:r>
      <w:r>
        <w:rPr>
          <w:rFonts w:hint="eastAsia" w:ascii="宋体" w:hAnsi="宋体"/>
          <w:color w:val="auto"/>
          <w:szCs w:val="21"/>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b/>
          <w:bCs/>
          <w:color w:val="auto"/>
          <w:szCs w:val="21"/>
          <w:lang w:val="zh-CN"/>
        </w:rPr>
      </w:pPr>
      <w:bookmarkStart w:id="658" w:name="_Toc7860"/>
      <w:r>
        <w:rPr>
          <w:rFonts w:ascii="宋体" w:hAnsi="宋体"/>
          <w:b/>
          <w:bCs/>
          <w:color w:val="auto"/>
          <w:szCs w:val="21"/>
          <w:lang w:val="zh-CN"/>
        </w:rPr>
        <w:t>2.7 质量保证</w:t>
      </w:r>
      <w:bookmarkEnd w:id="658"/>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7</w:t>
      </w:r>
      <w:r>
        <w:rPr>
          <w:rFonts w:hint="eastAsia" w:ascii="宋体" w:hAnsi="宋体"/>
          <w:color w:val="auto"/>
          <w:szCs w:val="21"/>
        </w:rPr>
        <w:t>.1乙方应建立和完善履行合同的内部质量保证体系，并提供相关内部规章制度给甲方，以便甲方进行监督检查；</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7</w:t>
      </w:r>
      <w:r>
        <w:rPr>
          <w:rFonts w:hint="eastAsia" w:ascii="宋体" w:hAnsi="宋体"/>
          <w:color w:val="auto"/>
          <w:szCs w:val="21"/>
        </w:rPr>
        <w:t>.2乙方应保证履行合同的人员数量和素质、软件和硬件设备的配置、场地、环境和设施等满足全面履行合同的要求，并应接受甲方的监督检查。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b/>
          <w:color w:val="auto"/>
          <w:szCs w:val="21"/>
        </w:rPr>
      </w:pPr>
      <w:bookmarkStart w:id="659" w:name="_Toc22267"/>
      <w:r>
        <w:rPr>
          <w:rFonts w:hint="eastAsia" w:ascii="宋体" w:hAnsi="宋体"/>
          <w:b/>
          <w:color w:val="auto"/>
          <w:szCs w:val="21"/>
        </w:rPr>
        <w:t>2.8 延迟履行</w:t>
      </w:r>
      <w:bookmarkEnd w:id="659"/>
    </w:p>
    <w:p>
      <w:pPr>
        <w:spacing w:line="360" w:lineRule="auto"/>
        <w:ind w:firstLine="435"/>
        <w:rPr>
          <w:rFonts w:ascii="宋体" w:hAnsi="宋体"/>
          <w:color w:val="auto"/>
          <w:szCs w:val="21"/>
        </w:rPr>
      </w:pPr>
      <w:r>
        <w:rPr>
          <w:rFonts w:ascii="宋体" w:hAnsi="宋体"/>
          <w:color w:val="auto"/>
          <w:szCs w:val="21"/>
        </w:rPr>
        <w:t>在合同履行过程中，如果乙方遇到不能按时</w:t>
      </w:r>
      <w:r>
        <w:rPr>
          <w:rFonts w:hint="eastAsia" w:ascii="宋体" w:hAnsi="宋体"/>
          <w:color w:val="auto"/>
          <w:szCs w:val="21"/>
        </w:rPr>
        <w:t>提供服务</w:t>
      </w:r>
      <w:r>
        <w:rPr>
          <w:rFonts w:ascii="宋体" w:hAnsi="宋体"/>
          <w:color w:val="auto"/>
          <w:szCs w:val="21"/>
        </w:rPr>
        <w:t>的情况，应及时以书面形式将不能按时</w:t>
      </w:r>
      <w:r>
        <w:rPr>
          <w:rFonts w:hint="eastAsia" w:ascii="宋体" w:hAnsi="宋体"/>
          <w:color w:val="auto"/>
          <w:szCs w:val="21"/>
        </w:rPr>
        <w:t>提供服务</w:t>
      </w:r>
      <w:r>
        <w:rPr>
          <w:rFonts w:ascii="宋体" w:hAnsi="宋体"/>
          <w:color w:val="auto"/>
          <w:szCs w:val="21"/>
        </w:rPr>
        <w:t>的理由、预期延误时间通知甲方</w:t>
      </w:r>
      <w:r>
        <w:rPr>
          <w:rFonts w:hint="eastAsia" w:ascii="宋体" w:hAnsi="宋体"/>
          <w:color w:val="auto"/>
          <w:szCs w:val="21"/>
        </w:rPr>
        <w:t>；甲</w:t>
      </w:r>
      <w:r>
        <w:rPr>
          <w:rFonts w:ascii="宋体" w:hAnsi="宋体"/>
          <w:color w:val="auto"/>
          <w:szCs w:val="21"/>
        </w:rPr>
        <w:t>方收到乙方通知后，认为其理由正当的，可以书面形式酌情同意乙方可以延长</w:t>
      </w:r>
      <w:r>
        <w:rPr>
          <w:rFonts w:hint="eastAsia" w:ascii="宋体" w:hAnsi="宋体"/>
          <w:color w:val="auto"/>
          <w:szCs w:val="21"/>
        </w:rPr>
        <w:t>履行</w:t>
      </w:r>
      <w:r>
        <w:rPr>
          <w:rFonts w:ascii="宋体" w:hAnsi="宋体"/>
          <w:color w:val="auto"/>
          <w:szCs w:val="21"/>
        </w:rPr>
        <w:t>的具体时间。</w:t>
      </w:r>
    </w:p>
    <w:p>
      <w:pPr>
        <w:spacing w:line="360" w:lineRule="auto"/>
        <w:ind w:firstLine="437"/>
        <w:outlineLvl w:val="3"/>
        <w:rPr>
          <w:rFonts w:ascii="宋体" w:hAnsi="宋体"/>
          <w:b/>
          <w:bCs/>
          <w:color w:val="auto"/>
          <w:szCs w:val="21"/>
          <w:lang w:val="zh-CN"/>
        </w:rPr>
      </w:pPr>
      <w:bookmarkStart w:id="660" w:name="_Toc7502"/>
      <w:bookmarkStart w:id="661" w:name="_Toc279701254"/>
      <w:bookmarkStart w:id="662" w:name="_Toc259093683"/>
      <w:bookmarkStart w:id="663" w:name="_Ref467378121"/>
      <w:bookmarkStart w:id="664" w:name="_Toc487900364"/>
      <w:r>
        <w:rPr>
          <w:rFonts w:ascii="宋体" w:hAnsi="宋体"/>
          <w:b/>
          <w:bCs/>
          <w:color w:val="auto"/>
          <w:szCs w:val="21"/>
          <w:lang w:val="zh-CN"/>
        </w:rPr>
        <w:t>2.9 合同变更</w:t>
      </w:r>
      <w:bookmarkEnd w:id="660"/>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9</w:t>
      </w:r>
      <w:r>
        <w:rPr>
          <w:rFonts w:hint="eastAsia" w:ascii="宋体" w:hAnsi="宋体"/>
          <w:color w:val="auto"/>
          <w:szCs w:val="21"/>
        </w:rPr>
        <w:t>.1双方当事人协商一致，可以签订书面补充合同的形式变更合同，但不得违背采购文件确定的事项；</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9</w:t>
      </w:r>
      <w:r>
        <w:rPr>
          <w:rFonts w:hint="eastAsia" w:ascii="宋体" w:hAnsi="宋体"/>
          <w:color w:val="auto"/>
          <w:szCs w:val="21"/>
        </w:rPr>
        <w:t>.2合同继续履行将损害国家利益和社会公共利益的，双方当事人应当以书面形式变更合同。有过错的一方应当承担赔偿责任，双方当事人都有过错的，各自承担相应的责任。</w:t>
      </w:r>
      <w:bookmarkStart w:id="665" w:name="_Toc279701259"/>
      <w:bookmarkStart w:id="666" w:name="_Toc487900369"/>
      <w:bookmarkStart w:id="667" w:name="_Toc259093688"/>
    </w:p>
    <w:p>
      <w:pPr>
        <w:spacing w:line="360" w:lineRule="auto"/>
        <w:ind w:firstLine="437"/>
        <w:outlineLvl w:val="3"/>
        <w:rPr>
          <w:rFonts w:ascii="宋体" w:hAnsi="宋体"/>
          <w:b/>
          <w:bCs/>
          <w:color w:val="auto"/>
          <w:szCs w:val="21"/>
          <w:lang w:val="zh-CN"/>
        </w:rPr>
      </w:pPr>
      <w:bookmarkStart w:id="668" w:name="_Toc22955"/>
      <w:bookmarkStart w:id="669" w:name="_Toc15237"/>
      <w:bookmarkStart w:id="670" w:name="_Toc10366"/>
      <w:r>
        <w:rPr>
          <w:rFonts w:hint="eastAsia" w:ascii="宋体" w:hAnsi="宋体"/>
          <w:b/>
          <w:bCs/>
          <w:color w:val="auto"/>
          <w:szCs w:val="21"/>
          <w:lang w:val="zh-CN"/>
        </w:rPr>
        <w:t>2.1</w:t>
      </w:r>
      <w:r>
        <w:rPr>
          <w:rFonts w:ascii="宋体" w:hAnsi="宋体"/>
          <w:b/>
          <w:bCs/>
          <w:color w:val="auto"/>
          <w:szCs w:val="21"/>
          <w:lang w:val="zh-CN"/>
        </w:rPr>
        <w:t>0</w:t>
      </w:r>
      <w:r>
        <w:rPr>
          <w:rFonts w:hint="eastAsia" w:ascii="宋体" w:hAnsi="宋体"/>
          <w:b/>
          <w:bCs/>
          <w:color w:val="auto"/>
          <w:szCs w:val="21"/>
          <w:lang w:val="zh-CN"/>
        </w:rPr>
        <w:t xml:space="preserve"> </w:t>
      </w:r>
      <w:r>
        <w:rPr>
          <w:rFonts w:ascii="宋体" w:hAnsi="宋体"/>
          <w:b/>
          <w:bCs/>
          <w:color w:val="auto"/>
          <w:szCs w:val="21"/>
          <w:lang w:val="zh-CN"/>
        </w:rPr>
        <w:t>合同转让</w:t>
      </w:r>
      <w:bookmarkEnd w:id="665"/>
      <w:bookmarkEnd w:id="666"/>
      <w:bookmarkEnd w:id="667"/>
      <w:r>
        <w:rPr>
          <w:rFonts w:ascii="宋体" w:hAnsi="宋体"/>
          <w:b/>
          <w:bCs/>
          <w:color w:val="auto"/>
          <w:szCs w:val="21"/>
          <w:lang w:val="zh-CN"/>
        </w:rPr>
        <w:t>和分包</w:t>
      </w:r>
      <w:bookmarkEnd w:id="668"/>
      <w:bookmarkEnd w:id="669"/>
      <w:bookmarkEnd w:id="670"/>
    </w:p>
    <w:p>
      <w:pPr>
        <w:spacing w:line="360" w:lineRule="auto"/>
        <w:ind w:firstLine="435"/>
        <w:rPr>
          <w:rFonts w:ascii="宋体" w:hAnsi="宋体"/>
          <w:color w:val="auto"/>
          <w:szCs w:val="21"/>
        </w:rPr>
      </w:pPr>
      <w:r>
        <w:rPr>
          <w:rFonts w:ascii="宋体" w:hAnsi="宋体"/>
          <w:color w:val="auto"/>
          <w:szCs w:val="21"/>
        </w:rPr>
        <w:t>合同的权利义务依法不</w:t>
      </w:r>
      <w:r>
        <w:rPr>
          <w:rFonts w:hint="eastAsia" w:ascii="宋体" w:hAnsi="宋体"/>
          <w:color w:val="auto"/>
          <w:szCs w:val="21"/>
        </w:rPr>
        <w:t>得</w:t>
      </w:r>
      <w:r>
        <w:rPr>
          <w:rFonts w:ascii="宋体" w:hAnsi="宋体"/>
          <w:color w:val="auto"/>
          <w:szCs w:val="21"/>
        </w:rPr>
        <w:t>转让</w:t>
      </w:r>
      <w:r>
        <w:rPr>
          <w:rFonts w:hint="eastAsia" w:ascii="宋体" w:hAnsi="宋体"/>
          <w:color w:val="auto"/>
          <w:szCs w:val="21"/>
        </w:rPr>
        <w:t>，</w:t>
      </w:r>
      <w:r>
        <w:rPr>
          <w:rFonts w:ascii="宋体" w:hAnsi="宋体"/>
          <w:color w:val="auto"/>
          <w:szCs w:val="21"/>
        </w:rPr>
        <w:t>但经甲方</w:t>
      </w:r>
      <w:r>
        <w:rPr>
          <w:rFonts w:hint="eastAsia" w:ascii="宋体" w:hAnsi="宋体"/>
          <w:color w:val="auto"/>
          <w:szCs w:val="21"/>
        </w:rPr>
        <w:t>同意，乙方可以依法采取分包方式履行合同，即：依法可以</w:t>
      </w:r>
      <w:r>
        <w:rPr>
          <w:rFonts w:ascii="宋体" w:hAnsi="宋体"/>
          <w:color w:val="auto"/>
          <w:szCs w:val="21"/>
        </w:rPr>
        <w:t>将合同项下的部分非主体、非关键性工作分包给他人完成</w:t>
      </w:r>
      <w:r>
        <w:rPr>
          <w:rFonts w:hint="eastAsia" w:ascii="宋体" w:hAnsi="宋体"/>
          <w:color w:val="auto"/>
          <w:szCs w:val="21"/>
        </w:rPr>
        <w:t>，</w:t>
      </w:r>
      <w:r>
        <w:rPr>
          <w:rFonts w:ascii="宋体" w:hAnsi="宋体"/>
          <w:color w:val="auto"/>
          <w:szCs w:val="21"/>
        </w:rPr>
        <w:t>接受分包的人应当具备相应的资格条件，并不得再次分包</w:t>
      </w:r>
      <w:r>
        <w:rPr>
          <w:rFonts w:hint="eastAsia" w:ascii="宋体" w:hAnsi="宋体"/>
          <w:color w:val="auto"/>
          <w:szCs w:val="21"/>
        </w:rPr>
        <w:t>，</w:t>
      </w:r>
      <w:r>
        <w:rPr>
          <w:rFonts w:ascii="宋体" w:hAnsi="宋体"/>
          <w:color w:val="auto"/>
          <w:szCs w:val="21"/>
        </w:rPr>
        <w:t>且乙方应就分包项目向甲方负责</w:t>
      </w:r>
      <w:r>
        <w:rPr>
          <w:rFonts w:hint="eastAsia" w:ascii="宋体" w:hAnsi="宋体"/>
          <w:color w:val="auto"/>
          <w:szCs w:val="21"/>
        </w:rPr>
        <w:t>，</w:t>
      </w:r>
      <w:r>
        <w:rPr>
          <w:rFonts w:ascii="宋体" w:hAnsi="宋体"/>
          <w:color w:val="auto"/>
          <w:szCs w:val="21"/>
        </w:rPr>
        <w:t>并</w:t>
      </w:r>
      <w:r>
        <w:rPr>
          <w:rFonts w:hint="eastAsia" w:ascii="宋体" w:hAnsi="宋体"/>
          <w:color w:val="auto"/>
          <w:szCs w:val="21"/>
        </w:rPr>
        <w:t>与分包供应商就分包项目向甲方承担连带责任。</w:t>
      </w:r>
    </w:p>
    <w:p>
      <w:pPr>
        <w:spacing w:line="360" w:lineRule="auto"/>
        <w:ind w:firstLine="437"/>
        <w:outlineLvl w:val="3"/>
        <w:rPr>
          <w:rFonts w:ascii="宋体" w:hAnsi="宋体"/>
          <w:b/>
          <w:bCs/>
          <w:color w:val="auto"/>
          <w:szCs w:val="21"/>
          <w:lang w:val="zh-CN"/>
        </w:rPr>
      </w:pPr>
      <w:bookmarkStart w:id="671" w:name="_Toc13566"/>
      <w:bookmarkStart w:id="672" w:name="_Toc14066"/>
      <w:bookmarkStart w:id="673" w:name="_Toc16508"/>
      <w:r>
        <w:rPr>
          <w:rFonts w:hint="eastAsia" w:ascii="宋体" w:hAnsi="宋体"/>
          <w:b/>
          <w:bCs/>
          <w:color w:val="auto"/>
          <w:szCs w:val="21"/>
          <w:lang w:val="zh-CN"/>
        </w:rPr>
        <w:t>2.1</w:t>
      </w:r>
      <w:r>
        <w:rPr>
          <w:rFonts w:ascii="宋体" w:hAnsi="宋体"/>
          <w:b/>
          <w:bCs/>
          <w:color w:val="auto"/>
          <w:szCs w:val="21"/>
          <w:lang w:val="zh-CN"/>
        </w:rPr>
        <w:t>1 不可抗力</w:t>
      </w:r>
      <w:bookmarkEnd w:id="671"/>
      <w:bookmarkEnd w:id="672"/>
      <w:bookmarkEnd w:id="673"/>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1.1如果任何一方遭遇法律规定的不可抗力，致使合同履行受阻时，履行合同的期限应予延长，延长的期限应相当于不可抗力所影响的时间</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.2因不可抗力致使不能实现合同目的的，当事人可以解除合同；</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.3因</w:t>
      </w:r>
      <w:r>
        <w:rPr>
          <w:rFonts w:ascii="宋体" w:hAnsi="宋体"/>
          <w:color w:val="auto"/>
          <w:szCs w:val="21"/>
        </w:rPr>
        <w:t>不可抗力致使合同有变更必要的，双方当事人应在</w:t>
      </w:r>
      <w:r>
        <w:rPr>
          <w:rFonts w:ascii="宋体" w:hAnsi="宋体"/>
          <w:b/>
          <w:i/>
          <w:color w:val="auto"/>
          <w:szCs w:val="21"/>
          <w:u w:val="single"/>
        </w:rPr>
        <w:t>合同专用条款</w:t>
      </w:r>
      <w:r>
        <w:rPr>
          <w:rFonts w:ascii="宋体" w:hAnsi="宋体"/>
          <w:color w:val="auto"/>
          <w:szCs w:val="21"/>
        </w:rPr>
        <w:t>约定时间内以书面形式变更合同</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4</w:t>
      </w:r>
      <w:r>
        <w:rPr>
          <w:rFonts w:ascii="宋体" w:hAnsi="宋体"/>
          <w:color w:val="auto"/>
          <w:szCs w:val="21"/>
        </w:rPr>
        <w:t>受</w:t>
      </w:r>
      <w:r>
        <w:rPr>
          <w:rFonts w:hint="eastAsia" w:ascii="宋体" w:hAnsi="宋体"/>
          <w:color w:val="auto"/>
          <w:szCs w:val="21"/>
        </w:rPr>
        <w:t>不可抗力</w:t>
      </w:r>
      <w:r>
        <w:rPr>
          <w:rFonts w:ascii="宋体" w:hAnsi="宋体"/>
          <w:color w:val="auto"/>
          <w:szCs w:val="21"/>
        </w:rPr>
        <w:t>影响的一方在不可抗力发生后</w:t>
      </w:r>
      <w:r>
        <w:rPr>
          <w:rFonts w:hint="eastAsia" w:ascii="宋体" w:hAnsi="宋体"/>
          <w:color w:val="auto"/>
          <w:szCs w:val="21"/>
        </w:rPr>
        <w:t>，</w:t>
      </w:r>
      <w:r>
        <w:rPr>
          <w:rFonts w:ascii="宋体" w:hAnsi="宋体"/>
          <w:color w:val="auto"/>
          <w:szCs w:val="21"/>
        </w:rPr>
        <w:t>应在</w:t>
      </w:r>
      <w:r>
        <w:rPr>
          <w:rFonts w:ascii="宋体" w:hAnsi="宋体"/>
          <w:b/>
          <w:i/>
          <w:color w:val="auto"/>
          <w:szCs w:val="21"/>
          <w:u w:val="single"/>
        </w:rPr>
        <w:t>合同专用条款</w:t>
      </w:r>
      <w:r>
        <w:rPr>
          <w:rFonts w:ascii="宋体" w:hAnsi="宋体"/>
          <w:color w:val="auto"/>
          <w:szCs w:val="21"/>
        </w:rPr>
        <w:t>约定时间内以书面形式通知</w:t>
      </w:r>
      <w:r>
        <w:rPr>
          <w:rFonts w:hint="eastAsia" w:ascii="宋体" w:hAnsi="宋体"/>
          <w:color w:val="auto"/>
          <w:szCs w:val="21"/>
        </w:rPr>
        <w:t>对</w:t>
      </w:r>
      <w:r>
        <w:rPr>
          <w:rFonts w:ascii="宋体" w:hAnsi="宋体"/>
          <w:color w:val="auto"/>
          <w:szCs w:val="21"/>
        </w:rPr>
        <w:t>方当事人，并在</w:t>
      </w:r>
      <w:r>
        <w:rPr>
          <w:rFonts w:ascii="宋体" w:hAnsi="宋体"/>
          <w:b/>
          <w:i/>
          <w:color w:val="auto"/>
          <w:szCs w:val="21"/>
          <w:u w:val="single"/>
        </w:rPr>
        <w:t>合同专用条款</w:t>
      </w:r>
      <w:r>
        <w:rPr>
          <w:rFonts w:ascii="宋体" w:hAnsi="宋体"/>
          <w:color w:val="auto"/>
          <w:szCs w:val="21"/>
        </w:rPr>
        <w:t>约定时间内，将有关部门出具的证明文件送达</w:t>
      </w:r>
      <w:r>
        <w:rPr>
          <w:rFonts w:hint="eastAsia" w:ascii="宋体" w:hAnsi="宋体"/>
          <w:color w:val="auto"/>
          <w:szCs w:val="21"/>
        </w:rPr>
        <w:t>对方当事人</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74" w:name="_Toc487900365"/>
      <w:bookmarkStart w:id="675" w:name="_Toc6969"/>
      <w:bookmarkStart w:id="676" w:name="_Toc689"/>
      <w:bookmarkStart w:id="677" w:name="_Toc30676"/>
      <w:bookmarkStart w:id="678" w:name="_Toc279701255"/>
      <w:bookmarkStart w:id="679" w:name="_Toc259093684"/>
      <w:r>
        <w:rPr>
          <w:rFonts w:hint="eastAsia" w:ascii="宋体" w:hAnsi="宋体"/>
          <w:b/>
          <w:bCs/>
          <w:color w:val="auto"/>
          <w:szCs w:val="21"/>
          <w:lang w:val="zh-CN"/>
        </w:rPr>
        <w:t>2.</w:t>
      </w:r>
      <w:r>
        <w:rPr>
          <w:rFonts w:ascii="宋体" w:hAnsi="宋体"/>
          <w:b/>
          <w:bCs/>
          <w:color w:val="auto"/>
          <w:szCs w:val="21"/>
          <w:lang w:val="zh-CN"/>
        </w:rPr>
        <w:t>12</w:t>
      </w:r>
      <w:r>
        <w:rPr>
          <w:rFonts w:hint="eastAsia" w:ascii="宋体" w:hAnsi="宋体"/>
          <w:b/>
          <w:bCs/>
          <w:color w:val="auto"/>
          <w:szCs w:val="21"/>
          <w:lang w:val="zh-CN"/>
        </w:rPr>
        <w:t xml:space="preserve"> </w:t>
      </w:r>
      <w:r>
        <w:rPr>
          <w:rFonts w:ascii="宋体" w:hAnsi="宋体"/>
          <w:b/>
          <w:bCs/>
          <w:color w:val="auto"/>
          <w:szCs w:val="21"/>
          <w:lang w:val="zh-CN"/>
        </w:rPr>
        <w:t>税费</w:t>
      </w:r>
      <w:bookmarkEnd w:id="674"/>
      <w:bookmarkEnd w:id="675"/>
      <w:bookmarkEnd w:id="676"/>
      <w:bookmarkEnd w:id="677"/>
      <w:bookmarkEnd w:id="678"/>
      <w:bookmarkEnd w:id="679"/>
    </w:p>
    <w:p>
      <w:pPr>
        <w:spacing w:line="360" w:lineRule="auto"/>
        <w:ind w:firstLine="435"/>
        <w:rPr>
          <w:rFonts w:ascii="宋体" w:hAnsi="宋体"/>
          <w:color w:val="auto"/>
          <w:szCs w:val="21"/>
        </w:rPr>
      </w:pPr>
      <w:r>
        <w:rPr>
          <w:rFonts w:ascii="宋体" w:hAnsi="宋体"/>
          <w:color w:val="auto"/>
          <w:szCs w:val="21"/>
        </w:rPr>
        <w:t>与合同有关的一切税费</w:t>
      </w:r>
      <w:r>
        <w:rPr>
          <w:rFonts w:hint="eastAsia" w:ascii="宋体" w:hAnsi="宋体"/>
          <w:color w:val="auto"/>
          <w:szCs w:val="21"/>
        </w:rPr>
        <w:t>，</w:t>
      </w:r>
      <w:r>
        <w:rPr>
          <w:rFonts w:ascii="宋体" w:hAnsi="宋体"/>
          <w:color w:val="auto"/>
          <w:szCs w:val="21"/>
        </w:rPr>
        <w:t>均按照中华人民共和国法律的相关规定</w:t>
      </w:r>
      <w:r>
        <w:rPr>
          <w:rFonts w:hint="eastAsia" w:ascii="宋体" w:hAnsi="宋体"/>
          <w:color w:val="auto"/>
          <w:szCs w:val="21"/>
        </w:rPr>
        <w:t>缴纳</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80" w:name="_Toc279701258"/>
      <w:bookmarkStart w:id="681" w:name="_Toc7102"/>
      <w:bookmarkStart w:id="682" w:name="_Toc259093687"/>
      <w:bookmarkStart w:id="683" w:name="_Toc8298"/>
      <w:bookmarkStart w:id="684" w:name="_Toc16959"/>
      <w:bookmarkStart w:id="685" w:name="_Toc487900368"/>
      <w:r>
        <w:rPr>
          <w:rFonts w:hint="eastAsia" w:ascii="宋体" w:hAnsi="宋体"/>
          <w:b/>
          <w:bCs/>
          <w:color w:val="auto"/>
          <w:szCs w:val="21"/>
          <w:lang w:val="zh-CN"/>
        </w:rPr>
        <w:t>2.</w:t>
      </w:r>
      <w:r>
        <w:rPr>
          <w:rFonts w:ascii="宋体" w:hAnsi="宋体"/>
          <w:b/>
          <w:bCs/>
          <w:color w:val="auto"/>
          <w:szCs w:val="21"/>
          <w:lang w:val="zh-CN"/>
        </w:rPr>
        <w:t>13</w:t>
      </w:r>
      <w:r>
        <w:rPr>
          <w:rFonts w:hint="eastAsia" w:ascii="宋体" w:hAnsi="宋体"/>
          <w:b/>
          <w:bCs/>
          <w:color w:val="auto"/>
          <w:szCs w:val="21"/>
          <w:lang w:val="zh-CN"/>
        </w:rPr>
        <w:t xml:space="preserve"> </w:t>
      </w:r>
      <w:r>
        <w:rPr>
          <w:rFonts w:ascii="宋体" w:hAnsi="宋体"/>
          <w:b/>
          <w:bCs/>
          <w:color w:val="auto"/>
          <w:szCs w:val="21"/>
          <w:lang w:val="zh-CN"/>
        </w:rPr>
        <w:t>乙方破产</w:t>
      </w:r>
      <w:bookmarkEnd w:id="680"/>
      <w:bookmarkEnd w:id="681"/>
      <w:bookmarkEnd w:id="682"/>
      <w:bookmarkEnd w:id="683"/>
      <w:bookmarkEnd w:id="684"/>
      <w:bookmarkEnd w:id="685"/>
    </w:p>
    <w:p>
      <w:pPr>
        <w:spacing w:line="360" w:lineRule="auto"/>
        <w:ind w:firstLine="435"/>
        <w:rPr>
          <w:rFonts w:ascii="宋体" w:hAnsi="宋体"/>
          <w:color w:val="auto"/>
          <w:szCs w:val="21"/>
        </w:rPr>
      </w:pPr>
      <w:r>
        <w:rPr>
          <w:rFonts w:ascii="宋体" w:hAnsi="宋体"/>
          <w:color w:val="auto"/>
          <w:szCs w:val="21"/>
        </w:rPr>
        <w:t>如果乙方破产导致合同无法履行时，甲方可以书面形式通知乙方终止合同且不给予乙方任何补偿和赔偿</w:t>
      </w:r>
      <w:r>
        <w:rPr>
          <w:rFonts w:hint="eastAsia" w:ascii="宋体" w:hAnsi="宋体"/>
          <w:color w:val="auto"/>
          <w:szCs w:val="21"/>
        </w:rPr>
        <w:t>，但合同的</w:t>
      </w:r>
      <w:r>
        <w:rPr>
          <w:rFonts w:ascii="宋体" w:hAnsi="宋体"/>
          <w:color w:val="auto"/>
          <w:szCs w:val="21"/>
        </w:rPr>
        <w:t>终止不损害或不影响甲方已经采取或将要采取的任何要求乙方支付违约金</w:t>
      </w:r>
      <w:r>
        <w:rPr>
          <w:rFonts w:hint="eastAsia" w:ascii="宋体" w:hAnsi="宋体"/>
          <w:color w:val="auto"/>
          <w:szCs w:val="21"/>
        </w:rPr>
        <w:t>、</w:t>
      </w:r>
      <w:r>
        <w:rPr>
          <w:rFonts w:ascii="宋体" w:hAnsi="宋体"/>
          <w:color w:val="auto"/>
          <w:szCs w:val="21"/>
        </w:rPr>
        <w:t>赔偿损失等的行动或补救措施的权利</w:t>
      </w:r>
      <w:r>
        <w:rPr>
          <w:rFonts w:hint="eastAsia" w:ascii="宋体" w:hAnsi="宋体"/>
          <w:color w:val="auto"/>
          <w:szCs w:val="21"/>
        </w:rPr>
        <w:t>。</w:t>
      </w:r>
    </w:p>
    <w:p>
      <w:pPr>
        <w:spacing w:line="360" w:lineRule="auto"/>
        <w:ind w:firstLine="437"/>
        <w:outlineLvl w:val="3"/>
        <w:rPr>
          <w:rFonts w:ascii="宋体" w:hAnsi="宋体"/>
          <w:b/>
          <w:color w:val="auto"/>
          <w:szCs w:val="21"/>
        </w:rPr>
      </w:pPr>
      <w:bookmarkStart w:id="686" w:name="_Toc15387"/>
      <w:bookmarkStart w:id="687" w:name="_Toc29333"/>
      <w:bookmarkStart w:id="688" w:name="_Toc6134"/>
      <w:r>
        <w:rPr>
          <w:rFonts w:hint="eastAsia" w:ascii="宋体" w:hAnsi="宋体"/>
          <w:b/>
          <w:bCs/>
          <w:color w:val="auto"/>
          <w:szCs w:val="21"/>
          <w:lang w:val="zh-CN"/>
        </w:rPr>
        <w:t>2.1</w:t>
      </w:r>
      <w:r>
        <w:rPr>
          <w:rFonts w:ascii="宋体" w:hAnsi="宋体"/>
          <w:b/>
          <w:bCs/>
          <w:color w:val="auto"/>
          <w:szCs w:val="21"/>
          <w:lang w:val="zh-CN"/>
        </w:rPr>
        <w:t>4</w:t>
      </w:r>
      <w:r>
        <w:rPr>
          <w:rFonts w:hint="eastAsia" w:ascii="宋体" w:hAnsi="宋体"/>
          <w:b/>
          <w:bCs/>
          <w:color w:val="auto"/>
          <w:szCs w:val="21"/>
          <w:lang w:val="zh-CN"/>
        </w:rPr>
        <w:t xml:space="preserve"> 合同中止、终止</w:t>
      </w:r>
      <w:bookmarkEnd w:id="686"/>
      <w:bookmarkEnd w:id="687"/>
      <w:bookmarkEnd w:id="688"/>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4</w:t>
      </w:r>
      <w:r>
        <w:rPr>
          <w:rFonts w:hint="eastAsia" w:ascii="宋体" w:hAnsi="宋体"/>
          <w:color w:val="auto"/>
          <w:szCs w:val="21"/>
        </w:rPr>
        <w:t>.1双方当事人不得擅自中止或者终止合同；</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4</w:t>
      </w:r>
      <w:r>
        <w:rPr>
          <w:rFonts w:hint="eastAsia" w:ascii="宋体" w:hAnsi="宋体"/>
          <w:color w:val="auto"/>
          <w:szCs w:val="21"/>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b/>
          <w:bCs/>
          <w:color w:val="auto"/>
          <w:szCs w:val="21"/>
          <w:lang w:val="zh-CN"/>
        </w:rPr>
      </w:pPr>
      <w:bookmarkStart w:id="689" w:name="_Toc14563"/>
      <w:bookmarkStart w:id="690" w:name="_Toc1125"/>
      <w:bookmarkStart w:id="691" w:name="_Toc6596"/>
      <w:r>
        <w:rPr>
          <w:rFonts w:hint="eastAsia" w:ascii="宋体" w:hAnsi="宋体"/>
          <w:b/>
          <w:bCs/>
          <w:color w:val="auto"/>
          <w:szCs w:val="21"/>
          <w:lang w:val="zh-CN"/>
        </w:rPr>
        <w:t>2.1</w:t>
      </w:r>
      <w:r>
        <w:rPr>
          <w:rFonts w:ascii="宋体" w:hAnsi="宋体"/>
          <w:b/>
          <w:bCs/>
          <w:color w:val="auto"/>
          <w:szCs w:val="21"/>
          <w:lang w:val="zh-CN"/>
        </w:rPr>
        <w:t>5</w:t>
      </w:r>
      <w:r>
        <w:rPr>
          <w:rFonts w:hint="eastAsia" w:ascii="宋体" w:hAnsi="宋体"/>
          <w:b/>
          <w:bCs/>
          <w:color w:val="auto"/>
          <w:szCs w:val="21"/>
          <w:lang w:val="zh-CN"/>
        </w:rPr>
        <w:t xml:space="preserve"> 检验和验收</w:t>
      </w:r>
      <w:bookmarkEnd w:id="689"/>
      <w:bookmarkEnd w:id="690"/>
      <w:bookmarkEnd w:id="691"/>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5</w:t>
      </w:r>
      <w:r>
        <w:rPr>
          <w:rFonts w:ascii="宋体" w:hAnsi="宋体"/>
          <w:color w:val="auto"/>
          <w:szCs w:val="21"/>
        </w:rPr>
        <w:t>.</w:t>
      </w:r>
      <w:r>
        <w:rPr>
          <w:rFonts w:hint="eastAsia" w:ascii="宋体" w:hAnsi="宋体"/>
          <w:color w:val="auto"/>
          <w:szCs w:val="21"/>
        </w:rPr>
        <w:t>1乙方按照</w:t>
      </w:r>
      <w:r>
        <w:rPr>
          <w:rFonts w:ascii="宋体" w:hAnsi="宋体"/>
          <w:b/>
          <w:i/>
          <w:color w:val="auto"/>
          <w:szCs w:val="21"/>
          <w:u w:val="single"/>
        </w:rPr>
        <w:t>合同专用条款</w:t>
      </w:r>
      <w:r>
        <w:rPr>
          <w:rFonts w:ascii="宋体" w:hAnsi="宋体"/>
          <w:color w:val="auto"/>
          <w:szCs w:val="21"/>
        </w:rPr>
        <w:t>的约定</w:t>
      </w:r>
      <w:r>
        <w:rPr>
          <w:rFonts w:hint="eastAsia" w:ascii="宋体" w:hAnsi="宋体"/>
          <w:color w:val="auto"/>
          <w:szCs w:val="21"/>
        </w:rPr>
        <w:t>，</w:t>
      </w:r>
      <w:r>
        <w:rPr>
          <w:rFonts w:ascii="宋体" w:hAnsi="宋体"/>
          <w:color w:val="auto"/>
          <w:szCs w:val="21"/>
        </w:rPr>
        <w:t>定期提交服务报告</w:t>
      </w:r>
      <w:r>
        <w:rPr>
          <w:rFonts w:hint="eastAsia" w:ascii="宋体" w:hAnsi="宋体"/>
          <w:color w:val="auto"/>
          <w:szCs w:val="21"/>
        </w:rPr>
        <w:t>，甲方按照</w:t>
      </w:r>
      <w:r>
        <w:rPr>
          <w:rFonts w:ascii="宋体" w:hAnsi="宋体"/>
          <w:b/>
          <w:i/>
          <w:color w:val="auto"/>
          <w:szCs w:val="21"/>
          <w:u w:val="single"/>
        </w:rPr>
        <w:t>合同专用条款</w:t>
      </w:r>
      <w:r>
        <w:rPr>
          <w:rFonts w:ascii="宋体" w:hAnsi="宋体"/>
          <w:color w:val="auto"/>
          <w:szCs w:val="21"/>
        </w:rPr>
        <w:t>的约定进行定期验收</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宋体" w:hAnsi="宋体"/>
          <w:color w:val="auto"/>
          <w:szCs w:val="21"/>
        </w:rPr>
      </w:pPr>
      <w:r>
        <w:rPr>
          <w:rFonts w:hint="eastAsia" w:ascii="宋体" w:hAnsi="宋体"/>
          <w:color w:val="auto"/>
          <w:szCs w:val="21"/>
        </w:rPr>
        <w:t>2.15.3检验和验收标准、程序等具体内容以及前述验收书的效力详见</w:t>
      </w:r>
      <w:r>
        <w:rPr>
          <w:rFonts w:ascii="宋体" w:hAnsi="宋体"/>
          <w:b/>
          <w:i/>
          <w:color w:val="auto"/>
          <w:szCs w:val="21"/>
          <w:u w:val="single"/>
        </w:rPr>
        <w:t>合同专用条款</w:t>
      </w:r>
      <w:r>
        <w:rPr>
          <w:rFonts w:hint="eastAsia" w:ascii="宋体" w:hAnsi="宋体"/>
          <w:i/>
          <w:color w:val="auto"/>
          <w:szCs w:val="21"/>
        </w:rPr>
        <w:t>。</w:t>
      </w:r>
    </w:p>
    <w:bookmarkEnd w:id="661"/>
    <w:bookmarkEnd w:id="662"/>
    <w:bookmarkEnd w:id="663"/>
    <w:bookmarkEnd w:id="664"/>
    <w:p>
      <w:pPr>
        <w:spacing w:line="360" w:lineRule="auto"/>
        <w:ind w:firstLine="437"/>
        <w:outlineLvl w:val="3"/>
        <w:rPr>
          <w:rFonts w:ascii="宋体" w:hAnsi="宋体"/>
          <w:b/>
          <w:bCs/>
          <w:color w:val="auto"/>
          <w:szCs w:val="21"/>
        </w:rPr>
      </w:pPr>
      <w:bookmarkStart w:id="692" w:name="_Toc18567"/>
      <w:bookmarkStart w:id="693" w:name="_Toc279701263"/>
      <w:bookmarkStart w:id="694" w:name="_Toc259093692"/>
      <w:bookmarkStart w:id="695" w:name="_Toc487900373"/>
      <w:bookmarkStart w:id="696" w:name="_Toc10330"/>
      <w:bookmarkStart w:id="697" w:name="_Toc12773"/>
      <w:r>
        <w:rPr>
          <w:rFonts w:hint="eastAsia" w:ascii="宋体" w:hAnsi="宋体"/>
          <w:b/>
          <w:bCs/>
          <w:color w:val="auto"/>
          <w:szCs w:val="21"/>
        </w:rPr>
        <w:t>2.</w:t>
      </w:r>
      <w:r>
        <w:rPr>
          <w:rFonts w:ascii="宋体" w:hAnsi="宋体"/>
          <w:b/>
          <w:bCs/>
          <w:color w:val="auto"/>
          <w:szCs w:val="21"/>
        </w:rPr>
        <w:t>16</w:t>
      </w:r>
      <w:r>
        <w:rPr>
          <w:rFonts w:hint="eastAsia" w:ascii="宋体" w:hAnsi="宋体"/>
          <w:b/>
          <w:bCs/>
          <w:color w:val="auto"/>
          <w:szCs w:val="21"/>
        </w:rPr>
        <w:t xml:space="preserve"> </w:t>
      </w:r>
      <w:r>
        <w:rPr>
          <w:rFonts w:hint="eastAsia" w:ascii="宋体" w:hAnsi="宋体"/>
          <w:b/>
          <w:bCs/>
          <w:color w:val="auto"/>
          <w:szCs w:val="21"/>
          <w:lang w:val="zh-CN"/>
        </w:rPr>
        <w:t>合同使用的文字和</w:t>
      </w:r>
      <w:r>
        <w:rPr>
          <w:rFonts w:ascii="宋体" w:hAnsi="宋体"/>
          <w:b/>
          <w:bCs/>
          <w:color w:val="auto"/>
          <w:szCs w:val="21"/>
          <w:lang w:val="zh-CN"/>
        </w:rPr>
        <w:t>适用的法律</w:t>
      </w:r>
      <w:bookmarkEnd w:id="692"/>
      <w:bookmarkEnd w:id="693"/>
      <w:bookmarkEnd w:id="694"/>
      <w:bookmarkEnd w:id="695"/>
      <w:bookmarkEnd w:id="696"/>
      <w:bookmarkEnd w:id="697"/>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16.1合同使用汉语</w:t>
      </w:r>
      <w:r>
        <w:rPr>
          <w:rFonts w:hint="eastAsia" w:ascii="宋体" w:hAnsi="宋体"/>
          <w:color w:val="auto"/>
          <w:szCs w:val="21"/>
        </w:rPr>
        <w:t>进行</w:t>
      </w:r>
      <w:r>
        <w:rPr>
          <w:rFonts w:ascii="宋体" w:hAnsi="宋体"/>
          <w:color w:val="auto"/>
          <w:szCs w:val="21"/>
        </w:rPr>
        <w:t>书</w:t>
      </w:r>
      <w:r>
        <w:rPr>
          <w:rFonts w:hint="eastAsia" w:ascii="宋体" w:hAnsi="宋体"/>
          <w:color w:val="auto"/>
          <w:szCs w:val="21"/>
        </w:rPr>
        <w:t>写、</w:t>
      </w:r>
      <w:r>
        <w:rPr>
          <w:rFonts w:ascii="宋体" w:hAnsi="宋体"/>
          <w:color w:val="auto"/>
          <w:szCs w:val="21"/>
        </w:rPr>
        <w:t>变更和解释</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16</w:t>
      </w:r>
      <w:r>
        <w:rPr>
          <w:rFonts w:hint="eastAsia" w:ascii="宋体" w:hAnsi="宋体"/>
          <w:color w:val="auto"/>
          <w:szCs w:val="21"/>
        </w:rPr>
        <w:t>.2合同适用</w:t>
      </w:r>
      <w:r>
        <w:rPr>
          <w:rFonts w:ascii="宋体" w:hAnsi="宋体"/>
          <w:color w:val="auto"/>
          <w:szCs w:val="21"/>
        </w:rPr>
        <w:t>中华人民共和国法律。</w:t>
      </w:r>
    </w:p>
    <w:p>
      <w:pPr>
        <w:spacing w:line="360" w:lineRule="auto"/>
        <w:ind w:firstLine="437"/>
        <w:outlineLvl w:val="3"/>
        <w:rPr>
          <w:rFonts w:ascii="宋体" w:hAnsi="宋体"/>
          <w:b/>
          <w:color w:val="auto"/>
          <w:szCs w:val="21"/>
        </w:rPr>
      </w:pPr>
      <w:bookmarkStart w:id="698" w:name="_Toc14001"/>
      <w:bookmarkStart w:id="699" w:name="_Toc6885"/>
      <w:bookmarkStart w:id="700" w:name="_Toc19890"/>
      <w:r>
        <w:rPr>
          <w:rFonts w:hint="eastAsia" w:ascii="宋体" w:hAnsi="宋体"/>
          <w:b/>
          <w:bCs/>
          <w:color w:val="auto"/>
          <w:szCs w:val="21"/>
          <w:lang w:val="zh-CN"/>
        </w:rPr>
        <w:t>2.</w:t>
      </w:r>
      <w:r>
        <w:rPr>
          <w:rFonts w:ascii="宋体" w:hAnsi="宋体"/>
          <w:b/>
          <w:bCs/>
          <w:color w:val="auto"/>
          <w:szCs w:val="21"/>
          <w:lang w:val="zh-CN"/>
        </w:rPr>
        <w:t>1</w:t>
      </w:r>
      <w:r>
        <w:rPr>
          <w:rFonts w:hint="eastAsia" w:ascii="宋体" w:hAnsi="宋体"/>
          <w:b/>
          <w:bCs/>
          <w:color w:val="auto"/>
          <w:szCs w:val="21"/>
        </w:rPr>
        <w:t>7</w:t>
      </w:r>
      <w:r>
        <w:rPr>
          <w:rFonts w:hint="eastAsia" w:ascii="宋体" w:hAnsi="宋体"/>
          <w:b/>
          <w:bCs/>
          <w:color w:val="auto"/>
          <w:szCs w:val="21"/>
          <w:lang w:val="zh-CN"/>
        </w:rPr>
        <w:t xml:space="preserve"> 合同份数</w:t>
      </w:r>
      <w:bookmarkEnd w:id="698"/>
      <w:bookmarkEnd w:id="699"/>
      <w:bookmarkEnd w:id="700"/>
    </w:p>
    <w:p>
      <w:pPr>
        <w:pStyle w:val="14"/>
        <w:overflowPunct w:val="0"/>
        <w:spacing w:line="440" w:lineRule="exact"/>
        <w:rPr>
          <w:rFonts w:ascii="宋体" w:cs="宋体"/>
          <w:color w:val="auto"/>
          <w:szCs w:val="21"/>
          <w:u w:color="000000"/>
        </w:rPr>
      </w:pPr>
      <w:r>
        <w:rPr>
          <w:rFonts w:hint="eastAsia" w:ascii="宋体" w:hAnsi="宋体"/>
          <w:color w:val="auto"/>
          <w:szCs w:val="21"/>
        </w:rPr>
        <w:t>一式六份，甲方四份，乙方两份，</w:t>
      </w:r>
      <w:r>
        <w:rPr>
          <w:rFonts w:ascii="宋体" w:hAnsi="宋体"/>
          <w:color w:val="auto"/>
          <w:szCs w:val="21"/>
        </w:rPr>
        <w:t>每份均具有同等法律效力</w:t>
      </w:r>
      <w:r>
        <w:rPr>
          <w:rFonts w:hint="eastAsia" w:ascii="宋体" w:hAnsi="宋体"/>
          <w:color w:val="auto"/>
          <w:szCs w:val="21"/>
        </w:rPr>
        <w:t>。</w:t>
      </w:r>
    </w:p>
    <w:p>
      <w:pPr>
        <w:widowControl/>
        <w:spacing w:line="360" w:lineRule="auto"/>
        <w:ind w:left="640" w:leftChars="305" w:firstLine="210" w:firstLineChars="100"/>
        <w:jc w:val="left"/>
        <w:rPr>
          <w:rFonts w:ascii="宋体" w:hAnsi="宋体"/>
          <w:color w:val="auto"/>
          <w:kern w:val="0"/>
          <w:szCs w:val="21"/>
        </w:rPr>
      </w:pPr>
    </w:p>
    <w:p>
      <w:pPr>
        <w:widowControl/>
        <w:spacing w:line="360" w:lineRule="auto"/>
        <w:ind w:left="640" w:leftChars="305" w:firstLine="210" w:firstLineChars="100"/>
        <w:jc w:val="left"/>
        <w:rPr>
          <w:rFonts w:ascii="宋体" w:hAnsi="宋体"/>
          <w:color w:val="auto"/>
          <w:kern w:val="0"/>
          <w:szCs w:val="21"/>
        </w:rPr>
      </w:pPr>
    </w:p>
    <w:p>
      <w:pPr>
        <w:widowControl/>
        <w:spacing w:line="360" w:lineRule="auto"/>
        <w:ind w:left="640" w:leftChars="305" w:firstLine="210" w:firstLineChars="100"/>
        <w:jc w:val="left"/>
        <w:rPr>
          <w:rFonts w:ascii="宋体" w:hAnsi="宋体"/>
          <w:color w:val="auto"/>
          <w:kern w:val="0"/>
          <w:szCs w:val="21"/>
        </w:rPr>
      </w:pPr>
    </w:p>
    <w:p>
      <w:pPr>
        <w:widowControl/>
        <w:spacing w:line="360" w:lineRule="auto"/>
        <w:ind w:left="640" w:leftChars="305" w:firstLine="210" w:firstLineChars="100"/>
        <w:jc w:val="left"/>
        <w:rPr>
          <w:rFonts w:ascii="宋体" w:hAnsi="宋体"/>
          <w:color w:val="auto"/>
          <w:kern w:val="0"/>
          <w:szCs w:val="21"/>
        </w:rPr>
      </w:pPr>
      <w:r>
        <w:rPr>
          <w:rFonts w:ascii="宋体" w:hAnsi="宋体"/>
          <w:color w:val="auto"/>
          <w:kern w:val="0"/>
          <w:szCs w:val="21"/>
        </w:rPr>
        <w:t>　　</w:t>
      </w:r>
    </w:p>
    <w:p>
      <w:pPr>
        <w:spacing w:before="156" w:beforeLines="50" w:after="156" w:afterLines="50"/>
        <w:jc w:val="center"/>
        <w:outlineLvl w:val="0"/>
        <w:rPr>
          <w:rFonts w:ascii="宋体"/>
          <w:b/>
          <w:color w:val="auto"/>
          <w:sz w:val="32"/>
          <w:szCs w:val="32"/>
        </w:rPr>
      </w:pPr>
    </w:p>
    <w:p>
      <w:pPr>
        <w:spacing w:before="156" w:beforeLines="50" w:after="156" w:afterLines="50"/>
        <w:jc w:val="center"/>
        <w:outlineLvl w:val="0"/>
        <w:rPr>
          <w:rFonts w:ascii="宋体"/>
          <w:b/>
          <w:color w:val="auto"/>
          <w:sz w:val="32"/>
          <w:szCs w:val="32"/>
        </w:rPr>
      </w:pPr>
    </w:p>
    <w:p>
      <w:pPr>
        <w:pStyle w:val="50"/>
        <w:ind w:firstLine="643"/>
        <w:rPr>
          <w:rFonts w:ascii="宋体"/>
          <w:b/>
          <w:color w:val="auto"/>
          <w:sz w:val="32"/>
          <w:szCs w:val="32"/>
        </w:rPr>
      </w:pPr>
    </w:p>
    <w:p>
      <w:pPr>
        <w:rPr>
          <w:rFonts w:ascii="宋体"/>
          <w:b/>
          <w:color w:val="auto"/>
          <w:sz w:val="32"/>
          <w:szCs w:val="32"/>
        </w:rPr>
      </w:pPr>
    </w:p>
    <w:p>
      <w:pPr>
        <w:pStyle w:val="50"/>
        <w:ind w:firstLine="643"/>
        <w:rPr>
          <w:rFonts w:ascii="宋体"/>
          <w:b/>
          <w:color w:val="auto"/>
          <w:sz w:val="32"/>
          <w:szCs w:val="32"/>
        </w:rPr>
      </w:pPr>
    </w:p>
    <w:p>
      <w:pPr>
        <w:rPr>
          <w:color w:val="auto"/>
        </w:rPr>
      </w:pPr>
    </w:p>
    <w:p>
      <w:pPr>
        <w:spacing w:before="156" w:beforeLines="50" w:after="156" w:afterLines="50"/>
        <w:jc w:val="center"/>
        <w:outlineLvl w:val="0"/>
        <w:rPr>
          <w:rFonts w:ascii="宋体"/>
          <w:b/>
          <w:color w:val="auto"/>
          <w:sz w:val="32"/>
          <w:szCs w:val="32"/>
        </w:rPr>
      </w:pPr>
      <w:r>
        <w:rPr>
          <w:rFonts w:hint="eastAsia" w:ascii="宋体"/>
          <w:b/>
          <w:color w:val="auto"/>
          <w:sz w:val="32"/>
          <w:szCs w:val="32"/>
        </w:rPr>
        <w:t>第</w:t>
      </w:r>
      <w:r>
        <w:rPr>
          <w:rFonts w:hint="eastAsia" w:ascii="宋体"/>
          <w:b/>
          <w:color w:val="auto"/>
          <w:sz w:val="32"/>
          <w:szCs w:val="32"/>
          <w:lang w:val="en-US" w:eastAsia="zh-CN"/>
        </w:rPr>
        <w:t>六</w:t>
      </w:r>
      <w:r>
        <w:rPr>
          <w:rFonts w:hint="eastAsia" w:ascii="宋体"/>
          <w:b/>
          <w:color w:val="auto"/>
          <w:sz w:val="32"/>
          <w:szCs w:val="32"/>
        </w:rPr>
        <w:t>章  投标文件格式</w:t>
      </w:r>
      <w:bookmarkEnd w:id="558"/>
      <w:bookmarkEnd w:id="559"/>
    </w:p>
    <w:p>
      <w:pPr>
        <w:rPr>
          <w:rFonts w:eastAsia="黑体"/>
          <w:color w:val="auto"/>
          <w:sz w:val="20"/>
        </w:rPr>
      </w:pPr>
    </w:p>
    <w:p>
      <w:pPr>
        <w:jc w:val="center"/>
        <w:rPr>
          <w:rFonts w:eastAsia="黑体"/>
          <w:color w:val="auto"/>
          <w:sz w:val="44"/>
          <w:szCs w:val="44"/>
        </w:rPr>
      </w:pPr>
    </w:p>
    <w:p>
      <w:pPr>
        <w:jc w:val="center"/>
        <w:rPr>
          <w:rFonts w:ascii="宋体" w:hAnsi="宋体"/>
          <w:b/>
          <w:color w:val="auto"/>
          <w:sz w:val="28"/>
          <w:szCs w:val="28"/>
          <w:bdr w:val="single" w:color="000000" w:sz="4" w:space="0"/>
        </w:rPr>
      </w:pPr>
      <w:r>
        <w:rPr>
          <w:rFonts w:hint="eastAsia" w:ascii="宋体" w:hAnsi="宋体"/>
          <w:b/>
          <w:color w:val="auto"/>
          <w:sz w:val="28"/>
          <w:szCs w:val="28"/>
        </w:rPr>
        <w:t>一、资信证明格式文件</w:t>
      </w:r>
    </w:p>
    <w:p>
      <w:pPr>
        <w:jc w:val="center"/>
        <w:rPr>
          <w:rFonts w:eastAsia="黑体"/>
          <w:color w:val="auto"/>
          <w:sz w:val="20"/>
        </w:rPr>
      </w:pPr>
    </w:p>
    <w:p>
      <w:pPr>
        <w:rPr>
          <w:rFonts w:eastAsia="黑体"/>
          <w:color w:val="auto"/>
          <w:sz w:val="20"/>
        </w:rPr>
      </w:pPr>
    </w:p>
    <w:p>
      <w:pPr>
        <w:jc w:val="center"/>
        <w:rPr>
          <w:rFonts w:ascii="宋体"/>
          <w:b/>
          <w:color w:val="auto"/>
          <w:sz w:val="44"/>
          <w:szCs w:val="44"/>
        </w:rPr>
      </w:pPr>
      <w:bookmarkStart w:id="701" w:name="_Toc350698753"/>
      <w:bookmarkStart w:id="702" w:name="_Toc449028949"/>
      <w:r>
        <w:rPr>
          <w:rFonts w:hint="eastAsia" w:ascii="宋体"/>
          <w:b/>
          <w:color w:val="auto"/>
          <w:sz w:val="44"/>
          <w:szCs w:val="44"/>
        </w:rPr>
        <w:t>资信证明文件</w:t>
      </w:r>
      <w:bookmarkEnd w:id="701"/>
      <w:bookmarkEnd w:id="702"/>
    </w:p>
    <w:p>
      <w:pPr>
        <w:jc w:val="center"/>
        <w:rPr>
          <w:rFonts w:ascii="宋体"/>
          <w:color w:val="auto"/>
          <w:sz w:val="32"/>
          <w:szCs w:val="32"/>
        </w:rPr>
      </w:pPr>
      <w:r>
        <w:rPr>
          <w:rFonts w:hint="eastAsia" w:ascii="宋体"/>
          <w:color w:val="auto"/>
          <w:sz w:val="32"/>
          <w:szCs w:val="32"/>
        </w:rPr>
        <w:t>（投标文件一）</w:t>
      </w:r>
    </w:p>
    <w:p>
      <w:pPr>
        <w:jc w:val="center"/>
        <w:rPr>
          <w:rFonts w:eastAsia="黑体"/>
          <w:color w:val="auto"/>
          <w:sz w:val="44"/>
          <w:szCs w:val="44"/>
        </w:rPr>
      </w:pPr>
    </w:p>
    <w:p>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pPr>
        <w:ind w:firstLine="560" w:firstLineChars="20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pPr>
        <w:spacing w:line="720" w:lineRule="auto"/>
        <w:jc w:val="center"/>
        <w:rPr>
          <w:rFonts w:ascii="宋体"/>
          <w:b/>
          <w:color w:val="auto"/>
          <w:sz w:val="36"/>
          <w:szCs w:val="36"/>
        </w:rPr>
      </w:pPr>
    </w:p>
    <w:p>
      <w:pPr>
        <w:pStyle w:val="18"/>
        <w:rPr>
          <w:rFonts w:ascii="宋体"/>
          <w:color w:val="auto"/>
          <w:sz w:val="36"/>
          <w:szCs w:val="36"/>
        </w:rPr>
      </w:pPr>
    </w:p>
    <w:p>
      <w:pPr>
        <w:spacing w:line="400" w:lineRule="exact"/>
        <w:ind w:firstLine="4130" w:firstLineChars="935"/>
        <w:rPr>
          <w:b/>
          <w:color w:val="auto"/>
          <w:sz w:val="44"/>
          <w:szCs w:val="44"/>
        </w:rPr>
      </w:pPr>
    </w:p>
    <w:p>
      <w:pPr>
        <w:jc w:val="center"/>
        <w:rPr>
          <w:b/>
          <w:color w:val="auto"/>
          <w:sz w:val="44"/>
          <w:szCs w:val="44"/>
        </w:rPr>
      </w:pPr>
      <w:r>
        <w:rPr>
          <w:rFonts w:hint="eastAsia"/>
          <w:b/>
          <w:color w:val="auto"/>
          <w:sz w:val="36"/>
          <w:szCs w:val="36"/>
        </w:rPr>
        <w:t>目   录</w:t>
      </w:r>
    </w:p>
    <w:p>
      <w:pPr>
        <w:spacing w:line="400" w:lineRule="exact"/>
        <w:ind w:firstLine="562" w:firstLineChars="200"/>
        <w:rPr>
          <w:rFonts w:ascii="宋体" w:hAnsi="宋体" w:cs="宋体"/>
          <w:b/>
          <w:color w:val="auto"/>
          <w:sz w:val="28"/>
          <w:szCs w:val="28"/>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（1）法定代表人身份证明及其有效身份证复印件（或法定代表人授权委托书及其有效身份证复印件）（格式见附件）；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（2）投标人有效的营业执照、税务登记证、组织机构代码证（或三合一证书）；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（3）诚信投标承诺书（格式见附件）；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）招标文件中要求的资信评审和资信评分的支持资料；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）投标人认为需要提供的其他资信证明材料。</w:t>
      </w:r>
    </w:p>
    <w:p>
      <w:pPr>
        <w:spacing w:line="360" w:lineRule="auto"/>
        <w:ind w:firstLine="420" w:firstLineChars="200"/>
        <w:rPr>
          <w:rFonts w:ascii="宋体" w:hAnsi="宋体" w:cs="宋体"/>
          <w:color w:val="auto"/>
          <w:szCs w:val="21"/>
        </w:rPr>
      </w:pPr>
    </w:p>
    <w:p>
      <w:pPr>
        <w:spacing w:line="360" w:lineRule="auto"/>
        <w:ind w:firstLine="420" w:firstLineChars="200"/>
        <w:rPr>
          <w:rFonts w:hAnsi="宋体"/>
          <w:color w:val="auto"/>
          <w:szCs w:val="21"/>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rPr>
          <w:b/>
          <w:color w:val="auto"/>
          <w:sz w:val="28"/>
          <w:szCs w:val="28"/>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pacing w:line="360" w:lineRule="auto"/>
        <w:rPr>
          <w:b/>
          <w:color w:val="auto"/>
          <w:sz w:val="28"/>
          <w:szCs w:val="28"/>
        </w:rPr>
      </w:pPr>
      <w:r>
        <w:rPr>
          <w:rFonts w:hint="eastAsia"/>
          <w:b/>
          <w:color w:val="auto"/>
          <w:sz w:val="28"/>
          <w:szCs w:val="28"/>
        </w:rPr>
        <w:t>附件1</w:t>
      </w:r>
    </w:p>
    <w:p>
      <w:pPr>
        <w:spacing w:line="360" w:lineRule="auto"/>
        <w:ind w:left="720"/>
        <w:jc w:val="center"/>
        <w:rPr>
          <w:rFonts w:ascii="宋体"/>
          <w:b/>
          <w:color w:val="auto"/>
          <w:sz w:val="28"/>
          <w:szCs w:val="28"/>
        </w:rPr>
      </w:pPr>
      <w:r>
        <w:rPr>
          <w:rFonts w:hint="eastAsia"/>
          <w:b/>
          <w:color w:val="auto"/>
          <w:sz w:val="28"/>
          <w:szCs w:val="28"/>
        </w:rPr>
        <w:t>法定代表人身份证明或授权委托书</w:t>
      </w:r>
    </w:p>
    <w:p>
      <w:pPr>
        <w:pStyle w:val="224"/>
        <w:spacing w:before="312" w:beforeLines="100" w:after="312"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pPr>
        <w:spacing w:line="480" w:lineRule="exact"/>
        <w:ind w:firstLine="480" w:firstLineChars="200"/>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 xml:space="preserve">单位性质： </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地    址：</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成立时间：</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spacing w:line="480" w:lineRule="exact"/>
        <w:ind w:firstLine="480" w:firstLineChars="200"/>
        <w:rPr>
          <w:rFonts w:ascii="宋体"/>
          <w:color w:val="auto"/>
          <w:sz w:val="24"/>
        </w:rPr>
      </w:pPr>
      <w:r>
        <w:rPr>
          <w:rFonts w:hint="eastAsia" w:ascii="宋体"/>
          <w:color w:val="auto"/>
          <w:sz w:val="24"/>
        </w:rPr>
        <w:t>经营期限：</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720" w:firstLineChars="100"/>
        <w:rPr>
          <w:rFonts w:ascii="宋体"/>
          <w:color w:val="auto"/>
          <w:sz w:val="24"/>
        </w:rPr>
      </w:pPr>
      <w:r>
        <w:rPr>
          <w:rFonts w:hint="eastAsia" w:ascii="宋体"/>
          <w:color w:val="auto"/>
          <w:spacing w:val="240"/>
          <w:sz w:val="24"/>
        </w:rPr>
        <w:t>姓</w:t>
      </w:r>
      <w:r>
        <w:rPr>
          <w:rFonts w:hint="eastAsia" w:ascii="宋体"/>
          <w:color w:val="auto"/>
          <w:sz w:val="24"/>
        </w:rPr>
        <w:t>名：</w:t>
      </w:r>
      <w:r>
        <w:rPr>
          <w:rFonts w:hint="eastAsia" w:ascii="宋体"/>
          <w:color w:val="auto"/>
          <w:sz w:val="24"/>
          <w:u w:val="single"/>
        </w:rPr>
        <w:t xml:space="preserve">           </w:t>
      </w:r>
      <w:r>
        <w:rPr>
          <w:rFonts w:hint="eastAsia" w:ascii="宋体"/>
          <w:color w:val="auto"/>
          <w:sz w:val="24"/>
        </w:rPr>
        <w:t>性别：</w:t>
      </w:r>
      <w:r>
        <w:rPr>
          <w:rFonts w:hint="eastAsia" w:ascii="宋体"/>
          <w:color w:val="auto"/>
          <w:sz w:val="24"/>
          <w:u w:val="single"/>
        </w:rPr>
        <w:t xml:space="preserve">        </w:t>
      </w:r>
      <w:r>
        <w:rPr>
          <w:rFonts w:hint="eastAsia" w:ascii="宋体"/>
          <w:color w:val="auto"/>
          <w:sz w:val="24"/>
        </w:rPr>
        <w:t>年龄：</w:t>
      </w:r>
      <w:r>
        <w:rPr>
          <w:rFonts w:hint="eastAsia" w:ascii="宋体"/>
          <w:color w:val="auto"/>
          <w:sz w:val="24"/>
          <w:u w:val="single"/>
        </w:rPr>
        <w:t xml:space="preserve">    </w:t>
      </w:r>
      <w:r>
        <w:rPr>
          <w:rFonts w:hint="eastAsia" w:ascii="宋体"/>
          <w:color w:val="auto"/>
          <w:sz w:val="24"/>
        </w:rPr>
        <w:t>职务：</w:t>
      </w:r>
      <w:r>
        <w:rPr>
          <w:rFonts w:hint="eastAsia" w:ascii="宋体"/>
          <w:color w:val="auto"/>
          <w:sz w:val="24"/>
          <w:u w:val="single"/>
        </w:rPr>
        <w:t xml:space="preserve">       </w:t>
      </w:r>
      <w:r>
        <w:rPr>
          <w:rFonts w:hint="eastAsia" w:ascii="宋体"/>
          <w:color w:val="auto"/>
          <w:sz w:val="24"/>
        </w:rPr>
        <w:t>_</w:t>
      </w:r>
    </w:p>
    <w:p>
      <w:pPr>
        <w:spacing w:line="480" w:lineRule="exact"/>
        <w:ind w:firstLine="480" w:firstLineChars="200"/>
        <w:rPr>
          <w:rFonts w:ascii="宋体"/>
          <w:color w:val="auto"/>
          <w:sz w:val="24"/>
        </w:rPr>
      </w:pPr>
      <w:r>
        <w:rPr>
          <w:rFonts w:hint="eastAsia" w:ascii="宋体"/>
          <w:color w:val="auto"/>
          <w:sz w:val="24"/>
        </w:rPr>
        <w:t>系</w:t>
      </w:r>
      <w:r>
        <w:rPr>
          <w:rFonts w:hint="eastAsia" w:ascii="宋体"/>
          <w:color w:val="auto"/>
          <w:sz w:val="24"/>
          <w:u w:val="single"/>
        </w:rPr>
        <w:t xml:space="preserve">                                </w:t>
      </w:r>
      <w:r>
        <w:rPr>
          <w:rFonts w:hint="eastAsia" w:ascii="宋体"/>
          <w:color w:val="auto"/>
          <w:sz w:val="24"/>
        </w:rPr>
        <w:t>（投标人名称）的法定代表人。</w:t>
      </w:r>
    </w:p>
    <w:p>
      <w:pPr>
        <w:spacing w:line="480" w:lineRule="exact"/>
        <w:ind w:firstLine="960" w:firstLineChars="400"/>
        <w:rPr>
          <w:rFonts w:ascii="宋体"/>
          <w:color w:val="auto"/>
          <w:sz w:val="24"/>
        </w:rPr>
      </w:pPr>
      <w:r>
        <w:rPr>
          <w:rFonts w:hint="eastAsia" w:ascii="宋体"/>
          <w:color w:val="auto"/>
          <w:sz w:val="24"/>
        </w:rPr>
        <w:t>特此证明。</w:t>
      </w:r>
    </w:p>
    <w:p>
      <w:pPr>
        <w:spacing w:line="360" w:lineRule="auto"/>
        <w:ind w:firstLine="3480" w:firstLineChars="1450"/>
        <w:rPr>
          <w:rFonts w:ascii="宋体"/>
          <w:color w:val="auto"/>
          <w:sz w:val="24"/>
        </w:rPr>
      </w:pPr>
      <w:r>
        <w:rPr>
          <w:rFonts w:hint="eastAsia" w:ascii="宋体"/>
          <w:color w:val="auto"/>
          <w:sz w:val="24"/>
        </w:rPr>
        <w:t>投标人：</w:t>
      </w:r>
      <w:r>
        <w:rPr>
          <w:rFonts w:hint="eastAsia" w:ascii="宋体"/>
          <w:color w:val="auto"/>
          <w:sz w:val="24"/>
          <w:u w:val="single"/>
        </w:rPr>
        <w:t xml:space="preserve">                 </w:t>
      </w:r>
      <w:r>
        <w:rPr>
          <w:rFonts w:hint="eastAsia" w:ascii="宋体"/>
          <w:color w:val="auto"/>
          <w:sz w:val="24"/>
        </w:rPr>
        <w:t>（盖单位章）</w:t>
      </w:r>
    </w:p>
    <w:p>
      <w:pPr>
        <w:wordWrap w:val="0"/>
        <w:spacing w:line="360" w:lineRule="auto"/>
        <w:jc w:val="right"/>
        <w:rPr>
          <w:color w:val="auto"/>
        </w:rPr>
      </w:pPr>
      <w:r>
        <w:rPr>
          <w:rFonts w:hint="eastAsia" w:ascii="宋体"/>
          <w:color w:val="auto"/>
          <w:sz w:val="24"/>
        </w:rPr>
        <w:t xml:space="preserve">                                        </w:t>
      </w:r>
      <w:r>
        <w:rPr>
          <w:rFonts w:hint="eastAsia" w:ascii="宋体"/>
          <w:color w:val="auto"/>
          <w:sz w:val="24"/>
          <w:u w:val="single"/>
        </w:rPr>
        <w:t xml:space="preserve">       </w:t>
      </w:r>
      <w:r>
        <w:rPr>
          <w:rFonts w:hint="eastAsia" w:ascii="宋体"/>
          <w:color w:val="auto"/>
          <w:sz w:val="24"/>
        </w:rPr>
        <w:t xml:space="preserve">年 </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 xml:space="preserve">日  </w:t>
      </w:r>
    </w:p>
    <w:p>
      <w:pPr>
        <w:pStyle w:val="224"/>
        <w:spacing w:before="312" w:beforeLines="100" w:after="312" w:afterLines="100" w:line="480" w:lineRule="exact"/>
        <w:ind w:firstLine="180" w:firstLineChars="75"/>
        <w:rPr>
          <w:rFonts w:ascii="宋体"/>
          <w:color w:val="auto"/>
          <w:sz w:val="24"/>
          <w:szCs w:val="24"/>
        </w:rPr>
      </w:pPr>
      <w:r>
        <w:rPr>
          <w:rFonts w:hint="eastAsia" w:ascii="宋体"/>
          <w:color w:val="auto"/>
          <w:sz w:val="24"/>
          <w:szCs w:val="24"/>
        </w:rPr>
        <w:t>2.授权委托书</w:t>
      </w:r>
    </w:p>
    <w:p>
      <w:pPr>
        <w:spacing w:line="480" w:lineRule="exact"/>
        <w:ind w:firstLine="480" w:firstLineChars="200"/>
        <w:rPr>
          <w:rFonts w:ascii="宋体"/>
          <w:color w:val="auto"/>
          <w:sz w:val="24"/>
        </w:rPr>
      </w:pPr>
      <w:r>
        <w:rPr>
          <w:rFonts w:hint="eastAsia" w:ascii="宋体"/>
          <w:color w:val="auto"/>
          <w:sz w:val="24"/>
        </w:rPr>
        <w:t xml:space="preserve">本人 </w:t>
      </w:r>
      <w:r>
        <w:rPr>
          <w:rFonts w:hint="eastAsia" w:ascii="宋体"/>
          <w:color w:val="auto"/>
          <w:sz w:val="24"/>
          <w:u w:val="single"/>
        </w:rPr>
        <w:t xml:space="preserve">    </w:t>
      </w:r>
      <w:r>
        <w:rPr>
          <w:rFonts w:hint="eastAsia" w:ascii="宋体"/>
          <w:color w:val="auto"/>
          <w:sz w:val="24"/>
        </w:rPr>
        <w:t>（姓名）系</w:t>
      </w:r>
      <w:r>
        <w:rPr>
          <w:rFonts w:hint="eastAsia" w:ascii="宋体"/>
          <w:color w:val="auto"/>
          <w:sz w:val="24"/>
          <w:u w:val="single"/>
        </w:rPr>
        <w:t xml:space="preserve">       </w:t>
      </w:r>
      <w:r>
        <w:rPr>
          <w:rFonts w:hint="eastAsia" w:ascii="宋体"/>
          <w:color w:val="auto"/>
          <w:sz w:val="24"/>
        </w:rPr>
        <w:t>（投标人）的法定代表人，现委托</w:t>
      </w:r>
      <w:r>
        <w:rPr>
          <w:rFonts w:hint="eastAsia" w:ascii="宋体"/>
          <w:color w:val="auto"/>
          <w:sz w:val="24"/>
          <w:u w:val="single"/>
        </w:rPr>
        <w:t xml:space="preserve">   </w:t>
      </w:r>
      <w:r>
        <w:rPr>
          <w:rFonts w:hint="eastAsia" w:ascii="宋体"/>
          <w:color w:val="auto"/>
          <w:sz w:val="24"/>
        </w:rPr>
        <w:t>（姓名）为我方代理人。代理人根据授权，以我方名义签署、澄清、说明、补正、递交、撤回、修改 “</w:t>
      </w:r>
      <w:r>
        <w:rPr>
          <w:rFonts w:hint="eastAsia" w:ascii="宋体"/>
          <w:color w:val="auto"/>
          <w:sz w:val="24"/>
          <w:u w:val="single"/>
        </w:rPr>
        <w:t xml:space="preserve">      </w:t>
      </w:r>
      <w:r>
        <w:rPr>
          <w:rFonts w:hint="eastAsia" w:ascii="宋体"/>
          <w:color w:val="auto"/>
          <w:sz w:val="24"/>
        </w:rPr>
        <w:t xml:space="preserve"> ”(项目名称、编号）招标文件，全权处理与该项目投标、评审答疑、签订合同以及与合同执行有关的一切事务，其法律后果由我方承担。</w:t>
      </w:r>
    </w:p>
    <w:p>
      <w:pPr>
        <w:spacing w:line="480" w:lineRule="exact"/>
        <w:ind w:firstLine="480" w:firstLineChars="200"/>
        <w:rPr>
          <w:rFonts w:ascii="宋体"/>
          <w:color w:val="auto"/>
          <w:sz w:val="24"/>
        </w:rPr>
      </w:pPr>
      <w:r>
        <w:rPr>
          <w:rFonts w:hint="eastAsia" w:ascii="宋体"/>
          <w:color w:val="auto"/>
          <w:sz w:val="24"/>
        </w:rPr>
        <w:t>委托期限：</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代理人无转委托权。</w:t>
      </w:r>
    </w:p>
    <w:p>
      <w:pPr>
        <w:spacing w:line="480" w:lineRule="exact"/>
        <w:ind w:firstLine="482" w:firstLineChars="200"/>
        <w:rPr>
          <w:rFonts w:ascii="宋体"/>
          <w:b/>
          <w:bCs/>
          <w:color w:val="auto"/>
          <w:sz w:val="24"/>
        </w:rPr>
      </w:pPr>
      <w:r>
        <w:rPr>
          <w:rFonts w:hint="eastAsia" w:ascii="宋体"/>
          <w:b/>
          <w:bCs/>
          <w:color w:val="auto"/>
          <w:sz w:val="24"/>
        </w:rPr>
        <w:t>附：授权委托人有效身份证及法定代表人有效身份证</w:t>
      </w:r>
    </w:p>
    <w:p>
      <w:pPr>
        <w:spacing w:line="480" w:lineRule="exact"/>
        <w:ind w:firstLine="2280" w:firstLineChars="950"/>
        <w:rPr>
          <w:rFonts w:ascii="宋体"/>
          <w:color w:val="auto"/>
          <w:sz w:val="24"/>
        </w:rPr>
      </w:pPr>
      <w:r>
        <w:rPr>
          <w:rFonts w:hint="eastAsia" w:ascii="宋体"/>
          <w:color w:val="auto"/>
          <w:sz w:val="24"/>
        </w:rPr>
        <w:t xml:space="preserve">                 投标人：             （盖单位章）</w:t>
      </w:r>
    </w:p>
    <w:p>
      <w:pPr>
        <w:spacing w:line="480" w:lineRule="exact"/>
        <w:jc w:val="right"/>
        <w:rPr>
          <w:rFonts w:ascii="宋体"/>
          <w:color w:val="auto"/>
          <w:sz w:val="24"/>
        </w:rPr>
      </w:pPr>
      <w:r>
        <w:rPr>
          <w:rFonts w:hint="eastAsia" w:ascii="宋体"/>
          <w:color w:val="auto"/>
          <w:sz w:val="24"/>
        </w:rPr>
        <w:t>法定代表人（身份证号码）：             （签字或盖章）</w:t>
      </w:r>
    </w:p>
    <w:p>
      <w:pPr>
        <w:spacing w:line="480" w:lineRule="exact"/>
        <w:ind w:firstLine="2820" w:firstLineChars="1175"/>
        <w:rPr>
          <w:rFonts w:ascii="宋体"/>
          <w:color w:val="auto"/>
          <w:sz w:val="24"/>
        </w:rPr>
      </w:pPr>
      <w:r>
        <w:rPr>
          <w:rFonts w:hint="eastAsia" w:ascii="宋体"/>
          <w:color w:val="auto"/>
          <w:sz w:val="24"/>
        </w:rPr>
        <w:t xml:space="preserve">              年    月    日</w:t>
      </w:r>
    </w:p>
    <w:p>
      <w:pPr>
        <w:spacing w:line="360" w:lineRule="exact"/>
        <w:ind w:firstLine="413" w:firstLineChars="147"/>
        <w:rPr>
          <w:b/>
          <w:color w:val="auto"/>
          <w:sz w:val="28"/>
          <w:szCs w:val="28"/>
          <w:u w:val="single"/>
        </w:rPr>
      </w:pPr>
    </w:p>
    <w:p>
      <w:pPr>
        <w:spacing w:line="360" w:lineRule="exact"/>
        <w:ind w:firstLine="413" w:firstLineChars="147"/>
        <w:rPr>
          <w:b/>
          <w:color w:val="auto"/>
          <w:sz w:val="28"/>
          <w:szCs w:val="28"/>
          <w:u w:val="single"/>
        </w:rPr>
      </w:pPr>
    </w:p>
    <w:p>
      <w:pPr>
        <w:spacing w:line="360" w:lineRule="exact"/>
        <w:ind w:firstLine="443" w:firstLineChars="147"/>
        <w:rPr>
          <w:rFonts w:ascii="宋体"/>
          <w:b/>
          <w:color w:val="auto"/>
          <w:sz w:val="30"/>
          <w:szCs w:val="30"/>
        </w:rPr>
      </w:pPr>
      <w:r>
        <w:rPr>
          <w:rFonts w:hint="eastAsia" w:ascii="宋体"/>
          <w:b/>
          <w:color w:val="auto"/>
          <w:sz w:val="30"/>
          <w:szCs w:val="30"/>
        </w:rPr>
        <w:t>附件2</w:t>
      </w:r>
    </w:p>
    <w:p>
      <w:pPr>
        <w:spacing w:line="360" w:lineRule="auto"/>
        <w:jc w:val="center"/>
        <w:rPr>
          <w:b/>
          <w:color w:val="auto"/>
          <w:sz w:val="28"/>
          <w:szCs w:val="28"/>
        </w:rPr>
      </w:pPr>
      <w:bookmarkStart w:id="703" w:name="_Toc449028950"/>
      <w:bookmarkStart w:id="704" w:name="_Toc440443268"/>
      <w:r>
        <w:rPr>
          <w:rFonts w:hint="eastAsia"/>
          <w:b/>
          <w:color w:val="auto"/>
          <w:sz w:val="28"/>
          <w:szCs w:val="28"/>
        </w:rPr>
        <w:t>诚信投标承诺书 </w:t>
      </w:r>
    </w:p>
    <w:p>
      <w:pPr>
        <w:spacing w:line="500" w:lineRule="exact"/>
        <w:ind w:firstLine="420" w:firstLineChars="200"/>
        <w:rPr>
          <w:rFonts w:ascii="宋体" w:hAnsi="宋体"/>
          <w:color w:val="auto"/>
          <w:szCs w:val="21"/>
        </w:rPr>
      </w:pPr>
      <w:r>
        <w:rPr>
          <w:rFonts w:hint="eastAsia" w:ascii="宋体" w:hAnsi="宋体"/>
          <w:color w:val="auto"/>
          <w:szCs w:val="21"/>
        </w:rPr>
        <w:t>本人以企业法定代表人的身份郑重承诺：</w:t>
      </w:r>
    </w:p>
    <w:p>
      <w:pPr>
        <w:spacing w:line="500" w:lineRule="exact"/>
        <w:ind w:firstLine="420" w:firstLineChars="200"/>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w:t>
      </w:r>
      <w:r>
        <w:rPr>
          <w:rFonts w:hint="eastAsia" w:ascii="宋体" w:hAnsi="宋体"/>
          <w:color w:val="auto"/>
          <w:szCs w:val="21"/>
        </w:rPr>
        <w:t>项目的投标，所提供的一切材料都是真实、有效、合法的；</w:t>
      </w:r>
    </w:p>
    <w:p>
      <w:pPr>
        <w:spacing w:line="500" w:lineRule="exact"/>
        <w:ind w:firstLine="420" w:firstLineChars="200"/>
        <w:rPr>
          <w:rFonts w:ascii="宋体" w:hAnsi="宋体"/>
          <w:color w:val="auto"/>
          <w:szCs w:val="21"/>
        </w:rPr>
      </w:pPr>
      <w:r>
        <w:rPr>
          <w:rFonts w:hint="eastAsia" w:ascii="宋体" w:hAnsi="宋体"/>
          <w:color w:val="auto"/>
          <w:szCs w:val="21"/>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参加招投标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pPr>
        <w:spacing w:line="50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四、不与其他投标人相互串通投标报价，不排挤其他投标人的公平竞争、损害采购人的合法权益；</w:t>
      </w:r>
    </w:p>
    <w:p>
      <w:pPr>
        <w:spacing w:line="500" w:lineRule="exact"/>
        <w:ind w:firstLine="420" w:firstLineChars="200"/>
        <w:rPr>
          <w:rFonts w:ascii="宋体" w:hAnsi="宋体"/>
          <w:color w:val="auto"/>
          <w:szCs w:val="21"/>
        </w:rPr>
      </w:pPr>
      <w:r>
        <w:rPr>
          <w:rFonts w:hint="eastAsia" w:ascii="宋体" w:hAnsi="宋体"/>
          <w:color w:val="auto"/>
          <w:szCs w:val="21"/>
        </w:rPr>
        <w:t>五、不与采购人、招标代理机构或其他投标人串通投标，损害国家利益、社会公共利益或者他人的合法权益；</w:t>
      </w:r>
    </w:p>
    <w:p>
      <w:pPr>
        <w:spacing w:line="500" w:lineRule="exact"/>
        <w:ind w:firstLine="420" w:firstLineChars="200"/>
        <w:rPr>
          <w:rFonts w:ascii="宋体" w:hAnsi="宋体"/>
          <w:color w:val="auto"/>
          <w:szCs w:val="21"/>
        </w:rPr>
      </w:pPr>
      <w:r>
        <w:rPr>
          <w:rFonts w:hint="eastAsia" w:ascii="宋体" w:hAnsi="宋体"/>
          <w:color w:val="auto"/>
          <w:szCs w:val="21"/>
        </w:rPr>
        <w:t>六、我公司没有下列情形：1、被人民法院列入失信被执行人的；2、我公司及其法定代表人、拟任项目经理（建造师）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招投标活动前3年在经营活动中有重大违法记录的。</w:t>
      </w:r>
    </w:p>
    <w:p>
      <w:pPr>
        <w:spacing w:line="50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pPr>
        <w:spacing w:line="500" w:lineRule="exact"/>
        <w:ind w:firstLine="420" w:firstLineChars="200"/>
        <w:rPr>
          <w:rFonts w:ascii="宋体" w:hAnsi="宋体"/>
          <w:color w:val="auto"/>
          <w:szCs w:val="21"/>
        </w:rPr>
      </w:pPr>
      <w:r>
        <w:rPr>
          <w:rFonts w:hint="eastAsia" w:ascii="宋体" w:hAnsi="宋体"/>
          <w:color w:val="auto"/>
          <w:szCs w:val="21"/>
        </w:rPr>
        <w:t>八、保证中标后不转包，若有分包征得采购人同意；</w:t>
      </w:r>
    </w:p>
    <w:p>
      <w:pPr>
        <w:spacing w:line="500" w:lineRule="exact"/>
        <w:ind w:firstLine="420" w:firstLineChars="200"/>
        <w:rPr>
          <w:rFonts w:ascii="宋体" w:hAnsi="宋体"/>
          <w:color w:val="auto"/>
          <w:szCs w:val="21"/>
        </w:rPr>
      </w:pPr>
      <w:r>
        <w:rPr>
          <w:rFonts w:hint="eastAsia" w:ascii="宋体" w:hAnsi="宋体"/>
          <w:color w:val="auto"/>
          <w:szCs w:val="21"/>
        </w:rPr>
        <w:t>九、保证中标之后，按照投标文件要求提供相关后续服务；</w:t>
      </w:r>
    </w:p>
    <w:p>
      <w:pPr>
        <w:spacing w:line="50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pPr>
        <w:spacing w:line="500" w:lineRule="exact"/>
        <w:ind w:firstLine="420" w:firstLineChars="200"/>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ascii="宋体" w:hAnsi="宋体"/>
          <w:color w:val="auto"/>
          <w:szCs w:val="21"/>
        </w:rPr>
      </w:pPr>
      <w:r>
        <w:rPr>
          <w:rFonts w:hint="eastAsia" w:ascii="宋体" w:hAnsi="宋体"/>
          <w:color w:val="auto"/>
          <w:szCs w:val="21"/>
        </w:rPr>
        <w:t>以上内容我已仔细阅读，本公司若有违反承诺内容的行为，自愿接受取消投标或者中标资格、记入不良行为记录等有关处理，愿意承担法律责任，给采购人造成损失的，依法承担赔偿责任。</w:t>
      </w:r>
    </w:p>
    <w:p>
      <w:pPr>
        <w:spacing w:line="500" w:lineRule="exact"/>
        <w:ind w:firstLine="420" w:firstLineChars="200"/>
        <w:rPr>
          <w:rFonts w:ascii="宋体" w:hAnsi="宋体"/>
          <w:color w:val="auto"/>
          <w:szCs w:val="21"/>
        </w:rPr>
      </w:pPr>
      <w:r>
        <w:rPr>
          <w:rFonts w:hint="eastAsia" w:ascii="宋体" w:hAnsi="宋体"/>
          <w:color w:val="auto"/>
          <w:szCs w:val="21"/>
        </w:rPr>
        <w:t> </w:t>
      </w:r>
    </w:p>
    <w:p>
      <w:pPr>
        <w:spacing w:line="500" w:lineRule="exact"/>
        <w:ind w:firstLine="420" w:firstLineChars="200"/>
        <w:rPr>
          <w:rFonts w:ascii="宋体" w:hAnsi="宋体"/>
          <w:color w:val="auto"/>
          <w:szCs w:val="21"/>
        </w:rPr>
      </w:pPr>
      <w:r>
        <w:rPr>
          <w:rFonts w:hint="eastAsia" w:ascii="宋体" w:hAnsi="宋体"/>
          <w:color w:val="auto"/>
          <w:szCs w:val="21"/>
        </w:rPr>
        <w:t>开户银行：                          基本账户：</w:t>
      </w:r>
    </w:p>
    <w:p>
      <w:pPr>
        <w:spacing w:line="500" w:lineRule="exact"/>
        <w:ind w:firstLine="420" w:firstLineChars="200"/>
        <w:rPr>
          <w:rFonts w:ascii="宋体" w:hAnsi="宋体"/>
          <w:color w:val="auto"/>
          <w:szCs w:val="21"/>
        </w:rPr>
      </w:pPr>
      <w:r>
        <w:rPr>
          <w:rFonts w:hint="eastAsia" w:ascii="宋体" w:hAnsi="宋体"/>
          <w:color w:val="auto"/>
          <w:szCs w:val="21"/>
        </w:rPr>
        <w:t>投标单位（盖单位章）：          法定代表人（签字或盖章）：</w:t>
      </w:r>
    </w:p>
    <w:p>
      <w:pPr>
        <w:spacing w:line="500" w:lineRule="exact"/>
        <w:ind w:firstLine="420" w:firstLineChars="200"/>
        <w:rPr>
          <w:rFonts w:ascii="宋体" w:hAnsi="宋体"/>
          <w:color w:val="auto"/>
          <w:szCs w:val="21"/>
        </w:rPr>
      </w:pPr>
    </w:p>
    <w:p>
      <w:pPr>
        <w:spacing w:line="360" w:lineRule="auto"/>
        <w:jc w:val="center"/>
        <w:rPr>
          <w:b/>
          <w:color w:val="auto"/>
          <w:sz w:val="28"/>
          <w:szCs w:val="28"/>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日</w:t>
      </w:r>
    </w:p>
    <w:p>
      <w:pPr>
        <w:spacing w:line="360" w:lineRule="auto"/>
        <w:jc w:val="center"/>
        <w:rPr>
          <w:b/>
          <w:color w:val="auto"/>
          <w:sz w:val="28"/>
          <w:szCs w:val="28"/>
        </w:rPr>
      </w:pPr>
    </w:p>
    <w:p>
      <w:pPr>
        <w:pStyle w:val="6"/>
        <w:rPr>
          <w:b/>
          <w:color w:val="auto"/>
          <w:sz w:val="28"/>
          <w:szCs w:val="28"/>
        </w:rPr>
      </w:pPr>
    </w:p>
    <w:p>
      <w:pPr>
        <w:rPr>
          <w:b/>
          <w:color w:val="auto"/>
          <w:sz w:val="28"/>
          <w:szCs w:val="28"/>
        </w:rPr>
      </w:pPr>
    </w:p>
    <w:p>
      <w:pPr>
        <w:pStyle w:val="6"/>
        <w:rPr>
          <w:b/>
          <w:color w:val="auto"/>
          <w:sz w:val="28"/>
          <w:szCs w:val="28"/>
        </w:rPr>
      </w:pPr>
    </w:p>
    <w:p>
      <w:pPr>
        <w:rPr>
          <w:b/>
          <w:color w:val="auto"/>
          <w:sz w:val="28"/>
          <w:szCs w:val="28"/>
        </w:rPr>
      </w:pPr>
    </w:p>
    <w:p>
      <w:pPr>
        <w:pStyle w:val="6"/>
        <w:rPr>
          <w:b/>
          <w:color w:val="auto"/>
          <w:sz w:val="28"/>
          <w:szCs w:val="28"/>
        </w:rPr>
      </w:pPr>
    </w:p>
    <w:p>
      <w:pPr>
        <w:rPr>
          <w:b/>
          <w:color w:val="auto"/>
          <w:sz w:val="28"/>
          <w:szCs w:val="28"/>
        </w:rPr>
      </w:pPr>
    </w:p>
    <w:p>
      <w:pPr>
        <w:pStyle w:val="6"/>
        <w:rPr>
          <w:b/>
          <w:color w:val="auto"/>
          <w:sz w:val="28"/>
          <w:szCs w:val="28"/>
        </w:rPr>
      </w:pPr>
    </w:p>
    <w:p>
      <w:pPr>
        <w:rPr>
          <w:b/>
          <w:color w:val="auto"/>
          <w:sz w:val="28"/>
          <w:szCs w:val="28"/>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ascii="宋体"/>
          <w:color w:val="auto"/>
          <w:sz w:val="24"/>
        </w:rPr>
      </w:pPr>
      <w:r>
        <w:rPr>
          <w:rFonts w:hint="eastAsia" w:ascii="宋体" w:hAnsi="宋体"/>
          <w:b/>
          <w:color w:val="auto"/>
          <w:sz w:val="28"/>
          <w:szCs w:val="28"/>
          <w:lang w:val="en-US" w:eastAsia="zh-CN"/>
        </w:rPr>
        <w:t>二</w:t>
      </w:r>
      <w:r>
        <w:rPr>
          <w:rFonts w:hint="eastAsia" w:ascii="宋体" w:hAnsi="宋体"/>
          <w:b/>
          <w:color w:val="auto"/>
          <w:sz w:val="28"/>
          <w:szCs w:val="28"/>
        </w:rPr>
        <w:t>、</w:t>
      </w:r>
      <w:r>
        <w:rPr>
          <w:rFonts w:hint="eastAsia" w:ascii="宋体" w:hAnsi="宋体"/>
          <w:b/>
          <w:color w:val="auto"/>
          <w:sz w:val="28"/>
          <w:szCs w:val="28"/>
          <w:lang w:val="en-US" w:eastAsia="zh-CN"/>
        </w:rPr>
        <w:t>技术</w:t>
      </w:r>
      <w:r>
        <w:rPr>
          <w:rFonts w:hint="eastAsia" w:ascii="宋体" w:hAnsi="宋体"/>
          <w:b/>
          <w:color w:val="auto"/>
          <w:sz w:val="28"/>
          <w:szCs w:val="28"/>
        </w:rPr>
        <w:t>标格式文件</w:t>
      </w:r>
    </w:p>
    <w:p>
      <w:pPr>
        <w:jc w:val="center"/>
        <w:rPr>
          <w:rFonts w:eastAsia="黑体"/>
          <w:color w:val="auto"/>
          <w:sz w:val="20"/>
        </w:rPr>
      </w:pPr>
    </w:p>
    <w:p>
      <w:pPr>
        <w:rPr>
          <w:rFonts w:ascii="宋体"/>
          <w:color w:val="auto"/>
          <w:sz w:val="20"/>
        </w:rPr>
      </w:pPr>
    </w:p>
    <w:p>
      <w:pPr>
        <w:rPr>
          <w:rFonts w:ascii="宋体"/>
          <w:color w:val="auto"/>
          <w:sz w:val="20"/>
        </w:rPr>
      </w:pPr>
    </w:p>
    <w:p>
      <w:pPr>
        <w:pStyle w:val="50"/>
        <w:rPr>
          <w:color w:val="auto"/>
        </w:rPr>
      </w:pPr>
    </w:p>
    <w:p>
      <w:pPr>
        <w:jc w:val="center"/>
        <w:rPr>
          <w:rFonts w:ascii="宋体"/>
          <w:b/>
          <w:color w:val="auto"/>
          <w:sz w:val="44"/>
          <w:szCs w:val="44"/>
        </w:rPr>
      </w:pPr>
      <w:r>
        <w:rPr>
          <w:rFonts w:hint="eastAsia" w:ascii="宋体"/>
          <w:b/>
          <w:color w:val="auto"/>
          <w:sz w:val="44"/>
          <w:szCs w:val="44"/>
          <w:lang w:val="en-US" w:eastAsia="zh-CN"/>
        </w:rPr>
        <w:t>技术</w:t>
      </w:r>
      <w:r>
        <w:rPr>
          <w:rFonts w:hint="eastAsia" w:ascii="宋体"/>
          <w:b/>
          <w:color w:val="auto"/>
          <w:sz w:val="44"/>
          <w:szCs w:val="44"/>
        </w:rPr>
        <w:t>标</w:t>
      </w:r>
    </w:p>
    <w:p>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w:t>
      </w:r>
      <w:r>
        <w:rPr>
          <w:rFonts w:hint="eastAsia" w:ascii="宋体"/>
          <w:color w:val="auto"/>
          <w:sz w:val="36"/>
          <w:szCs w:val="36"/>
          <w:lang w:val="en-US" w:eastAsia="zh-CN"/>
        </w:rPr>
        <w:t>二</w:t>
      </w:r>
      <w:r>
        <w:rPr>
          <w:rFonts w:hint="eastAsia" w:ascii="宋体"/>
          <w:color w:val="auto"/>
          <w:sz w:val="36"/>
          <w:szCs w:val="36"/>
        </w:rPr>
        <w:t>）</w:t>
      </w:r>
    </w:p>
    <w:p>
      <w:pPr>
        <w:jc w:val="center"/>
        <w:rPr>
          <w:rFonts w:ascii="宋体"/>
          <w:color w:val="auto"/>
          <w:sz w:val="36"/>
          <w:szCs w:val="36"/>
        </w:rPr>
      </w:pPr>
    </w:p>
    <w:p>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pPr>
        <w:ind w:firstLine="700" w:firstLineChars="25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pPr>
        <w:jc w:val="center"/>
        <w:rPr>
          <w:rFonts w:hint="eastAsia"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pPr>
        <w:pStyle w:val="6"/>
        <w:rPr>
          <w:rFonts w:hint="eastAsia" w:ascii="宋体"/>
          <w:color w:val="auto"/>
          <w:sz w:val="28"/>
          <w:szCs w:val="28"/>
        </w:rPr>
      </w:pPr>
    </w:p>
    <w:p>
      <w:pPr>
        <w:rPr>
          <w:rFonts w:hint="eastAsia" w:ascii="宋体"/>
          <w:color w:val="auto"/>
          <w:sz w:val="28"/>
          <w:szCs w:val="28"/>
        </w:rPr>
      </w:pPr>
    </w:p>
    <w:p>
      <w:pPr>
        <w:rPr>
          <w:rFonts w:hint="eastAsia" w:ascii="宋体"/>
          <w:color w:val="auto"/>
          <w:sz w:val="28"/>
          <w:szCs w:val="28"/>
        </w:rPr>
      </w:pPr>
    </w:p>
    <w:p>
      <w:pPr>
        <w:pStyle w:val="4"/>
        <w:rPr>
          <w:rFonts w:hint="eastAsia"/>
          <w:color w:val="auto"/>
          <w:sz w:val="32"/>
          <w:szCs w:val="32"/>
        </w:rPr>
      </w:pPr>
      <w:bookmarkStart w:id="705" w:name="_Toc95223539"/>
      <w:r>
        <w:rPr>
          <w:rFonts w:hint="eastAsia"/>
          <w:color w:val="auto"/>
          <w:sz w:val="32"/>
          <w:szCs w:val="32"/>
        </w:rPr>
        <w:t>投标文件二：技术标目录</w:t>
      </w:r>
      <w:bookmarkEnd w:id="705"/>
    </w:p>
    <w:p>
      <w:pPr>
        <w:adjustRightInd w:val="0"/>
        <w:snapToGrid w:val="0"/>
        <w:spacing w:beforeLines="0" w:afterLines="0" w:line="560" w:lineRule="exact"/>
        <w:rPr>
          <w:rFonts w:hint="default" w:ascii="宋体" w:hAnsi="宋体" w:eastAsia="宋体"/>
          <w:color w:val="auto"/>
          <w:sz w:val="21"/>
          <w:szCs w:val="21"/>
        </w:rPr>
      </w:pPr>
      <w:r>
        <w:rPr>
          <w:rFonts w:hint="default" w:ascii="宋体" w:hAnsi="宋体" w:eastAsia="宋体"/>
          <w:color w:val="auto"/>
          <w:sz w:val="21"/>
          <w:szCs w:val="21"/>
        </w:rPr>
        <w:t>按评审要求提供</w:t>
      </w:r>
    </w:p>
    <w:p>
      <w:pPr>
        <w:pStyle w:val="6"/>
        <w:rPr>
          <w:color w:val="auto"/>
        </w:rPr>
      </w:pPr>
    </w:p>
    <w:p>
      <w:pPr>
        <w:jc w:val="center"/>
        <w:rPr>
          <w:b/>
          <w:color w:val="auto"/>
          <w:sz w:val="36"/>
          <w:szCs w:val="36"/>
        </w:rPr>
      </w:pPr>
    </w:p>
    <w:p>
      <w:pPr>
        <w:jc w:val="center"/>
        <w:rPr>
          <w:b/>
          <w:color w:val="auto"/>
          <w:sz w:val="36"/>
          <w:szCs w:val="36"/>
        </w:rPr>
      </w:pPr>
    </w:p>
    <w:bookmarkEnd w:id="703"/>
    <w:bookmarkEnd w:id="704"/>
    <w:p>
      <w:pPr>
        <w:wordWrap w:val="0"/>
        <w:spacing w:before="100" w:beforeAutospacing="1" w:after="100" w:afterAutospacing="1"/>
        <w:jc w:val="center"/>
        <w:rPr>
          <w:rFonts w:ascii="宋体" w:hAnsi="宋体"/>
          <w:b/>
          <w:color w:val="auto"/>
          <w:sz w:val="28"/>
          <w:szCs w:val="28"/>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ascii="宋体"/>
          <w:color w:val="auto"/>
          <w:sz w:val="24"/>
        </w:rPr>
      </w:pPr>
      <w:r>
        <w:rPr>
          <w:rFonts w:hint="eastAsia" w:ascii="宋体" w:hAnsi="宋体"/>
          <w:b/>
          <w:color w:val="auto"/>
          <w:sz w:val="28"/>
          <w:szCs w:val="28"/>
          <w:lang w:val="en-US" w:eastAsia="zh-CN"/>
        </w:rPr>
        <w:t>三</w:t>
      </w:r>
      <w:r>
        <w:rPr>
          <w:rFonts w:hint="eastAsia" w:ascii="宋体" w:hAnsi="宋体"/>
          <w:b/>
          <w:color w:val="auto"/>
          <w:sz w:val="28"/>
          <w:szCs w:val="28"/>
        </w:rPr>
        <w:t>、商务标格式文件</w:t>
      </w:r>
    </w:p>
    <w:p>
      <w:pPr>
        <w:jc w:val="center"/>
        <w:rPr>
          <w:rFonts w:eastAsia="黑体"/>
          <w:color w:val="auto"/>
          <w:sz w:val="20"/>
        </w:rPr>
      </w:pPr>
    </w:p>
    <w:p>
      <w:pPr>
        <w:rPr>
          <w:rFonts w:ascii="宋体"/>
          <w:color w:val="auto"/>
          <w:sz w:val="20"/>
        </w:rPr>
      </w:pPr>
    </w:p>
    <w:p>
      <w:pPr>
        <w:rPr>
          <w:rFonts w:ascii="宋体"/>
          <w:color w:val="auto"/>
          <w:sz w:val="20"/>
        </w:rPr>
      </w:pPr>
    </w:p>
    <w:p>
      <w:pPr>
        <w:pStyle w:val="50"/>
        <w:rPr>
          <w:color w:val="auto"/>
        </w:rPr>
      </w:pPr>
    </w:p>
    <w:p>
      <w:pPr>
        <w:jc w:val="center"/>
        <w:rPr>
          <w:rFonts w:ascii="宋体"/>
          <w:b/>
          <w:color w:val="auto"/>
          <w:sz w:val="44"/>
          <w:szCs w:val="44"/>
        </w:rPr>
      </w:pPr>
      <w:bookmarkStart w:id="706" w:name="_Toc449028954"/>
      <w:r>
        <w:rPr>
          <w:rFonts w:hint="eastAsia" w:ascii="宋体"/>
          <w:b/>
          <w:color w:val="auto"/>
          <w:sz w:val="44"/>
          <w:szCs w:val="44"/>
        </w:rPr>
        <w:t>商务标</w:t>
      </w:r>
      <w:bookmarkEnd w:id="706"/>
    </w:p>
    <w:p>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w:t>
      </w:r>
      <w:r>
        <w:rPr>
          <w:rFonts w:hint="eastAsia" w:ascii="宋体"/>
          <w:color w:val="auto"/>
          <w:sz w:val="36"/>
          <w:szCs w:val="36"/>
          <w:lang w:val="en-US" w:eastAsia="zh-CN"/>
        </w:rPr>
        <w:t>三</w:t>
      </w:r>
      <w:r>
        <w:rPr>
          <w:rFonts w:hint="eastAsia" w:ascii="宋体"/>
          <w:color w:val="auto"/>
          <w:sz w:val="36"/>
          <w:szCs w:val="36"/>
        </w:rPr>
        <w:t>）</w:t>
      </w:r>
    </w:p>
    <w:p>
      <w:pPr>
        <w:jc w:val="center"/>
        <w:rPr>
          <w:rFonts w:ascii="宋体"/>
          <w:color w:val="auto"/>
          <w:sz w:val="36"/>
          <w:szCs w:val="36"/>
        </w:rPr>
      </w:pPr>
    </w:p>
    <w:p>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pPr>
        <w:ind w:firstLine="700" w:firstLineChars="25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44"/>
          <w:szCs w:val="44"/>
        </w:rPr>
      </w:pPr>
      <w:r>
        <w:rPr>
          <w:rFonts w:hint="eastAsia"/>
          <w:b/>
          <w:color w:val="auto"/>
          <w:sz w:val="36"/>
          <w:szCs w:val="36"/>
        </w:rPr>
        <w:t>目   录</w:t>
      </w:r>
    </w:p>
    <w:p>
      <w:pPr>
        <w:spacing w:line="400" w:lineRule="exact"/>
        <w:ind w:firstLine="562" w:firstLineChars="200"/>
        <w:rPr>
          <w:rFonts w:ascii="宋体" w:hAnsi="宋体" w:cs="宋体"/>
          <w:b/>
          <w:color w:val="auto"/>
          <w:sz w:val="28"/>
          <w:szCs w:val="28"/>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（1）开标一览表（格式见附件）；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（2）投标函（格式见附件）；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）招标文件中要求的资信评审和资信评分的支持资料；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）投标人认为需要提供的其他资信证明材料。</w:t>
      </w: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spacing w:line="400" w:lineRule="exact"/>
        <w:ind w:firstLine="4130" w:firstLineChars="935"/>
        <w:rPr>
          <w:b/>
          <w:color w:val="auto"/>
          <w:sz w:val="44"/>
          <w:szCs w:val="44"/>
        </w:rPr>
      </w:pPr>
    </w:p>
    <w:p>
      <w:pPr>
        <w:spacing w:line="360" w:lineRule="exact"/>
        <w:ind w:firstLine="531" w:firstLineChars="147"/>
        <w:jc w:val="center"/>
        <w:rPr>
          <w:rFonts w:ascii="宋体"/>
          <w:b/>
          <w:color w:val="auto"/>
          <w:sz w:val="36"/>
          <w:szCs w:val="36"/>
        </w:rPr>
      </w:pPr>
      <w:r>
        <w:rPr>
          <w:rFonts w:hint="eastAsia" w:ascii="宋体"/>
          <w:b/>
          <w:color w:val="auto"/>
          <w:sz w:val="36"/>
          <w:szCs w:val="36"/>
        </w:rPr>
        <w:t>开标一览表</w:t>
      </w:r>
    </w:p>
    <w:p>
      <w:pPr>
        <w:spacing w:line="360" w:lineRule="exact"/>
        <w:ind w:firstLine="354" w:firstLineChars="147"/>
        <w:rPr>
          <w:rFonts w:ascii="宋体"/>
          <w:b/>
          <w:color w:val="auto"/>
          <w:sz w:val="24"/>
        </w:rPr>
      </w:pPr>
    </w:p>
    <w:tbl>
      <w:tblPr>
        <w:tblStyle w:val="51"/>
        <w:tblW w:w="8755" w:type="dxa"/>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6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2146" w:type="dxa"/>
            <w:tcBorders>
              <w:top w:val="single" w:color="auto" w:sz="12" w:space="0"/>
              <w:bottom w:val="single" w:color="auto" w:sz="12" w:space="0"/>
              <w:right w:val="single" w:color="auto" w:sz="12" w:space="0"/>
            </w:tcBorders>
            <w:vAlign w:val="center"/>
          </w:tcPr>
          <w:p>
            <w:pPr>
              <w:spacing w:line="700" w:lineRule="exact"/>
              <w:jc w:val="center"/>
              <w:rPr>
                <w:rFonts w:ascii="宋体"/>
                <w:color w:val="auto"/>
                <w:sz w:val="24"/>
              </w:rPr>
            </w:pPr>
            <w:r>
              <w:rPr>
                <w:rFonts w:hint="eastAsia" w:ascii="宋体"/>
                <w:color w:val="auto"/>
                <w:sz w:val="24"/>
              </w:rPr>
              <w:t>项目名称</w:t>
            </w:r>
          </w:p>
        </w:tc>
        <w:tc>
          <w:tcPr>
            <w:tcW w:w="6609" w:type="dxa"/>
            <w:tcBorders>
              <w:top w:val="single" w:color="auto" w:sz="12" w:space="0"/>
              <w:left w:val="single" w:color="auto" w:sz="12" w:space="0"/>
              <w:bottom w:val="single" w:color="auto" w:sz="12" w:space="0"/>
            </w:tcBorders>
            <w:vAlign w:val="center"/>
          </w:tcPr>
          <w:p>
            <w:pPr>
              <w:spacing w:line="700" w:lineRule="exact"/>
              <w:jc w:val="left"/>
              <w:rPr>
                <w:color w:val="auto"/>
                <w:sz w:val="24"/>
              </w:rPr>
            </w:pPr>
            <w:r>
              <w:rPr>
                <w:rFonts w:hint="eastAsia"/>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2146" w:type="dxa"/>
            <w:tcBorders>
              <w:top w:val="single" w:color="auto" w:sz="12" w:space="0"/>
              <w:right w:val="single" w:color="auto" w:sz="12" w:space="0"/>
            </w:tcBorders>
            <w:vAlign w:val="center"/>
          </w:tcPr>
          <w:p>
            <w:pPr>
              <w:spacing w:line="700" w:lineRule="exact"/>
              <w:jc w:val="center"/>
              <w:rPr>
                <w:rFonts w:ascii="宋体"/>
                <w:color w:val="auto"/>
                <w:sz w:val="24"/>
              </w:rPr>
            </w:pPr>
            <w:r>
              <w:rPr>
                <w:rFonts w:hint="eastAsia" w:ascii="宋体"/>
                <w:color w:val="auto"/>
                <w:sz w:val="24"/>
              </w:rPr>
              <w:t>项目编号</w:t>
            </w:r>
          </w:p>
        </w:tc>
        <w:tc>
          <w:tcPr>
            <w:tcW w:w="6609" w:type="dxa"/>
            <w:tcBorders>
              <w:top w:val="single" w:color="auto" w:sz="12" w:space="0"/>
              <w:left w:val="single" w:color="auto" w:sz="12" w:space="0"/>
            </w:tcBorders>
            <w:vAlign w:val="center"/>
          </w:tcPr>
          <w:p>
            <w:pPr>
              <w:spacing w:line="700" w:lineRule="exact"/>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2146" w:type="dxa"/>
            <w:tcBorders>
              <w:right w:val="single" w:color="auto" w:sz="12" w:space="0"/>
            </w:tcBorders>
            <w:vAlign w:val="center"/>
          </w:tcPr>
          <w:p>
            <w:pPr>
              <w:spacing w:line="700" w:lineRule="exact"/>
              <w:ind w:firstLine="120" w:firstLineChars="50"/>
              <w:rPr>
                <w:rFonts w:ascii="宋体"/>
                <w:color w:val="auto"/>
                <w:sz w:val="24"/>
              </w:rPr>
            </w:pPr>
            <w:r>
              <w:rPr>
                <w:rFonts w:hint="eastAsia" w:ascii="宋体"/>
                <w:color w:val="auto"/>
                <w:sz w:val="24"/>
              </w:rPr>
              <w:t>投标人名称</w:t>
            </w:r>
          </w:p>
        </w:tc>
        <w:tc>
          <w:tcPr>
            <w:tcW w:w="6609" w:type="dxa"/>
            <w:tcBorders>
              <w:left w:val="single" w:color="auto" w:sz="12" w:space="0"/>
            </w:tcBorders>
          </w:tcPr>
          <w:p>
            <w:pPr>
              <w:pStyle w:val="26"/>
              <w:spacing w:line="700" w:lineRule="exact"/>
              <w:ind w:left="86" w:leftChars="41"/>
              <w:rPr>
                <w:rFonts w:ascii="宋体" w:eastAsia="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trPr>
        <w:tc>
          <w:tcPr>
            <w:tcW w:w="2146" w:type="dxa"/>
            <w:tcBorders>
              <w:right w:val="single" w:color="auto" w:sz="12" w:space="0"/>
            </w:tcBorders>
            <w:vAlign w:val="center"/>
          </w:tcPr>
          <w:p>
            <w:pPr>
              <w:spacing w:line="700" w:lineRule="exact"/>
              <w:jc w:val="center"/>
              <w:rPr>
                <w:rFonts w:ascii="宋体"/>
                <w:color w:val="auto"/>
                <w:sz w:val="24"/>
              </w:rPr>
            </w:pPr>
            <w:r>
              <w:rPr>
                <w:rFonts w:hint="eastAsia" w:ascii="宋体"/>
                <w:color w:val="auto"/>
                <w:sz w:val="24"/>
              </w:rPr>
              <w:t>投标报价/服务期</w:t>
            </w:r>
          </w:p>
        </w:tc>
        <w:tc>
          <w:tcPr>
            <w:tcW w:w="6609" w:type="dxa"/>
            <w:tcBorders>
              <w:left w:val="single" w:color="auto" w:sz="12" w:space="0"/>
            </w:tcBorders>
            <w:vAlign w:val="center"/>
          </w:tcPr>
          <w:p>
            <w:pPr>
              <w:spacing w:line="360" w:lineRule="auto"/>
              <w:rPr>
                <w:rFonts w:ascii="宋体"/>
                <w:color w:val="auto"/>
                <w:sz w:val="24"/>
              </w:rPr>
            </w:pPr>
            <w:r>
              <w:rPr>
                <w:rFonts w:hint="eastAsia" w:ascii="宋体"/>
                <w:color w:val="auto"/>
                <w:sz w:val="24"/>
              </w:rPr>
              <w:t>投标报价 （大写）：</w:t>
            </w:r>
            <w:r>
              <w:rPr>
                <w:rFonts w:hint="eastAsia" w:ascii="宋体"/>
                <w:color w:val="auto"/>
                <w:sz w:val="24"/>
                <w:u w:val="single"/>
              </w:rPr>
              <w:t xml:space="preserve">                   </w:t>
            </w:r>
            <w:r>
              <w:rPr>
                <w:rFonts w:hint="eastAsia" w:ascii="宋体"/>
                <w:color w:val="auto"/>
                <w:sz w:val="24"/>
              </w:rPr>
              <w:t>元</w:t>
            </w:r>
          </w:p>
          <w:p>
            <w:pPr>
              <w:spacing w:line="360" w:lineRule="auto"/>
              <w:ind w:firstLine="1080" w:firstLineChars="450"/>
              <w:rPr>
                <w:rFonts w:ascii="宋体"/>
                <w:color w:val="auto"/>
                <w:sz w:val="24"/>
              </w:rPr>
            </w:pPr>
            <w:r>
              <w:rPr>
                <w:rFonts w:hint="eastAsia" w:ascii="宋体"/>
                <w:color w:val="auto"/>
                <w:sz w:val="24"/>
              </w:rPr>
              <w:t>(小写) ：</w:t>
            </w:r>
            <w:r>
              <w:rPr>
                <w:rFonts w:hint="eastAsia" w:ascii="宋体"/>
                <w:color w:val="auto"/>
                <w:sz w:val="24"/>
                <w:u w:val="single"/>
              </w:rPr>
              <w:t xml:space="preserve">                    </w:t>
            </w:r>
            <w:r>
              <w:rPr>
                <w:rFonts w:hint="eastAsia" w:ascii="宋体"/>
                <w:color w:val="auto"/>
                <w:sz w:val="24"/>
              </w:rPr>
              <w:t>元</w:t>
            </w:r>
          </w:p>
          <w:p>
            <w:pPr>
              <w:spacing w:line="360" w:lineRule="auto"/>
              <w:ind w:firstLine="1080" w:firstLineChars="450"/>
              <w:rPr>
                <w:rFonts w:ascii="宋体"/>
                <w:color w:val="auto"/>
                <w:sz w:val="24"/>
              </w:rPr>
            </w:pPr>
          </w:p>
          <w:p>
            <w:pPr>
              <w:pStyle w:val="19"/>
              <w:ind w:firstLine="0"/>
              <w:rPr>
                <w:color w:val="auto"/>
              </w:rPr>
            </w:pPr>
            <w:r>
              <w:rPr>
                <w:rFonts w:hint="eastAsia" w:ascii="宋体"/>
                <w:color w:val="auto"/>
                <w:sz w:val="24"/>
              </w:rPr>
              <w:t>服务期：</w:t>
            </w:r>
            <w:r>
              <w:rPr>
                <w:rFonts w:hint="eastAsia" w:ascii="宋体"/>
                <w:color w:val="auto"/>
                <w:sz w:val="24"/>
                <w:u w:val="single"/>
              </w:rPr>
              <w:t xml:space="preserve">                   。</w:t>
            </w:r>
          </w:p>
        </w:tc>
      </w:tr>
    </w:tbl>
    <w:p>
      <w:pPr>
        <w:snapToGrid w:val="0"/>
        <w:spacing w:line="460" w:lineRule="exact"/>
        <w:ind w:left="2940" w:leftChars="1400" w:firstLine="723" w:firstLineChars="300"/>
        <w:rPr>
          <w:rFonts w:ascii="宋体"/>
          <w:b/>
          <w:color w:val="auto"/>
          <w:sz w:val="24"/>
        </w:rPr>
      </w:pPr>
    </w:p>
    <w:p>
      <w:pPr>
        <w:rPr>
          <w:rFonts w:ascii="宋体"/>
          <w:color w:val="auto"/>
          <w:sz w:val="24"/>
        </w:rPr>
      </w:pPr>
      <w:r>
        <w:rPr>
          <w:rFonts w:hint="eastAsia" w:ascii="宋体"/>
          <w:color w:val="auto"/>
          <w:sz w:val="24"/>
        </w:rPr>
        <w:t>法定代表人（签字或盖章）：         投标人（签字或盖章）：</w:t>
      </w:r>
    </w:p>
    <w:p>
      <w:pPr>
        <w:snapToGrid w:val="0"/>
        <w:spacing w:before="312" w:beforeLines="100" w:after="312" w:afterLines="100" w:line="360" w:lineRule="auto"/>
        <w:jc w:val="center"/>
        <w:rPr>
          <w:rFonts w:cs="Arial"/>
          <w:b/>
          <w:bCs/>
          <w:color w:val="auto"/>
          <w:sz w:val="30"/>
          <w:szCs w:val="30"/>
        </w:rPr>
        <w:sectPr>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rPr>
        <w:t xml:space="preserve">                                      日  期：</w:t>
      </w:r>
      <w:r>
        <w:rPr>
          <w:rFonts w:hint="eastAsia" w:ascii="宋体" w:hAnsi="宋体"/>
          <w:color w:val="auto"/>
          <w:sz w:val="24"/>
          <w:u w:val="single"/>
        </w:rPr>
        <w:t xml:space="preserve">      </w:t>
      </w:r>
      <w:r>
        <w:rPr>
          <w:rFonts w:hint="eastAsia" w:ascii="宋体"/>
          <w:color w:val="auto"/>
          <w:sz w:val="24"/>
        </w:rPr>
        <w:t>年</w:t>
      </w:r>
      <w:r>
        <w:rPr>
          <w:rFonts w:hint="eastAsia" w:ascii="宋体" w:hAnsi="宋体"/>
          <w:color w:val="auto"/>
          <w:sz w:val="24"/>
          <w:u w:val="single"/>
        </w:rPr>
        <w:t xml:space="preserve">   </w:t>
      </w:r>
      <w:r>
        <w:rPr>
          <w:rFonts w:hint="eastAsia" w:ascii="宋体"/>
          <w:color w:val="auto"/>
          <w:sz w:val="24"/>
        </w:rPr>
        <w:t>月</w:t>
      </w:r>
      <w:r>
        <w:rPr>
          <w:rFonts w:hint="eastAsia" w:ascii="宋体" w:hAnsi="宋体"/>
          <w:color w:val="auto"/>
          <w:sz w:val="24"/>
          <w:u w:val="single"/>
        </w:rPr>
        <w:t xml:space="preserve">   </w:t>
      </w:r>
      <w:r>
        <w:rPr>
          <w:rFonts w:hint="eastAsia" w:ascii="宋体"/>
          <w:color w:val="auto"/>
          <w:sz w:val="24"/>
        </w:rPr>
        <w:t xml:space="preserve">日 </w:t>
      </w:r>
    </w:p>
    <w:p>
      <w:pPr>
        <w:spacing w:line="360" w:lineRule="exact"/>
        <w:ind w:firstLine="443" w:firstLineChars="147"/>
        <w:rPr>
          <w:rFonts w:ascii="宋体" w:hAnsi="宋体"/>
          <w:b/>
          <w:color w:val="auto"/>
          <w:sz w:val="30"/>
          <w:szCs w:val="30"/>
        </w:rPr>
      </w:pPr>
    </w:p>
    <w:p>
      <w:pPr>
        <w:spacing w:line="360" w:lineRule="exact"/>
        <w:jc w:val="center"/>
        <w:rPr>
          <w:rFonts w:ascii="宋体"/>
          <w:b/>
          <w:color w:val="auto"/>
          <w:sz w:val="36"/>
          <w:szCs w:val="36"/>
        </w:rPr>
      </w:pPr>
      <w:r>
        <w:rPr>
          <w:rFonts w:hint="eastAsia" w:ascii="宋体"/>
          <w:b/>
          <w:color w:val="auto"/>
          <w:sz w:val="36"/>
          <w:szCs w:val="36"/>
        </w:rPr>
        <w:t>投  标  函</w:t>
      </w:r>
    </w:p>
    <w:p>
      <w:pPr>
        <w:spacing w:line="440" w:lineRule="exact"/>
        <w:rPr>
          <w:rFonts w:ascii="宋体"/>
          <w:color w:val="auto"/>
          <w:sz w:val="24"/>
        </w:rPr>
      </w:pPr>
    </w:p>
    <w:p>
      <w:pPr>
        <w:spacing w:line="440" w:lineRule="exact"/>
        <w:rPr>
          <w:rFonts w:ascii="宋体"/>
          <w:color w:val="auto"/>
          <w:sz w:val="24"/>
        </w:rPr>
      </w:pPr>
      <w:r>
        <w:rPr>
          <w:rFonts w:hint="eastAsia" w:ascii="宋体"/>
          <w:color w:val="auto"/>
          <w:sz w:val="24"/>
        </w:rPr>
        <w:t>致：</w:t>
      </w:r>
      <w:r>
        <w:rPr>
          <w:rFonts w:hint="eastAsia" w:ascii="宋体"/>
          <w:color w:val="auto"/>
          <w:sz w:val="24"/>
          <w:u w:val="single"/>
        </w:rPr>
        <w:t xml:space="preserve">       (采购人)       </w:t>
      </w:r>
      <w:r>
        <w:rPr>
          <w:rFonts w:hint="eastAsia" w:ascii="宋体"/>
          <w:color w:val="auto"/>
          <w:sz w:val="24"/>
        </w:rPr>
        <w:t xml:space="preserve"> </w:t>
      </w:r>
    </w:p>
    <w:p>
      <w:pPr>
        <w:spacing w:line="440" w:lineRule="exact"/>
        <w:ind w:firstLine="480" w:firstLineChars="200"/>
        <w:rPr>
          <w:rFonts w:ascii="宋体"/>
          <w:color w:val="auto"/>
          <w:sz w:val="24"/>
        </w:rPr>
      </w:pPr>
      <w:r>
        <w:rPr>
          <w:rFonts w:hint="eastAsia" w:ascii="宋体"/>
          <w:color w:val="auto"/>
          <w:sz w:val="24"/>
        </w:rPr>
        <w:t>1.我们决定参加贵单位组织的“</w:t>
      </w:r>
      <w:r>
        <w:rPr>
          <w:rFonts w:hint="eastAsia" w:ascii="宋体"/>
          <w:color w:val="auto"/>
          <w:sz w:val="24"/>
          <w:u w:val="single"/>
        </w:rPr>
        <w:t xml:space="preserve"> （项目名称）    </w:t>
      </w:r>
      <w:r>
        <w:rPr>
          <w:rFonts w:hint="eastAsia" w:ascii="宋体"/>
          <w:color w:val="auto"/>
          <w:sz w:val="24"/>
        </w:rPr>
        <w:t>（编号：</w:t>
      </w:r>
      <w:r>
        <w:rPr>
          <w:rFonts w:hint="eastAsia" w:ascii="宋体"/>
          <w:color w:val="auto"/>
          <w:sz w:val="24"/>
          <w:u w:val="single"/>
        </w:rPr>
        <w:t xml:space="preserve">             </w:t>
      </w:r>
      <w:r>
        <w:rPr>
          <w:rFonts w:hint="eastAsia" w:ascii="宋体"/>
          <w:color w:val="auto"/>
          <w:sz w:val="24"/>
        </w:rPr>
        <w:t xml:space="preserve">）”的采购。我方授权 </w:t>
      </w:r>
      <w:r>
        <w:rPr>
          <w:rFonts w:hint="eastAsia" w:ascii="宋体"/>
          <w:color w:val="auto"/>
          <w:sz w:val="24"/>
          <w:u w:val="single"/>
        </w:rPr>
        <w:t xml:space="preserve">              </w:t>
      </w:r>
      <w:r>
        <w:rPr>
          <w:rFonts w:hint="eastAsia" w:ascii="宋体"/>
          <w:color w:val="auto"/>
          <w:sz w:val="24"/>
        </w:rPr>
        <w:t>(姓名和职务)代表我方</w:t>
      </w:r>
      <w:r>
        <w:rPr>
          <w:rFonts w:hint="eastAsia" w:ascii="宋体"/>
          <w:color w:val="auto"/>
          <w:sz w:val="24"/>
          <w:u w:val="single"/>
        </w:rPr>
        <w:t xml:space="preserve">               </w:t>
      </w:r>
      <w:r>
        <w:rPr>
          <w:rFonts w:hint="eastAsia" w:ascii="宋体"/>
          <w:color w:val="auto"/>
          <w:sz w:val="24"/>
        </w:rPr>
        <w:t>（投标人的名称）全权处理本项目投标的有关事宜。</w:t>
      </w:r>
    </w:p>
    <w:p>
      <w:pPr>
        <w:spacing w:line="440" w:lineRule="exact"/>
        <w:ind w:firstLine="480" w:firstLineChars="200"/>
        <w:rPr>
          <w:rFonts w:ascii="宋体"/>
          <w:color w:val="auto"/>
          <w:sz w:val="24"/>
        </w:rPr>
      </w:pPr>
      <w:r>
        <w:rPr>
          <w:rFonts w:hint="eastAsia" w:ascii="宋体"/>
          <w:color w:val="auto"/>
          <w:sz w:val="24"/>
        </w:rPr>
        <w:t xml:space="preserve">2.我方愿意按照招标文件规定的各项要求，向采购人提供“ </w:t>
      </w:r>
      <w:r>
        <w:rPr>
          <w:rFonts w:hint="eastAsia" w:ascii="宋体"/>
          <w:color w:val="auto"/>
          <w:sz w:val="24"/>
          <w:u w:val="single"/>
        </w:rPr>
        <w:t xml:space="preserve">     </w:t>
      </w:r>
      <w:r>
        <w:rPr>
          <w:rFonts w:hint="eastAsia" w:ascii="宋体"/>
          <w:color w:val="auto"/>
          <w:sz w:val="24"/>
        </w:rPr>
        <w:t>（项目编号）”项目的服务，总投标价为</w:t>
      </w:r>
      <w:r>
        <w:rPr>
          <w:rFonts w:hint="eastAsia" w:ascii="宋体"/>
          <w:color w:val="auto"/>
          <w:sz w:val="24"/>
          <w:u w:val="single"/>
        </w:rPr>
        <w:t xml:space="preserve">人民币（大写）      （小写）         </w:t>
      </w:r>
      <w:r>
        <w:rPr>
          <w:rFonts w:hint="eastAsia" w:ascii="宋体"/>
          <w:color w:val="auto"/>
          <w:sz w:val="24"/>
        </w:rPr>
        <w:t xml:space="preserve"> ；服务期 ：</w:t>
      </w:r>
      <w:r>
        <w:rPr>
          <w:rFonts w:hint="eastAsia" w:ascii="宋体"/>
          <w:color w:val="auto"/>
          <w:sz w:val="24"/>
          <w:u w:val="single"/>
        </w:rPr>
        <w:t xml:space="preserve">     </w:t>
      </w:r>
      <w:r>
        <w:rPr>
          <w:rFonts w:hint="eastAsia" w:ascii="宋体"/>
          <w:color w:val="auto"/>
          <w:sz w:val="24"/>
        </w:rPr>
        <w:t>。</w:t>
      </w:r>
    </w:p>
    <w:p>
      <w:pPr>
        <w:spacing w:line="440" w:lineRule="exact"/>
        <w:ind w:firstLine="480" w:firstLineChars="200"/>
        <w:rPr>
          <w:rFonts w:ascii="宋体"/>
          <w:color w:val="auto"/>
          <w:sz w:val="24"/>
        </w:rPr>
      </w:pPr>
      <w:r>
        <w:rPr>
          <w:rFonts w:hint="eastAsia" w:ascii="宋体"/>
          <w:color w:val="auto"/>
          <w:sz w:val="24"/>
        </w:rPr>
        <w:t>3.一旦我方成为合同签字人，我方将严格履行合同规定的责任和义务。</w:t>
      </w:r>
    </w:p>
    <w:p>
      <w:pPr>
        <w:spacing w:line="440" w:lineRule="exact"/>
        <w:ind w:firstLine="480" w:firstLineChars="200"/>
        <w:rPr>
          <w:rFonts w:ascii="宋体"/>
          <w:color w:val="auto"/>
          <w:sz w:val="24"/>
        </w:rPr>
      </w:pPr>
      <w:r>
        <w:rPr>
          <w:rFonts w:hint="eastAsia" w:ascii="宋体"/>
          <w:color w:val="auto"/>
          <w:sz w:val="24"/>
        </w:rPr>
        <w:t>4.我方愿意提供可能另外要求的、与采购投标有关的文件资料，并保证我方已提供和将要提供的文件是真实的、准确的。</w:t>
      </w:r>
    </w:p>
    <w:p>
      <w:pPr>
        <w:spacing w:line="440" w:lineRule="exact"/>
        <w:ind w:firstLine="480" w:firstLineChars="200"/>
        <w:rPr>
          <w:rFonts w:ascii="宋体"/>
          <w:color w:val="auto"/>
          <w:sz w:val="24"/>
        </w:rPr>
      </w:pPr>
      <w:r>
        <w:rPr>
          <w:rFonts w:hint="eastAsia" w:ascii="宋体"/>
          <w:color w:val="auto"/>
          <w:sz w:val="24"/>
        </w:rPr>
        <w:t>5、我单位提供如下通讯地址：</w:t>
      </w:r>
      <w:r>
        <w:rPr>
          <w:rFonts w:hint="eastAsia" w:ascii="宋体"/>
          <w:color w:val="auto"/>
          <w:sz w:val="24"/>
          <w:u w:val="single"/>
        </w:rPr>
        <w:t xml:space="preserve">              </w:t>
      </w:r>
      <w:r>
        <w:rPr>
          <w:rFonts w:hint="eastAsia" w:ascii="宋体"/>
          <w:color w:val="auto"/>
          <w:sz w:val="24"/>
        </w:rPr>
        <w:t xml:space="preserve">  电子邮箱（地址），确认本项目相关法律文书均通过提供的以上地址送达，相关文书只要发送至以上电子邮箱（地址）即视为送达，投标人愿意承担一切法律后果。</w:t>
      </w:r>
    </w:p>
    <w:p>
      <w:pPr>
        <w:spacing w:line="440" w:lineRule="exact"/>
        <w:rPr>
          <w:rFonts w:ascii="宋体"/>
          <w:color w:val="auto"/>
          <w:sz w:val="24"/>
        </w:rPr>
      </w:pPr>
      <w:r>
        <w:rPr>
          <w:rFonts w:hint="eastAsia" w:ascii="宋体"/>
          <w:color w:val="auto"/>
          <w:sz w:val="24"/>
        </w:rPr>
        <w:t> </w:t>
      </w:r>
    </w:p>
    <w:p>
      <w:pPr>
        <w:spacing w:line="440" w:lineRule="exact"/>
        <w:jc w:val="right"/>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（盖单位章）</w:t>
      </w:r>
    </w:p>
    <w:p>
      <w:pPr>
        <w:spacing w:line="440" w:lineRule="exact"/>
        <w:jc w:val="right"/>
        <w:rPr>
          <w:rFonts w:ascii="宋体"/>
          <w:color w:val="auto"/>
          <w:sz w:val="24"/>
        </w:rPr>
      </w:pPr>
    </w:p>
    <w:p>
      <w:pPr>
        <w:spacing w:line="440" w:lineRule="exact"/>
        <w:jc w:val="right"/>
        <w:rPr>
          <w:rFonts w:ascii="宋体"/>
          <w:color w:val="auto"/>
          <w:sz w:val="24"/>
        </w:rPr>
      </w:pPr>
      <w:r>
        <w:rPr>
          <w:rFonts w:hint="eastAsia" w:ascii="宋体"/>
          <w:color w:val="auto"/>
          <w:sz w:val="24"/>
        </w:rPr>
        <w:t>投标人法定代表人：</w:t>
      </w:r>
      <w:r>
        <w:rPr>
          <w:rFonts w:hint="eastAsia" w:ascii="宋体"/>
          <w:color w:val="auto"/>
          <w:sz w:val="24"/>
          <w:u w:val="single"/>
        </w:rPr>
        <w:t xml:space="preserve">                      </w:t>
      </w:r>
      <w:r>
        <w:rPr>
          <w:rFonts w:hint="eastAsia" w:ascii="宋体"/>
          <w:color w:val="auto"/>
          <w:sz w:val="24"/>
        </w:rPr>
        <w:t>（签字或盖章）</w:t>
      </w:r>
    </w:p>
    <w:p>
      <w:pPr>
        <w:spacing w:line="440" w:lineRule="exact"/>
        <w:ind w:firstLine="3240" w:firstLineChars="1350"/>
        <w:rPr>
          <w:rFonts w:ascii="宋体"/>
          <w:color w:val="auto"/>
          <w:sz w:val="24"/>
        </w:rPr>
      </w:pPr>
      <w:r>
        <w:rPr>
          <w:rFonts w:hint="eastAsia" w:ascii="宋体"/>
          <w:color w:val="auto"/>
          <w:sz w:val="24"/>
        </w:rPr>
        <w:t>日    期：</w:t>
      </w:r>
      <w:r>
        <w:rPr>
          <w:rFonts w:hint="eastAsia" w:ascii="宋体"/>
          <w:color w:val="auto"/>
          <w:sz w:val="24"/>
          <w:u w:val="single"/>
        </w:rPr>
        <w:t xml:space="preserve">                 </w:t>
      </w:r>
    </w:p>
    <w:p>
      <w:pPr>
        <w:spacing w:line="440" w:lineRule="exact"/>
        <w:ind w:firstLine="3240" w:firstLineChars="1350"/>
        <w:rPr>
          <w:rFonts w:ascii="宋体"/>
          <w:color w:val="auto"/>
          <w:sz w:val="24"/>
        </w:rPr>
      </w:pPr>
      <w:r>
        <w:rPr>
          <w:rFonts w:hint="eastAsia" w:ascii="宋体"/>
          <w:color w:val="auto"/>
          <w:sz w:val="24"/>
        </w:rPr>
        <w:t>通讯地址：</w:t>
      </w:r>
      <w:r>
        <w:rPr>
          <w:rFonts w:hint="eastAsia" w:ascii="宋体"/>
          <w:color w:val="auto"/>
          <w:sz w:val="24"/>
          <w:u w:val="single"/>
        </w:rPr>
        <w:t xml:space="preserve">                 </w:t>
      </w:r>
    </w:p>
    <w:p>
      <w:pPr>
        <w:spacing w:line="440" w:lineRule="exact"/>
        <w:ind w:firstLine="3240" w:firstLineChars="1350"/>
        <w:rPr>
          <w:rFonts w:ascii="宋体"/>
          <w:color w:val="auto"/>
          <w:sz w:val="24"/>
        </w:rPr>
      </w:pPr>
      <w:r>
        <w:rPr>
          <w:rFonts w:hint="eastAsia" w:ascii="宋体"/>
          <w:color w:val="auto"/>
          <w:sz w:val="24"/>
        </w:rPr>
        <w:t>电    话：</w:t>
      </w:r>
      <w:r>
        <w:rPr>
          <w:rFonts w:hint="eastAsia" w:ascii="宋体"/>
          <w:color w:val="auto"/>
          <w:sz w:val="24"/>
          <w:u w:val="single"/>
        </w:rPr>
        <w:t xml:space="preserve">                 </w:t>
      </w:r>
    </w:p>
    <w:p>
      <w:pPr>
        <w:spacing w:line="360" w:lineRule="exact"/>
        <w:rPr>
          <w:rFonts w:ascii="宋体"/>
          <w:b/>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pacing w:line="500" w:lineRule="exact"/>
        <w:jc w:val="center"/>
        <w:rPr>
          <w:rFonts w:ascii="宋体"/>
          <w:b/>
          <w:color w:val="auto"/>
          <w:sz w:val="36"/>
          <w:szCs w:val="36"/>
        </w:rPr>
      </w:pPr>
    </w:p>
    <w:p>
      <w:pPr>
        <w:spacing w:line="500" w:lineRule="exact"/>
        <w:jc w:val="center"/>
        <w:rPr>
          <w:rFonts w:ascii="宋体"/>
          <w:b/>
          <w:color w:val="auto"/>
          <w:sz w:val="36"/>
          <w:szCs w:val="36"/>
        </w:rPr>
      </w:pPr>
    </w:p>
    <w:p>
      <w:pPr>
        <w:spacing w:line="500" w:lineRule="exact"/>
        <w:jc w:val="center"/>
        <w:rPr>
          <w:rFonts w:ascii="宋体"/>
          <w:b/>
          <w:color w:val="auto"/>
          <w:sz w:val="36"/>
          <w:szCs w:val="36"/>
        </w:rPr>
      </w:pPr>
      <w:r>
        <w:rPr>
          <w:rFonts w:hint="eastAsia" w:ascii="宋体"/>
          <w:b/>
          <w:color w:val="auto"/>
          <w:sz w:val="36"/>
          <w:szCs w:val="36"/>
        </w:rPr>
        <w:t>投标人认为需要提供的其他材料（如有）</w:t>
      </w:r>
    </w:p>
    <w:bookmarkEnd w:id="560"/>
    <w:bookmarkEnd w:id="561"/>
    <w:bookmarkEnd w:id="562"/>
    <w:bookmarkEnd w:id="563"/>
    <w:bookmarkEnd w:id="564"/>
    <w:bookmarkEnd w:id="565"/>
    <w:bookmarkEnd w:id="566"/>
    <w:bookmarkEnd w:id="567"/>
    <w:p>
      <w:pPr>
        <w:pStyle w:val="3"/>
        <w:rPr>
          <w:color w:val="auto"/>
          <w:sz w:val="30"/>
          <w:szCs w:val="30"/>
        </w:rPr>
      </w:pPr>
      <w:bookmarkStart w:id="707" w:name="_Toc19487_WPSOffice_Level1"/>
      <w:bookmarkStart w:id="708" w:name="_Toc7702"/>
      <w:bookmarkStart w:id="709" w:name="_Toc14229"/>
      <w:bookmarkStart w:id="710" w:name="_Toc29328_WPSOffice_Level1"/>
      <w:bookmarkStart w:id="711" w:name="_Toc35864597"/>
      <w:bookmarkStart w:id="712" w:name="_Toc11858"/>
      <w:bookmarkStart w:id="713" w:name="_Toc150"/>
      <w:r>
        <w:rPr>
          <w:rFonts w:hint="eastAsia"/>
          <w:color w:val="auto"/>
          <w:sz w:val="30"/>
          <w:szCs w:val="30"/>
        </w:rPr>
        <w:t>第</w:t>
      </w:r>
      <w:r>
        <w:rPr>
          <w:rFonts w:hint="eastAsia"/>
          <w:color w:val="auto"/>
          <w:sz w:val="30"/>
          <w:szCs w:val="30"/>
          <w:lang w:val="en-US" w:eastAsia="zh-CN"/>
        </w:rPr>
        <w:t>七</w:t>
      </w:r>
      <w:r>
        <w:rPr>
          <w:rFonts w:hint="eastAsia"/>
          <w:color w:val="auto"/>
          <w:sz w:val="30"/>
          <w:szCs w:val="30"/>
        </w:rPr>
        <w:t>章 招标单位、代理机构对本招标文件的确认</w:t>
      </w:r>
      <w:bookmarkEnd w:id="707"/>
      <w:bookmarkEnd w:id="708"/>
      <w:bookmarkEnd w:id="709"/>
      <w:bookmarkEnd w:id="710"/>
      <w:bookmarkEnd w:id="711"/>
      <w:bookmarkEnd w:id="712"/>
      <w:bookmarkEnd w:id="713"/>
    </w:p>
    <w:tbl>
      <w:tblPr>
        <w:tblStyle w:val="5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jc w:val="center"/>
        </w:trPr>
        <w:tc>
          <w:tcPr>
            <w:tcW w:w="9880" w:type="dxa"/>
          </w:tcPr>
          <w:p>
            <w:pPr>
              <w:adjustRightInd w:val="0"/>
              <w:snapToGrid w:val="0"/>
              <w:spacing w:line="560" w:lineRule="exact"/>
              <w:rPr>
                <w:rFonts w:ascii="宋体" w:cs="宋体"/>
                <w:color w:val="auto"/>
                <w:sz w:val="28"/>
                <w:szCs w:val="28"/>
              </w:rPr>
            </w:pPr>
          </w:p>
          <w:p>
            <w:pPr>
              <w:widowControl/>
              <w:spacing w:line="360" w:lineRule="auto"/>
              <w:ind w:firstLine="600"/>
              <w:jc w:val="left"/>
              <w:rPr>
                <w:rFonts w:ascii="宋体" w:cs="宋体"/>
                <w:color w:val="auto"/>
                <w:sz w:val="28"/>
                <w:szCs w:val="28"/>
              </w:rPr>
            </w:pPr>
            <w:r>
              <w:rPr>
                <w:rFonts w:hint="eastAsia" w:ascii="宋体" w:hAnsi="宋体" w:cs="宋体"/>
                <w:color w:val="auto"/>
                <w:sz w:val="28"/>
                <w:szCs w:val="28"/>
              </w:rPr>
              <w:t>我单位对</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滁州市第二人民医院中央空调维护保养项目</w:t>
            </w:r>
            <w:r>
              <w:rPr>
                <w:rFonts w:hint="eastAsia" w:ascii="宋体" w:hAnsi="宋体" w:cs="宋体"/>
                <w:color w:val="auto"/>
                <w:sz w:val="28"/>
                <w:szCs w:val="28"/>
                <w:u w:val="single"/>
              </w:rPr>
              <w:t xml:space="preserve">  </w:t>
            </w:r>
            <w:r>
              <w:rPr>
                <w:rFonts w:hint="eastAsia" w:ascii="宋体" w:hAnsi="宋体" w:cs="宋体"/>
                <w:color w:val="auto"/>
                <w:sz w:val="28"/>
                <w:szCs w:val="28"/>
              </w:rPr>
              <w:t>的招标文件进行确认。</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招标人：</w:t>
            </w:r>
            <w:r>
              <w:rPr>
                <w:rFonts w:hint="eastAsia" w:hAnsi="宋体" w:cs="宋体"/>
                <w:color w:val="auto"/>
                <w:sz w:val="28"/>
                <w:szCs w:val="28"/>
                <w:shd w:val="clear" w:color="auto" w:fill="FFFFFF"/>
              </w:rPr>
              <w:t>滁州市第二人民医院（市传染病医院、市精神病医院）</w:t>
            </w:r>
            <w:r>
              <w:rPr>
                <w:rFonts w:hint="eastAsia" w:ascii="宋体" w:hAnsi="宋体"/>
                <w:color w:val="auto"/>
                <w:sz w:val="28"/>
                <w:szCs w:val="28"/>
              </w:rPr>
              <w:t xml:space="preserve">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联系</w:t>
            </w:r>
            <w:r>
              <w:rPr>
                <w:rFonts w:hint="eastAsia" w:ascii="宋体" w:hAnsi="宋体" w:cs="宋体"/>
                <w:color w:val="auto"/>
                <w:sz w:val="28"/>
                <w:szCs w:val="28"/>
                <w:shd w:val="clear" w:color="auto" w:fill="FFFFFF"/>
              </w:rPr>
              <w:t>人：</w:t>
            </w:r>
            <w:r>
              <w:rPr>
                <w:rFonts w:hint="eastAsia" w:ascii="宋体" w:hAnsi="宋体" w:cs="宋体"/>
                <w:color w:val="auto"/>
                <w:sz w:val="28"/>
                <w:szCs w:val="28"/>
                <w:shd w:val="clear" w:color="auto" w:fill="FFFFFF"/>
                <w:lang w:eastAsia="zh-CN"/>
              </w:rPr>
              <w:t>招标办</w:t>
            </w:r>
            <w:r>
              <w:rPr>
                <w:rFonts w:hint="eastAsia" w:ascii="宋体" w:hAnsi="宋体" w:cs="宋体"/>
                <w:color w:val="auto"/>
                <w:sz w:val="28"/>
                <w:szCs w:val="28"/>
                <w:shd w:val="clear" w:color="auto" w:fill="FFFFFF"/>
              </w:rPr>
              <w:t xml:space="preserve">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联系电话：</w:t>
            </w:r>
            <w:r>
              <w:rPr>
                <w:rFonts w:hint="eastAsia" w:hAnsi="宋体" w:cs="宋体"/>
                <w:color w:val="auto"/>
                <w:sz w:val="28"/>
                <w:szCs w:val="28"/>
                <w:shd w:val="clear" w:color="auto" w:fill="FFFFFF"/>
              </w:rPr>
              <w:t xml:space="preserve">0550-3523822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                              </w:t>
            </w:r>
          </w:p>
          <w:p>
            <w:pPr>
              <w:pStyle w:val="50"/>
              <w:ind w:left="0" w:leftChars="0" w:firstLine="0" w:firstLineChars="0"/>
              <w:rPr>
                <w:color w:val="auto"/>
                <w:sz w:val="28"/>
                <w:szCs w:val="28"/>
              </w:rPr>
            </w:pP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                                        </w:t>
            </w:r>
          </w:p>
          <w:p>
            <w:pPr>
              <w:spacing w:line="560" w:lineRule="exact"/>
              <w:ind w:firstLine="280" w:firstLineChars="100"/>
              <w:jc w:val="right"/>
              <w:rPr>
                <w:rFonts w:ascii="宋体" w:hAnsi="宋体" w:cs="宋体"/>
                <w:color w:val="auto"/>
                <w:sz w:val="28"/>
                <w:szCs w:val="28"/>
              </w:rPr>
            </w:pPr>
            <w:r>
              <w:rPr>
                <w:rFonts w:hint="eastAsia" w:ascii="宋体" w:hAnsi="宋体" w:cs="宋体"/>
                <w:color w:val="auto"/>
                <w:sz w:val="28"/>
                <w:szCs w:val="28"/>
              </w:rPr>
              <w:t>（盖章）</w:t>
            </w:r>
          </w:p>
          <w:p>
            <w:pPr>
              <w:spacing w:line="560" w:lineRule="exact"/>
              <w:ind w:firstLine="280" w:firstLineChars="100"/>
              <w:jc w:val="right"/>
              <w:rPr>
                <w:color w:val="auto"/>
                <w:sz w:val="28"/>
                <w:szCs w:val="28"/>
              </w:rPr>
            </w:pPr>
            <w:r>
              <w:rPr>
                <w:rFonts w:hint="eastAsia" w:ascii="宋体" w:hAnsi="宋体" w:cs="宋体"/>
                <w:color w:val="auto"/>
                <w:sz w:val="28"/>
                <w:szCs w:val="28"/>
              </w:rPr>
              <w:t xml:space="preserve">          2024年</w:t>
            </w:r>
            <w:r>
              <w:rPr>
                <w:rFonts w:hint="eastAsia" w:ascii="宋体" w:hAnsi="宋体" w:cs="宋体"/>
                <w:color w:val="auto"/>
                <w:sz w:val="28"/>
                <w:szCs w:val="28"/>
                <w:lang w:val="en-US" w:eastAsia="zh-CN"/>
              </w:rPr>
              <w:t>6</w:t>
            </w:r>
            <w:r>
              <w:rPr>
                <w:rFonts w:hint="eastAsia" w:ascii="宋体" w:hAnsi="宋体" w:cs="宋体"/>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9880" w:type="dxa"/>
          </w:tcPr>
          <w:p>
            <w:pPr>
              <w:spacing w:line="560" w:lineRule="exact"/>
              <w:ind w:firstLine="560" w:firstLineChars="200"/>
              <w:rPr>
                <w:rFonts w:ascii="宋体" w:cs="宋体"/>
                <w:color w:val="auto"/>
                <w:sz w:val="28"/>
                <w:szCs w:val="28"/>
              </w:rPr>
            </w:pP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招标代理机构：江苏川页工程项目管理有限公司   </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经办人：赵建飞</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联系电话：18755018236</w:t>
            </w:r>
          </w:p>
          <w:p>
            <w:pPr>
              <w:spacing w:line="560" w:lineRule="exact"/>
              <w:ind w:firstLine="280" w:firstLineChars="100"/>
              <w:rPr>
                <w:rFonts w:ascii="宋体" w:hAnsi="宋体" w:cs="宋体"/>
                <w:color w:val="auto"/>
                <w:sz w:val="28"/>
                <w:szCs w:val="28"/>
              </w:rPr>
            </w:pPr>
            <w:r>
              <w:rPr>
                <w:rFonts w:hint="eastAsia" w:ascii="宋体" w:hAnsi="宋体" w:cs="宋体"/>
                <w:color w:val="auto"/>
                <w:sz w:val="28"/>
                <w:szCs w:val="28"/>
              </w:rPr>
              <w:t xml:space="preserve">                                  </w:t>
            </w:r>
          </w:p>
          <w:p>
            <w:pPr>
              <w:spacing w:line="560" w:lineRule="exact"/>
              <w:ind w:firstLine="280" w:firstLineChars="100"/>
              <w:rPr>
                <w:rFonts w:ascii="宋体" w:hAnsi="宋体" w:cs="宋体"/>
                <w:color w:val="auto"/>
                <w:sz w:val="28"/>
                <w:szCs w:val="28"/>
              </w:rPr>
            </w:pPr>
          </w:p>
          <w:p>
            <w:pPr>
              <w:pStyle w:val="4"/>
              <w:rPr>
                <w:color w:val="auto"/>
              </w:rPr>
            </w:pPr>
          </w:p>
          <w:p>
            <w:pPr>
              <w:spacing w:line="560" w:lineRule="exact"/>
              <w:ind w:firstLine="280" w:firstLineChars="100"/>
              <w:jc w:val="right"/>
              <w:rPr>
                <w:rFonts w:ascii="宋体" w:hAnsi="宋体" w:cs="宋体"/>
                <w:color w:val="auto"/>
                <w:sz w:val="28"/>
                <w:szCs w:val="28"/>
              </w:rPr>
            </w:pPr>
            <w:r>
              <w:rPr>
                <w:rFonts w:hint="eastAsia" w:ascii="宋体" w:hAnsi="宋体" w:cs="宋体"/>
                <w:color w:val="auto"/>
                <w:sz w:val="28"/>
                <w:szCs w:val="28"/>
              </w:rPr>
              <w:t xml:space="preserve">                                          （单位盖章）</w:t>
            </w:r>
          </w:p>
          <w:p>
            <w:pPr>
              <w:spacing w:line="560" w:lineRule="exact"/>
              <w:ind w:firstLine="6300" w:firstLineChars="2250"/>
              <w:jc w:val="right"/>
              <w:rPr>
                <w:color w:val="auto"/>
                <w:sz w:val="28"/>
                <w:szCs w:val="28"/>
              </w:rPr>
            </w:pPr>
            <w:r>
              <w:rPr>
                <w:rFonts w:hint="eastAsia" w:ascii="宋体" w:hAnsi="宋体" w:cs="宋体"/>
                <w:color w:val="auto"/>
                <w:sz w:val="28"/>
                <w:szCs w:val="28"/>
              </w:rPr>
              <w:t xml:space="preserve">       2024年</w:t>
            </w:r>
            <w:r>
              <w:rPr>
                <w:rFonts w:hint="eastAsia" w:ascii="宋体" w:hAnsi="宋体" w:cs="宋体"/>
                <w:color w:val="auto"/>
                <w:sz w:val="28"/>
                <w:szCs w:val="28"/>
                <w:lang w:val="en-US" w:eastAsia="zh-CN"/>
              </w:rPr>
              <w:t>6</w:t>
            </w:r>
            <w:r>
              <w:rPr>
                <w:rFonts w:hint="eastAsia" w:ascii="宋体" w:hAnsi="宋体" w:cs="宋体"/>
                <w:color w:val="auto"/>
                <w:sz w:val="28"/>
                <w:szCs w:val="28"/>
              </w:rPr>
              <w:t>月</w:t>
            </w:r>
          </w:p>
        </w:tc>
      </w:tr>
    </w:tbl>
    <w:p>
      <w:pPr>
        <w:jc w:val="left"/>
        <w:rPr>
          <w:rFonts w:ascii="宋体" w:hAnsi="宋体" w:cs="宋体"/>
          <w:color w:val="auto"/>
          <w:sz w:val="28"/>
          <w:szCs w:val="28"/>
        </w:rPr>
      </w:pPr>
    </w:p>
    <w:sectPr>
      <w:headerReference r:id="rId8" w:type="default"/>
      <w:footerReference r:id="rId9" w:type="default"/>
      <w:pgSz w:w="11906" w:h="16838"/>
      <w:pgMar w:top="1134" w:right="1361" w:bottom="1077" w:left="1361"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p>
    <w:pPr>
      <w:pStyle w:val="29"/>
      <w:jc w:val="center"/>
      <w:rPr>
        <w:rFonts w:ascii="黑体" w:eastAsia="黑体"/>
        <w:b/>
        <w:bCs/>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黑体" w:eastAsia="黑体"/>
        <w:b/>
        <w:bCs/>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WcUuzAEAAJw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7348D"/>
    <w:multiLevelType w:val="singleLevel"/>
    <w:tmpl w:val="AC17348D"/>
    <w:lvl w:ilvl="0" w:tentative="0">
      <w:start w:val="1"/>
      <w:numFmt w:val="decimal"/>
      <w:lvlText w:val="%1."/>
      <w:lvlJc w:val="left"/>
      <w:pPr>
        <w:tabs>
          <w:tab w:val="left" w:pos="312"/>
        </w:tabs>
      </w:pPr>
    </w:lvl>
  </w:abstractNum>
  <w:abstractNum w:abstractNumId="1">
    <w:nsid w:val="45F89BED"/>
    <w:multiLevelType w:val="singleLevel"/>
    <w:tmpl w:val="45F89BED"/>
    <w:lvl w:ilvl="0" w:tentative="0">
      <w:start w:val="1"/>
      <w:numFmt w:val="decimal"/>
      <w:lvlText w:val="%1."/>
      <w:lvlJc w:val="left"/>
      <w:pPr>
        <w:ind w:left="425" w:hanging="425"/>
      </w:pPr>
      <w:rPr>
        <w:rFonts w:hint="default"/>
      </w:rPr>
    </w:lvl>
  </w:abstractNum>
  <w:abstractNum w:abstractNumId="2">
    <w:nsid w:val="617FFA09"/>
    <w:multiLevelType w:val="singleLevel"/>
    <w:tmpl w:val="617FFA0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 w:name="KSO_WPS_MARK_KEY" w:val="271179cf-a07a-4519-8064-711ee7006a07"/>
  </w:docVars>
  <w:rsids>
    <w:rsidRoot w:val="00172A27"/>
    <w:rsid w:val="00000F03"/>
    <w:rsid w:val="0000102C"/>
    <w:rsid w:val="00002296"/>
    <w:rsid w:val="00003341"/>
    <w:rsid w:val="00006820"/>
    <w:rsid w:val="0000765B"/>
    <w:rsid w:val="000133FD"/>
    <w:rsid w:val="00013CDB"/>
    <w:rsid w:val="000149CE"/>
    <w:rsid w:val="00014BE3"/>
    <w:rsid w:val="000152EF"/>
    <w:rsid w:val="00015E33"/>
    <w:rsid w:val="000163F2"/>
    <w:rsid w:val="0002000D"/>
    <w:rsid w:val="000210A3"/>
    <w:rsid w:val="00021731"/>
    <w:rsid w:val="0002303F"/>
    <w:rsid w:val="00024BEA"/>
    <w:rsid w:val="00025652"/>
    <w:rsid w:val="00027350"/>
    <w:rsid w:val="000275A3"/>
    <w:rsid w:val="00027B66"/>
    <w:rsid w:val="000301A2"/>
    <w:rsid w:val="0003022F"/>
    <w:rsid w:val="00030431"/>
    <w:rsid w:val="00031287"/>
    <w:rsid w:val="0003176B"/>
    <w:rsid w:val="000346D8"/>
    <w:rsid w:val="00034D00"/>
    <w:rsid w:val="000369B9"/>
    <w:rsid w:val="00036E1B"/>
    <w:rsid w:val="00037222"/>
    <w:rsid w:val="00041DC0"/>
    <w:rsid w:val="00043152"/>
    <w:rsid w:val="000455A4"/>
    <w:rsid w:val="00045A6A"/>
    <w:rsid w:val="000466F8"/>
    <w:rsid w:val="0004671B"/>
    <w:rsid w:val="00047776"/>
    <w:rsid w:val="000520E9"/>
    <w:rsid w:val="000534C0"/>
    <w:rsid w:val="00055AD6"/>
    <w:rsid w:val="0005658A"/>
    <w:rsid w:val="00056830"/>
    <w:rsid w:val="00056A2D"/>
    <w:rsid w:val="00056E3D"/>
    <w:rsid w:val="00061677"/>
    <w:rsid w:val="00063BED"/>
    <w:rsid w:val="00063C44"/>
    <w:rsid w:val="0006566F"/>
    <w:rsid w:val="0006584B"/>
    <w:rsid w:val="00065940"/>
    <w:rsid w:val="00065AAB"/>
    <w:rsid w:val="00070B50"/>
    <w:rsid w:val="00071845"/>
    <w:rsid w:val="000738CE"/>
    <w:rsid w:val="00077AAD"/>
    <w:rsid w:val="00080440"/>
    <w:rsid w:val="00080971"/>
    <w:rsid w:val="000818D5"/>
    <w:rsid w:val="000826E7"/>
    <w:rsid w:val="0008469B"/>
    <w:rsid w:val="0008521D"/>
    <w:rsid w:val="00085D26"/>
    <w:rsid w:val="00086AF9"/>
    <w:rsid w:val="00087577"/>
    <w:rsid w:val="00090F13"/>
    <w:rsid w:val="0009199E"/>
    <w:rsid w:val="00091D2B"/>
    <w:rsid w:val="0009306E"/>
    <w:rsid w:val="000944D8"/>
    <w:rsid w:val="00094759"/>
    <w:rsid w:val="00096398"/>
    <w:rsid w:val="00096946"/>
    <w:rsid w:val="000A0086"/>
    <w:rsid w:val="000A1B93"/>
    <w:rsid w:val="000A2A89"/>
    <w:rsid w:val="000A318B"/>
    <w:rsid w:val="000A3A88"/>
    <w:rsid w:val="000A4579"/>
    <w:rsid w:val="000A48D0"/>
    <w:rsid w:val="000A7358"/>
    <w:rsid w:val="000A77AA"/>
    <w:rsid w:val="000B026F"/>
    <w:rsid w:val="000B02B3"/>
    <w:rsid w:val="000B41C7"/>
    <w:rsid w:val="000B4E0B"/>
    <w:rsid w:val="000B5789"/>
    <w:rsid w:val="000B5D69"/>
    <w:rsid w:val="000B609D"/>
    <w:rsid w:val="000B734D"/>
    <w:rsid w:val="000B767F"/>
    <w:rsid w:val="000B7C36"/>
    <w:rsid w:val="000C2ACE"/>
    <w:rsid w:val="000C3844"/>
    <w:rsid w:val="000C423F"/>
    <w:rsid w:val="000C4FA9"/>
    <w:rsid w:val="000C5DC5"/>
    <w:rsid w:val="000C7A2C"/>
    <w:rsid w:val="000D069B"/>
    <w:rsid w:val="000D15D2"/>
    <w:rsid w:val="000D18C0"/>
    <w:rsid w:val="000D1BC7"/>
    <w:rsid w:val="000D2370"/>
    <w:rsid w:val="000D2998"/>
    <w:rsid w:val="000D2DEB"/>
    <w:rsid w:val="000D4F76"/>
    <w:rsid w:val="000D5B18"/>
    <w:rsid w:val="000E1E50"/>
    <w:rsid w:val="000E47C8"/>
    <w:rsid w:val="000E521D"/>
    <w:rsid w:val="000E6FF8"/>
    <w:rsid w:val="000F069A"/>
    <w:rsid w:val="000F0C54"/>
    <w:rsid w:val="000F1705"/>
    <w:rsid w:val="000F195C"/>
    <w:rsid w:val="000F1B02"/>
    <w:rsid w:val="000F294F"/>
    <w:rsid w:val="000F2FFA"/>
    <w:rsid w:val="000F309A"/>
    <w:rsid w:val="000F3685"/>
    <w:rsid w:val="000F36ED"/>
    <w:rsid w:val="000F3D46"/>
    <w:rsid w:val="000F5817"/>
    <w:rsid w:val="000F6B36"/>
    <w:rsid w:val="000F6D52"/>
    <w:rsid w:val="0010017C"/>
    <w:rsid w:val="00102075"/>
    <w:rsid w:val="00102231"/>
    <w:rsid w:val="00102B71"/>
    <w:rsid w:val="0010493B"/>
    <w:rsid w:val="00104F30"/>
    <w:rsid w:val="0010777D"/>
    <w:rsid w:val="001106F4"/>
    <w:rsid w:val="00113041"/>
    <w:rsid w:val="0011328D"/>
    <w:rsid w:val="0011593A"/>
    <w:rsid w:val="00116B46"/>
    <w:rsid w:val="00117639"/>
    <w:rsid w:val="001204FF"/>
    <w:rsid w:val="001205BC"/>
    <w:rsid w:val="00120BCE"/>
    <w:rsid w:val="00121F96"/>
    <w:rsid w:val="00124902"/>
    <w:rsid w:val="00124A35"/>
    <w:rsid w:val="001262D5"/>
    <w:rsid w:val="00126B13"/>
    <w:rsid w:val="00132AAF"/>
    <w:rsid w:val="0013331F"/>
    <w:rsid w:val="0013358F"/>
    <w:rsid w:val="001335D9"/>
    <w:rsid w:val="00133BE1"/>
    <w:rsid w:val="001347A9"/>
    <w:rsid w:val="00135313"/>
    <w:rsid w:val="00136C6C"/>
    <w:rsid w:val="001377FE"/>
    <w:rsid w:val="00140703"/>
    <w:rsid w:val="0014118D"/>
    <w:rsid w:val="001423BD"/>
    <w:rsid w:val="0014526A"/>
    <w:rsid w:val="00146FE8"/>
    <w:rsid w:val="00147D4A"/>
    <w:rsid w:val="00152C59"/>
    <w:rsid w:val="00153023"/>
    <w:rsid w:val="00153877"/>
    <w:rsid w:val="00153D68"/>
    <w:rsid w:val="00154767"/>
    <w:rsid w:val="00155483"/>
    <w:rsid w:val="0015793D"/>
    <w:rsid w:val="00161FAA"/>
    <w:rsid w:val="00164B9C"/>
    <w:rsid w:val="001653B4"/>
    <w:rsid w:val="001669A2"/>
    <w:rsid w:val="00166E69"/>
    <w:rsid w:val="00167272"/>
    <w:rsid w:val="00167E01"/>
    <w:rsid w:val="00167FF5"/>
    <w:rsid w:val="00170CC2"/>
    <w:rsid w:val="0017116A"/>
    <w:rsid w:val="00171479"/>
    <w:rsid w:val="00171A33"/>
    <w:rsid w:val="00172644"/>
    <w:rsid w:val="00172A27"/>
    <w:rsid w:val="00176EEA"/>
    <w:rsid w:val="00177929"/>
    <w:rsid w:val="00177A7A"/>
    <w:rsid w:val="00177B8F"/>
    <w:rsid w:val="00182E57"/>
    <w:rsid w:val="00184289"/>
    <w:rsid w:val="00184ABA"/>
    <w:rsid w:val="001858BE"/>
    <w:rsid w:val="00185A56"/>
    <w:rsid w:val="001864BC"/>
    <w:rsid w:val="00187590"/>
    <w:rsid w:val="00190C31"/>
    <w:rsid w:val="00191140"/>
    <w:rsid w:val="0019139D"/>
    <w:rsid w:val="001918E9"/>
    <w:rsid w:val="00192BDE"/>
    <w:rsid w:val="00193CE6"/>
    <w:rsid w:val="00194B8E"/>
    <w:rsid w:val="00195E66"/>
    <w:rsid w:val="001961BA"/>
    <w:rsid w:val="001975C9"/>
    <w:rsid w:val="001A0716"/>
    <w:rsid w:val="001A343D"/>
    <w:rsid w:val="001A435B"/>
    <w:rsid w:val="001A4465"/>
    <w:rsid w:val="001A5FB8"/>
    <w:rsid w:val="001A6F91"/>
    <w:rsid w:val="001B1526"/>
    <w:rsid w:val="001B1BD2"/>
    <w:rsid w:val="001B3012"/>
    <w:rsid w:val="001B520E"/>
    <w:rsid w:val="001B5BEF"/>
    <w:rsid w:val="001B6816"/>
    <w:rsid w:val="001B7766"/>
    <w:rsid w:val="001C22BC"/>
    <w:rsid w:val="001C5534"/>
    <w:rsid w:val="001C6CAF"/>
    <w:rsid w:val="001C7C71"/>
    <w:rsid w:val="001D06AD"/>
    <w:rsid w:val="001D2114"/>
    <w:rsid w:val="001D318D"/>
    <w:rsid w:val="001D5590"/>
    <w:rsid w:val="001D693B"/>
    <w:rsid w:val="001D70EE"/>
    <w:rsid w:val="001D7320"/>
    <w:rsid w:val="001D73C1"/>
    <w:rsid w:val="001D7424"/>
    <w:rsid w:val="001D750D"/>
    <w:rsid w:val="001E00E0"/>
    <w:rsid w:val="001E0EF7"/>
    <w:rsid w:val="001E191A"/>
    <w:rsid w:val="001E33F3"/>
    <w:rsid w:val="001E3C44"/>
    <w:rsid w:val="001E3DE5"/>
    <w:rsid w:val="001E452F"/>
    <w:rsid w:val="001E4B4F"/>
    <w:rsid w:val="001E535B"/>
    <w:rsid w:val="001E56A2"/>
    <w:rsid w:val="001E6B1C"/>
    <w:rsid w:val="001E6CD4"/>
    <w:rsid w:val="001E6FE6"/>
    <w:rsid w:val="001E6FFF"/>
    <w:rsid w:val="001F0084"/>
    <w:rsid w:val="001F064B"/>
    <w:rsid w:val="001F1335"/>
    <w:rsid w:val="001F16F3"/>
    <w:rsid w:val="001F1743"/>
    <w:rsid w:val="001F1CE0"/>
    <w:rsid w:val="001F2980"/>
    <w:rsid w:val="001F3B7C"/>
    <w:rsid w:val="001F403F"/>
    <w:rsid w:val="001F4495"/>
    <w:rsid w:val="001F471C"/>
    <w:rsid w:val="001F5059"/>
    <w:rsid w:val="001F50BB"/>
    <w:rsid w:val="001F7A46"/>
    <w:rsid w:val="0020030D"/>
    <w:rsid w:val="00200A9A"/>
    <w:rsid w:val="00202078"/>
    <w:rsid w:val="00202131"/>
    <w:rsid w:val="0020229E"/>
    <w:rsid w:val="002026A6"/>
    <w:rsid w:val="00203622"/>
    <w:rsid w:val="00203E74"/>
    <w:rsid w:val="002069FA"/>
    <w:rsid w:val="00207055"/>
    <w:rsid w:val="002075D4"/>
    <w:rsid w:val="00207958"/>
    <w:rsid w:val="002103CB"/>
    <w:rsid w:val="00210CEC"/>
    <w:rsid w:val="00211704"/>
    <w:rsid w:val="002125CB"/>
    <w:rsid w:val="0021262F"/>
    <w:rsid w:val="00217547"/>
    <w:rsid w:val="00220B91"/>
    <w:rsid w:val="002217F8"/>
    <w:rsid w:val="00225794"/>
    <w:rsid w:val="00225D3C"/>
    <w:rsid w:val="00227089"/>
    <w:rsid w:val="002306F3"/>
    <w:rsid w:val="00230AE3"/>
    <w:rsid w:val="00230C04"/>
    <w:rsid w:val="002314D2"/>
    <w:rsid w:val="0023165F"/>
    <w:rsid w:val="0023272C"/>
    <w:rsid w:val="00233E6F"/>
    <w:rsid w:val="00234A29"/>
    <w:rsid w:val="002361C8"/>
    <w:rsid w:val="002364B7"/>
    <w:rsid w:val="0023659C"/>
    <w:rsid w:val="00237147"/>
    <w:rsid w:val="00237352"/>
    <w:rsid w:val="002374BB"/>
    <w:rsid w:val="00237506"/>
    <w:rsid w:val="00240600"/>
    <w:rsid w:val="002417C1"/>
    <w:rsid w:val="00242BA3"/>
    <w:rsid w:val="00243C2B"/>
    <w:rsid w:val="00244312"/>
    <w:rsid w:val="00247A47"/>
    <w:rsid w:val="00247C5C"/>
    <w:rsid w:val="00250167"/>
    <w:rsid w:val="00251029"/>
    <w:rsid w:val="0025449E"/>
    <w:rsid w:val="0025467B"/>
    <w:rsid w:val="002551F6"/>
    <w:rsid w:val="002554CE"/>
    <w:rsid w:val="00255771"/>
    <w:rsid w:val="00255A95"/>
    <w:rsid w:val="002572D8"/>
    <w:rsid w:val="00260EB0"/>
    <w:rsid w:val="00262F82"/>
    <w:rsid w:val="00264BBB"/>
    <w:rsid w:val="00265844"/>
    <w:rsid w:val="002667A5"/>
    <w:rsid w:val="00266FC3"/>
    <w:rsid w:val="002676DA"/>
    <w:rsid w:val="00270D00"/>
    <w:rsid w:val="00271288"/>
    <w:rsid w:val="00272A64"/>
    <w:rsid w:val="002731BD"/>
    <w:rsid w:val="0027387D"/>
    <w:rsid w:val="0027549B"/>
    <w:rsid w:val="00276C5E"/>
    <w:rsid w:val="00277233"/>
    <w:rsid w:val="002776CD"/>
    <w:rsid w:val="002803FA"/>
    <w:rsid w:val="00281D13"/>
    <w:rsid w:val="002827C7"/>
    <w:rsid w:val="00283A63"/>
    <w:rsid w:val="0028592E"/>
    <w:rsid w:val="002859F8"/>
    <w:rsid w:val="0028605D"/>
    <w:rsid w:val="00286788"/>
    <w:rsid w:val="0028772F"/>
    <w:rsid w:val="002905A9"/>
    <w:rsid w:val="002929A8"/>
    <w:rsid w:val="00293E15"/>
    <w:rsid w:val="00295785"/>
    <w:rsid w:val="00295C9B"/>
    <w:rsid w:val="00297553"/>
    <w:rsid w:val="00297DCF"/>
    <w:rsid w:val="002A0361"/>
    <w:rsid w:val="002A046B"/>
    <w:rsid w:val="002A3922"/>
    <w:rsid w:val="002A4679"/>
    <w:rsid w:val="002A47B5"/>
    <w:rsid w:val="002A47BA"/>
    <w:rsid w:val="002A65E6"/>
    <w:rsid w:val="002A7F0C"/>
    <w:rsid w:val="002B1205"/>
    <w:rsid w:val="002B16F4"/>
    <w:rsid w:val="002B1B17"/>
    <w:rsid w:val="002B3094"/>
    <w:rsid w:val="002B4D0B"/>
    <w:rsid w:val="002B651F"/>
    <w:rsid w:val="002B675A"/>
    <w:rsid w:val="002C11D0"/>
    <w:rsid w:val="002C40AB"/>
    <w:rsid w:val="002C5707"/>
    <w:rsid w:val="002C6355"/>
    <w:rsid w:val="002D0466"/>
    <w:rsid w:val="002D21A0"/>
    <w:rsid w:val="002D3B50"/>
    <w:rsid w:val="002D500A"/>
    <w:rsid w:val="002D619C"/>
    <w:rsid w:val="002D7D16"/>
    <w:rsid w:val="002E0AA9"/>
    <w:rsid w:val="002E2295"/>
    <w:rsid w:val="002E31E3"/>
    <w:rsid w:val="002E349E"/>
    <w:rsid w:val="002E5DF0"/>
    <w:rsid w:val="002E6A21"/>
    <w:rsid w:val="002E6C2C"/>
    <w:rsid w:val="002E6EA9"/>
    <w:rsid w:val="002E74CD"/>
    <w:rsid w:val="002F04F4"/>
    <w:rsid w:val="002F0F7B"/>
    <w:rsid w:val="002F1AD0"/>
    <w:rsid w:val="002F1B12"/>
    <w:rsid w:val="002F2ADD"/>
    <w:rsid w:val="002F3CA0"/>
    <w:rsid w:val="002F4C7B"/>
    <w:rsid w:val="002F5F35"/>
    <w:rsid w:val="0030036D"/>
    <w:rsid w:val="00301E56"/>
    <w:rsid w:val="00302DA4"/>
    <w:rsid w:val="00303C49"/>
    <w:rsid w:val="003043D3"/>
    <w:rsid w:val="00304853"/>
    <w:rsid w:val="00305612"/>
    <w:rsid w:val="00306E36"/>
    <w:rsid w:val="00310228"/>
    <w:rsid w:val="00310232"/>
    <w:rsid w:val="00311D50"/>
    <w:rsid w:val="003138BA"/>
    <w:rsid w:val="003141E9"/>
    <w:rsid w:val="003158DD"/>
    <w:rsid w:val="003169B1"/>
    <w:rsid w:val="0031701A"/>
    <w:rsid w:val="0031777C"/>
    <w:rsid w:val="00320EB5"/>
    <w:rsid w:val="00321760"/>
    <w:rsid w:val="00321CF0"/>
    <w:rsid w:val="003222D9"/>
    <w:rsid w:val="00323DA3"/>
    <w:rsid w:val="00323F93"/>
    <w:rsid w:val="003247E8"/>
    <w:rsid w:val="00324A98"/>
    <w:rsid w:val="00324C0D"/>
    <w:rsid w:val="00324D18"/>
    <w:rsid w:val="0032587D"/>
    <w:rsid w:val="00326B4A"/>
    <w:rsid w:val="003302B5"/>
    <w:rsid w:val="003302C4"/>
    <w:rsid w:val="0033132E"/>
    <w:rsid w:val="0033158A"/>
    <w:rsid w:val="00331F03"/>
    <w:rsid w:val="003342B7"/>
    <w:rsid w:val="00335113"/>
    <w:rsid w:val="0033662A"/>
    <w:rsid w:val="00337E67"/>
    <w:rsid w:val="003401B5"/>
    <w:rsid w:val="00342330"/>
    <w:rsid w:val="00344118"/>
    <w:rsid w:val="00344273"/>
    <w:rsid w:val="003443AF"/>
    <w:rsid w:val="0034546A"/>
    <w:rsid w:val="00346627"/>
    <w:rsid w:val="00346C50"/>
    <w:rsid w:val="00346EA4"/>
    <w:rsid w:val="003475EF"/>
    <w:rsid w:val="00347664"/>
    <w:rsid w:val="003511A6"/>
    <w:rsid w:val="00351636"/>
    <w:rsid w:val="003524FA"/>
    <w:rsid w:val="003536AA"/>
    <w:rsid w:val="00355A17"/>
    <w:rsid w:val="0035744E"/>
    <w:rsid w:val="00360343"/>
    <w:rsid w:val="00360FCD"/>
    <w:rsid w:val="00364C68"/>
    <w:rsid w:val="00364E31"/>
    <w:rsid w:val="00365426"/>
    <w:rsid w:val="003663FF"/>
    <w:rsid w:val="0036743A"/>
    <w:rsid w:val="00371602"/>
    <w:rsid w:val="00371A69"/>
    <w:rsid w:val="00371DCC"/>
    <w:rsid w:val="00372DA3"/>
    <w:rsid w:val="00372FCD"/>
    <w:rsid w:val="0037516A"/>
    <w:rsid w:val="00375399"/>
    <w:rsid w:val="003761A0"/>
    <w:rsid w:val="003761C3"/>
    <w:rsid w:val="0037637D"/>
    <w:rsid w:val="00376403"/>
    <w:rsid w:val="0038095F"/>
    <w:rsid w:val="00382134"/>
    <w:rsid w:val="00383809"/>
    <w:rsid w:val="0038572D"/>
    <w:rsid w:val="00390F55"/>
    <w:rsid w:val="003937D5"/>
    <w:rsid w:val="003943F6"/>
    <w:rsid w:val="00395BBA"/>
    <w:rsid w:val="0039655F"/>
    <w:rsid w:val="00397438"/>
    <w:rsid w:val="003975C9"/>
    <w:rsid w:val="00397B4E"/>
    <w:rsid w:val="003A0B6C"/>
    <w:rsid w:val="003A0C50"/>
    <w:rsid w:val="003A1E88"/>
    <w:rsid w:val="003A20C8"/>
    <w:rsid w:val="003A262E"/>
    <w:rsid w:val="003A2D98"/>
    <w:rsid w:val="003A3492"/>
    <w:rsid w:val="003A644A"/>
    <w:rsid w:val="003A7366"/>
    <w:rsid w:val="003B0EB7"/>
    <w:rsid w:val="003B2002"/>
    <w:rsid w:val="003B2911"/>
    <w:rsid w:val="003B4EF8"/>
    <w:rsid w:val="003B5149"/>
    <w:rsid w:val="003C03B5"/>
    <w:rsid w:val="003C22A2"/>
    <w:rsid w:val="003C2A63"/>
    <w:rsid w:val="003C44C4"/>
    <w:rsid w:val="003C5296"/>
    <w:rsid w:val="003C59FB"/>
    <w:rsid w:val="003C5D63"/>
    <w:rsid w:val="003D17A0"/>
    <w:rsid w:val="003D26E9"/>
    <w:rsid w:val="003D4696"/>
    <w:rsid w:val="003D7923"/>
    <w:rsid w:val="003D7DB9"/>
    <w:rsid w:val="003E2E02"/>
    <w:rsid w:val="003E2FF1"/>
    <w:rsid w:val="003E373D"/>
    <w:rsid w:val="003E68BB"/>
    <w:rsid w:val="003E6AC9"/>
    <w:rsid w:val="003E6F9D"/>
    <w:rsid w:val="003E74A0"/>
    <w:rsid w:val="003E7AC5"/>
    <w:rsid w:val="003F0472"/>
    <w:rsid w:val="003F09CD"/>
    <w:rsid w:val="003F0FFD"/>
    <w:rsid w:val="003F17A7"/>
    <w:rsid w:val="003F20F4"/>
    <w:rsid w:val="003F41C1"/>
    <w:rsid w:val="003F5BC4"/>
    <w:rsid w:val="003F79A3"/>
    <w:rsid w:val="004013B7"/>
    <w:rsid w:val="0040223B"/>
    <w:rsid w:val="004031CE"/>
    <w:rsid w:val="00403273"/>
    <w:rsid w:val="00403850"/>
    <w:rsid w:val="004041B9"/>
    <w:rsid w:val="00405D43"/>
    <w:rsid w:val="00406D2A"/>
    <w:rsid w:val="00407710"/>
    <w:rsid w:val="00410283"/>
    <w:rsid w:val="004105DD"/>
    <w:rsid w:val="00411467"/>
    <w:rsid w:val="0041233E"/>
    <w:rsid w:val="00412398"/>
    <w:rsid w:val="0041327B"/>
    <w:rsid w:val="00414D10"/>
    <w:rsid w:val="004157B9"/>
    <w:rsid w:val="00415B46"/>
    <w:rsid w:val="00416ABA"/>
    <w:rsid w:val="0041712A"/>
    <w:rsid w:val="00420B93"/>
    <w:rsid w:val="00420C62"/>
    <w:rsid w:val="00421651"/>
    <w:rsid w:val="004225D0"/>
    <w:rsid w:val="00424D5D"/>
    <w:rsid w:val="004253E4"/>
    <w:rsid w:val="00426BDD"/>
    <w:rsid w:val="00427693"/>
    <w:rsid w:val="00427A07"/>
    <w:rsid w:val="004302AF"/>
    <w:rsid w:val="00430BDB"/>
    <w:rsid w:val="00432ABD"/>
    <w:rsid w:val="0043366A"/>
    <w:rsid w:val="0043376F"/>
    <w:rsid w:val="00435256"/>
    <w:rsid w:val="004353DC"/>
    <w:rsid w:val="00435B05"/>
    <w:rsid w:val="0043732A"/>
    <w:rsid w:val="004400DA"/>
    <w:rsid w:val="00441308"/>
    <w:rsid w:val="004416C1"/>
    <w:rsid w:val="00444AD0"/>
    <w:rsid w:val="00446296"/>
    <w:rsid w:val="004468C6"/>
    <w:rsid w:val="004468CB"/>
    <w:rsid w:val="00447841"/>
    <w:rsid w:val="00447AAA"/>
    <w:rsid w:val="0045023F"/>
    <w:rsid w:val="0045025A"/>
    <w:rsid w:val="00455DDC"/>
    <w:rsid w:val="004600E6"/>
    <w:rsid w:val="004603B0"/>
    <w:rsid w:val="0046040E"/>
    <w:rsid w:val="0046061F"/>
    <w:rsid w:val="00460DDB"/>
    <w:rsid w:val="00461843"/>
    <w:rsid w:val="00461BA1"/>
    <w:rsid w:val="00464B9D"/>
    <w:rsid w:val="004656AF"/>
    <w:rsid w:val="0046571A"/>
    <w:rsid w:val="00465895"/>
    <w:rsid w:val="0046617E"/>
    <w:rsid w:val="00466BBB"/>
    <w:rsid w:val="0047080E"/>
    <w:rsid w:val="004713DB"/>
    <w:rsid w:val="0047228F"/>
    <w:rsid w:val="00472BAD"/>
    <w:rsid w:val="004736CC"/>
    <w:rsid w:val="00474761"/>
    <w:rsid w:val="00476C92"/>
    <w:rsid w:val="00476DDE"/>
    <w:rsid w:val="00480FD2"/>
    <w:rsid w:val="004855C6"/>
    <w:rsid w:val="0048589A"/>
    <w:rsid w:val="00487CA1"/>
    <w:rsid w:val="004901BC"/>
    <w:rsid w:val="00490C17"/>
    <w:rsid w:val="004943F2"/>
    <w:rsid w:val="00496A03"/>
    <w:rsid w:val="00496EA9"/>
    <w:rsid w:val="0049719D"/>
    <w:rsid w:val="004975BD"/>
    <w:rsid w:val="004977AC"/>
    <w:rsid w:val="00497D2A"/>
    <w:rsid w:val="004A0266"/>
    <w:rsid w:val="004A107E"/>
    <w:rsid w:val="004A14BB"/>
    <w:rsid w:val="004A19A5"/>
    <w:rsid w:val="004A2C79"/>
    <w:rsid w:val="004A4A83"/>
    <w:rsid w:val="004A59B8"/>
    <w:rsid w:val="004A6F04"/>
    <w:rsid w:val="004A701E"/>
    <w:rsid w:val="004A7435"/>
    <w:rsid w:val="004B0292"/>
    <w:rsid w:val="004B08FF"/>
    <w:rsid w:val="004B0D22"/>
    <w:rsid w:val="004B2353"/>
    <w:rsid w:val="004B275B"/>
    <w:rsid w:val="004B3355"/>
    <w:rsid w:val="004B5590"/>
    <w:rsid w:val="004B5FC4"/>
    <w:rsid w:val="004B7C6E"/>
    <w:rsid w:val="004C09BE"/>
    <w:rsid w:val="004C10CE"/>
    <w:rsid w:val="004C22BD"/>
    <w:rsid w:val="004C244A"/>
    <w:rsid w:val="004C2E4C"/>
    <w:rsid w:val="004C2F1D"/>
    <w:rsid w:val="004C37DC"/>
    <w:rsid w:val="004C4475"/>
    <w:rsid w:val="004C4B61"/>
    <w:rsid w:val="004C507C"/>
    <w:rsid w:val="004C5142"/>
    <w:rsid w:val="004D08FC"/>
    <w:rsid w:val="004D1A10"/>
    <w:rsid w:val="004D1C17"/>
    <w:rsid w:val="004D2711"/>
    <w:rsid w:val="004D3DC9"/>
    <w:rsid w:val="004D404C"/>
    <w:rsid w:val="004D42D2"/>
    <w:rsid w:val="004D4592"/>
    <w:rsid w:val="004D4B74"/>
    <w:rsid w:val="004D64ED"/>
    <w:rsid w:val="004D77BA"/>
    <w:rsid w:val="004E2450"/>
    <w:rsid w:val="004E28A4"/>
    <w:rsid w:val="004E4F3A"/>
    <w:rsid w:val="004E62B4"/>
    <w:rsid w:val="004E6950"/>
    <w:rsid w:val="004F1398"/>
    <w:rsid w:val="004F18A1"/>
    <w:rsid w:val="004F37DA"/>
    <w:rsid w:val="004F4318"/>
    <w:rsid w:val="004F449E"/>
    <w:rsid w:val="004F5D47"/>
    <w:rsid w:val="004F623E"/>
    <w:rsid w:val="004F642B"/>
    <w:rsid w:val="004F6987"/>
    <w:rsid w:val="004F6A86"/>
    <w:rsid w:val="004F7068"/>
    <w:rsid w:val="004F7369"/>
    <w:rsid w:val="004F7AC3"/>
    <w:rsid w:val="004F7E98"/>
    <w:rsid w:val="005002DE"/>
    <w:rsid w:val="00500C1C"/>
    <w:rsid w:val="00502495"/>
    <w:rsid w:val="00502A52"/>
    <w:rsid w:val="005032B2"/>
    <w:rsid w:val="00503834"/>
    <w:rsid w:val="00503E36"/>
    <w:rsid w:val="005040B4"/>
    <w:rsid w:val="00504163"/>
    <w:rsid w:val="005072D6"/>
    <w:rsid w:val="00510889"/>
    <w:rsid w:val="00510D92"/>
    <w:rsid w:val="005135C5"/>
    <w:rsid w:val="005150CB"/>
    <w:rsid w:val="005151EE"/>
    <w:rsid w:val="00515BB3"/>
    <w:rsid w:val="00516B05"/>
    <w:rsid w:val="00517F92"/>
    <w:rsid w:val="0052099E"/>
    <w:rsid w:val="00521401"/>
    <w:rsid w:val="005239B8"/>
    <w:rsid w:val="005242A3"/>
    <w:rsid w:val="00525A4E"/>
    <w:rsid w:val="00525F54"/>
    <w:rsid w:val="005301F8"/>
    <w:rsid w:val="005309C6"/>
    <w:rsid w:val="00530D02"/>
    <w:rsid w:val="00531AF8"/>
    <w:rsid w:val="00531D68"/>
    <w:rsid w:val="00535CD7"/>
    <w:rsid w:val="00535D1E"/>
    <w:rsid w:val="00536151"/>
    <w:rsid w:val="00537E97"/>
    <w:rsid w:val="00541866"/>
    <w:rsid w:val="0054274E"/>
    <w:rsid w:val="005430D1"/>
    <w:rsid w:val="0054452A"/>
    <w:rsid w:val="00545C7C"/>
    <w:rsid w:val="00546D32"/>
    <w:rsid w:val="00547C0D"/>
    <w:rsid w:val="005509E2"/>
    <w:rsid w:val="00551EEF"/>
    <w:rsid w:val="00552084"/>
    <w:rsid w:val="00552AC0"/>
    <w:rsid w:val="0055306C"/>
    <w:rsid w:val="00553DAD"/>
    <w:rsid w:val="00554E3C"/>
    <w:rsid w:val="005552E6"/>
    <w:rsid w:val="0055588D"/>
    <w:rsid w:val="005565B5"/>
    <w:rsid w:val="00557CFD"/>
    <w:rsid w:val="00557E1B"/>
    <w:rsid w:val="00561D45"/>
    <w:rsid w:val="00562961"/>
    <w:rsid w:val="00562AA3"/>
    <w:rsid w:val="005630FF"/>
    <w:rsid w:val="00564171"/>
    <w:rsid w:val="00564373"/>
    <w:rsid w:val="0056463A"/>
    <w:rsid w:val="00566D7A"/>
    <w:rsid w:val="0056759A"/>
    <w:rsid w:val="00567DAC"/>
    <w:rsid w:val="005708B7"/>
    <w:rsid w:val="00571B93"/>
    <w:rsid w:val="00571E2A"/>
    <w:rsid w:val="00572BEE"/>
    <w:rsid w:val="00574020"/>
    <w:rsid w:val="005741F7"/>
    <w:rsid w:val="005744A3"/>
    <w:rsid w:val="005749B6"/>
    <w:rsid w:val="0057517D"/>
    <w:rsid w:val="00575403"/>
    <w:rsid w:val="00577AA3"/>
    <w:rsid w:val="00581688"/>
    <w:rsid w:val="0058258E"/>
    <w:rsid w:val="0058263E"/>
    <w:rsid w:val="00583264"/>
    <w:rsid w:val="00583B5A"/>
    <w:rsid w:val="00584D4C"/>
    <w:rsid w:val="00584F8C"/>
    <w:rsid w:val="0058512E"/>
    <w:rsid w:val="00585A64"/>
    <w:rsid w:val="00585CA5"/>
    <w:rsid w:val="00586A21"/>
    <w:rsid w:val="005876CA"/>
    <w:rsid w:val="00587C36"/>
    <w:rsid w:val="00591589"/>
    <w:rsid w:val="00593083"/>
    <w:rsid w:val="00597F8B"/>
    <w:rsid w:val="005A00B3"/>
    <w:rsid w:val="005A12A2"/>
    <w:rsid w:val="005A1A29"/>
    <w:rsid w:val="005A1DAD"/>
    <w:rsid w:val="005A1E4E"/>
    <w:rsid w:val="005A29EF"/>
    <w:rsid w:val="005A2FE4"/>
    <w:rsid w:val="005A3BBC"/>
    <w:rsid w:val="005A46D0"/>
    <w:rsid w:val="005A5510"/>
    <w:rsid w:val="005A6DD8"/>
    <w:rsid w:val="005A756A"/>
    <w:rsid w:val="005A769F"/>
    <w:rsid w:val="005A796D"/>
    <w:rsid w:val="005B0436"/>
    <w:rsid w:val="005B18CB"/>
    <w:rsid w:val="005B29BA"/>
    <w:rsid w:val="005B376A"/>
    <w:rsid w:val="005B38AF"/>
    <w:rsid w:val="005B5E46"/>
    <w:rsid w:val="005B6E96"/>
    <w:rsid w:val="005B7245"/>
    <w:rsid w:val="005C0379"/>
    <w:rsid w:val="005C0BA9"/>
    <w:rsid w:val="005C0CEA"/>
    <w:rsid w:val="005C12B1"/>
    <w:rsid w:val="005C191F"/>
    <w:rsid w:val="005C35BD"/>
    <w:rsid w:val="005C3ECE"/>
    <w:rsid w:val="005C73E4"/>
    <w:rsid w:val="005D2D33"/>
    <w:rsid w:val="005D3A6E"/>
    <w:rsid w:val="005D47B3"/>
    <w:rsid w:val="005D4810"/>
    <w:rsid w:val="005D4EC1"/>
    <w:rsid w:val="005D5680"/>
    <w:rsid w:val="005E15BA"/>
    <w:rsid w:val="005E21F1"/>
    <w:rsid w:val="005E2E7D"/>
    <w:rsid w:val="005E3F07"/>
    <w:rsid w:val="005E548C"/>
    <w:rsid w:val="005E7AEA"/>
    <w:rsid w:val="005E7B30"/>
    <w:rsid w:val="005F0F4B"/>
    <w:rsid w:val="005F5D7E"/>
    <w:rsid w:val="005F66CB"/>
    <w:rsid w:val="00600161"/>
    <w:rsid w:val="00601BDC"/>
    <w:rsid w:val="00601E1B"/>
    <w:rsid w:val="00602ADB"/>
    <w:rsid w:val="00603E5B"/>
    <w:rsid w:val="006042BB"/>
    <w:rsid w:val="00604878"/>
    <w:rsid w:val="006057D0"/>
    <w:rsid w:val="006072F8"/>
    <w:rsid w:val="0060732C"/>
    <w:rsid w:val="00612246"/>
    <w:rsid w:val="006152B5"/>
    <w:rsid w:val="00615703"/>
    <w:rsid w:val="00615BCD"/>
    <w:rsid w:val="00617513"/>
    <w:rsid w:val="00620484"/>
    <w:rsid w:val="00622E88"/>
    <w:rsid w:val="00623183"/>
    <w:rsid w:val="0062395D"/>
    <w:rsid w:val="00624573"/>
    <w:rsid w:val="006268A1"/>
    <w:rsid w:val="00626ADD"/>
    <w:rsid w:val="00626DE0"/>
    <w:rsid w:val="00626F74"/>
    <w:rsid w:val="00630A6B"/>
    <w:rsid w:val="006340A8"/>
    <w:rsid w:val="00634896"/>
    <w:rsid w:val="00634D10"/>
    <w:rsid w:val="00637ADC"/>
    <w:rsid w:val="0064323F"/>
    <w:rsid w:val="006436C9"/>
    <w:rsid w:val="006453A0"/>
    <w:rsid w:val="00645845"/>
    <w:rsid w:val="006464E3"/>
    <w:rsid w:val="006468BE"/>
    <w:rsid w:val="00647F40"/>
    <w:rsid w:val="006532AF"/>
    <w:rsid w:val="00654C94"/>
    <w:rsid w:val="00656435"/>
    <w:rsid w:val="0065645F"/>
    <w:rsid w:val="00656C0D"/>
    <w:rsid w:val="00656C74"/>
    <w:rsid w:val="00657718"/>
    <w:rsid w:val="00660BBB"/>
    <w:rsid w:val="006615E0"/>
    <w:rsid w:val="006634B6"/>
    <w:rsid w:val="00664644"/>
    <w:rsid w:val="00664836"/>
    <w:rsid w:val="006651EA"/>
    <w:rsid w:val="0067051E"/>
    <w:rsid w:val="00670558"/>
    <w:rsid w:val="00671228"/>
    <w:rsid w:val="00671FDF"/>
    <w:rsid w:val="00673439"/>
    <w:rsid w:val="00673900"/>
    <w:rsid w:val="006749F3"/>
    <w:rsid w:val="00674EFD"/>
    <w:rsid w:val="0067543E"/>
    <w:rsid w:val="006757BA"/>
    <w:rsid w:val="00675E3C"/>
    <w:rsid w:val="00677085"/>
    <w:rsid w:val="00680234"/>
    <w:rsid w:val="006807DE"/>
    <w:rsid w:val="00680AD3"/>
    <w:rsid w:val="00680FFC"/>
    <w:rsid w:val="006812B6"/>
    <w:rsid w:val="00681ED3"/>
    <w:rsid w:val="006846D8"/>
    <w:rsid w:val="0068518B"/>
    <w:rsid w:val="00685705"/>
    <w:rsid w:val="00685A38"/>
    <w:rsid w:val="0068633D"/>
    <w:rsid w:val="00694297"/>
    <w:rsid w:val="006953DF"/>
    <w:rsid w:val="0069570F"/>
    <w:rsid w:val="00697625"/>
    <w:rsid w:val="00697A1E"/>
    <w:rsid w:val="00697A7A"/>
    <w:rsid w:val="006A0EDC"/>
    <w:rsid w:val="006A135B"/>
    <w:rsid w:val="006A19BE"/>
    <w:rsid w:val="006A1D37"/>
    <w:rsid w:val="006A2999"/>
    <w:rsid w:val="006A3699"/>
    <w:rsid w:val="006A520E"/>
    <w:rsid w:val="006A5DC3"/>
    <w:rsid w:val="006A621D"/>
    <w:rsid w:val="006A6696"/>
    <w:rsid w:val="006A7072"/>
    <w:rsid w:val="006A768A"/>
    <w:rsid w:val="006A7898"/>
    <w:rsid w:val="006B1F6A"/>
    <w:rsid w:val="006B2CDB"/>
    <w:rsid w:val="006B2D22"/>
    <w:rsid w:val="006B5C9D"/>
    <w:rsid w:val="006B5F07"/>
    <w:rsid w:val="006B611B"/>
    <w:rsid w:val="006B79ED"/>
    <w:rsid w:val="006C095F"/>
    <w:rsid w:val="006C1D99"/>
    <w:rsid w:val="006C1E14"/>
    <w:rsid w:val="006C1F48"/>
    <w:rsid w:val="006C2335"/>
    <w:rsid w:val="006C2D83"/>
    <w:rsid w:val="006C40BB"/>
    <w:rsid w:val="006C40D2"/>
    <w:rsid w:val="006C41C4"/>
    <w:rsid w:val="006C465B"/>
    <w:rsid w:val="006C5436"/>
    <w:rsid w:val="006C5A59"/>
    <w:rsid w:val="006C7CE3"/>
    <w:rsid w:val="006D0E50"/>
    <w:rsid w:val="006D30AB"/>
    <w:rsid w:val="006D6654"/>
    <w:rsid w:val="006D6DEC"/>
    <w:rsid w:val="006E0E73"/>
    <w:rsid w:val="006E3A98"/>
    <w:rsid w:val="006E465D"/>
    <w:rsid w:val="006E504F"/>
    <w:rsid w:val="006E59DA"/>
    <w:rsid w:val="006E76C8"/>
    <w:rsid w:val="006F2FE8"/>
    <w:rsid w:val="006F3628"/>
    <w:rsid w:val="006F3D66"/>
    <w:rsid w:val="006F45F4"/>
    <w:rsid w:val="006F4F0D"/>
    <w:rsid w:val="006F580F"/>
    <w:rsid w:val="006F670E"/>
    <w:rsid w:val="006F74C9"/>
    <w:rsid w:val="007001C2"/>
    <w:rsid w:val="00700D62"/>
    <w:rsid w:val="00701808"/>
    <w:rsid w:val="00701D18"/>
    <w:rsid w:val="007070E8"/>
    <w:rsid w:val="00710D04"/>
    <w:rsid w:val="00711BDE"/>
    <w:rsid w:val="0071205D"/>
    <w:rsid w:val="00714616"/>
    <w:rsid w:val="007153D8"/>
    <w:rsid w:val="00717703"/>
    <w:rsid w:val="00717AC6"/>
    <w:rsid w:val="00717C59"/>
    <w:rsid w:val="00717E25"/>
    <w:rsid w:val="007200A1"/>
    <w:rsid w:val="00720EE1"/>
    <w:rsid w:val="00721824"/>
    <w:rsid w:val="00721D94"/>
    <w:rsid w:val="0072291C"/>
    <w:rsid w:val="00723AC9"/>
    <w:rsid w:val="00724184"/>
    <w:rsid w:val="00724FC3"/>
    <w:rsid w:val="0072542E"/>
    <w:rsid w:val="00725A14"/>
    <w:rsid w:val="00725BA1"/>
    <w:rsid w:val="00725C03"/>
    <w:rsid w:val="007266A4"/>
    <w:rsid w:val="007268AE"/>
    <w:rsid w:val="00727733"/>
    <w:rsid w:val="00731E06"/>
    <w:rsid w:val="00733098"/>
    <w:rsid w:val="00735067"/>
    <w:rsid w:val="00735690"/>
    <w:rsid w:val="007405BD"/>
    <w:rsid w:val="0074065A"/>
    <w:rsid w:val="007418BD"/>
    <w:rsid w:val="007418DD"/>
    <w:rsid w:val="00742073"/>
    <w:rsid w:val="007438BB"/>
    <w:rsid w:val="007439CB"/>
    <w:rsid w:val="0074472C"/>
    <w:rsid w:val="007457FD"/>
    <w:rsid w:val="007461C9"/>
    <w:rsid w:val="0074662A"/>
    <w:rsid w:val="0074673E"/>
    <w:rsid w:val="00746A2E"/>
    <w:rsid w:val="00746B88"/>
    <w:rsid w:val="00751074"/>
    <w:rsid w:val="0075204F"/>
    <w:rsid w:val="00753614"/>
    <w:rsid w:val="007539EB"/>
    <w:rsid w:val="00753CB2"/>
    <w:rsid w:val="00755446"/>
    <w:rsid w:val="0075655D"/>
    <w:rsid w:val="00756723"/>
    <w:rsid w:val="00756EE8"/>
    <w:rsid w:val="00757D67"/>
    <w:rsid w:val="007608CF"/>
    <w:rsid w:val="007617AB"/>
    <w:rsid w:val="00761D59"/>
    <w:rsid w:val="00761E3D"/>
    <w:rsid w:val="00762A00"/>
    <w:rsid w:val="00763F41"/>
    <w:rsid w:val="00764279"/>
    <w:rsid w:val="007645CE"/>
    <w:rsid w:val="007718D9"/>
    <w:rsid w:val="00771C55"/>
    <w:rsid w:val="007727DC"/>
    <w:rsid w:val="00772924"/>
    <w:rsid w:val="007740E7"/>
    <w:rsid w:val="007742F2"/>
    <w:rsid w:val="0077509A"/>
    <w:rsid w:val="00775258"/>
    <w:rsid w:val="007760E4"/>
    <w:rsid w:val="00777707"/>
    <w:rsid w:val="00777E42"/>
    <w:rsid w:val="00780362"/>
    <w:rsid w:val="007804C2"/>
    <w:rsid w:val="007822F8"/>
    <w:rsid w:val="00782692"/>
    <w:rsid w:val="00782E4C"/>
    <w:rsid w:val="00783A74"/>
    <w:rsid w:val="00783ED4"/>
    <w:rsid w:val="00786863"/>
    <w:rsid w:val="007879B7"/>
    <w:rsid w:val="007904D3"/>
    <w:rsid w:val="00790EF3"/>
    <w:rsid w:val="00791C31"/>
    <w:rsid w:val="00793378"/>
    <w:rsid w:val="00793B2F"/>
    <w:rsid w:val="0079540A"/>
    <w:rsid w:val="00796AA5"/>
    <w:rsid w:val="00797AC5"/>
    <w:rsid w:val="007A0590"/>
    <w:rsid w:val="007A1353"/>
    <w:rsid w:val="007A1D36"/>
    <w:rsid w:val="007A2739"/>
    <w:rsid w:val="007A446C"/>
    <w:rsid w:val="007A479A"/>
    <w:rsid w:val="007A699A"/>
    <w:rsid w:val="007A7280"/>
    <w:rsid w:val="007A7600"/>
    <w:rsid w:val="007A7B59"/>
    <w:rsid w:val="007B0591"/>
    <w:rsid w:val="007B070B"/>
    <w:rsid w:val="007B1597"/>
    <w:rsid w:val="007B16B9"/>
    <w:rsid w:val="007B1C08"/>
    <w:rsid w:val="007B21B3"/>
    <w:rsid w:val="007B3869"/>
    <w:rsid w:val="007B5297"/>
    <w:rsid w:val="007B5E1E"/>
    <w:rsid w:val="007B6240"/>
    <w:rsid w:val="007B6AF6"/>
    <w:rsid w:val="007C100C"/>
    <w:rsid w:val="007C3517"/>
    <w:rsid w:val="007C40C9"/>
    <w:rsid w:val="007C5870"/>
    <w:rsid w:val="007C6B82"/>
    <w:rsid w:val="007C6CA1"/>
    <w:rsid w:val="007C7D44"/>
    <w:rsid w:val="007D19D5"/>
    <w:rsid w:val="007D353E"/>
    <w:rsid w:val="007D5307"/>
    <w:rsid w:val="007D642B"/>
    <w:rsid w:val="007D6827"/>
    <w:rsid w:val="007D6A3D"/>
    <w:rsid w:val="007D6E9F"/>
    <w:rsid w:val="007D75A3"/>
    <w:rsid w:val="007D7750"/>
    <w:rsid w:val="007D7CC1"/>
    <w:rsid w:val="007E115D"/>
    <w:rsid w:val="007E195E"/>
    <w:rsid w:val="007E45BC"/>
    <w:rsid w:val="007E7C3A"/>
    <w:rsid w:val="007F0B8F"/>
    <w:rsid w:val="007F0CDB"/>
    <w:rsid w:val="007F0FEE"/>
    <w:rsid w:val="007F16BE"/>
    <w:rsid w:val="007F2CB0"/>
    <w:rsid w:val="007F4D77"/>
    <w:rsid w:val="007F68FA"/>
    <w:rsid w:val="00800AA5"/>
    <w:rsid w:val="008019A2"/>
    <w:rsid w:val="008025AA"/>
    <w:rsid w:val="00802AA3"/>
    <w:rsid w:val="00803D69"/>
    <w:rsid w:val="00803F30"/>
    <w:rsid w:val="00803F4D"/>
    <w:rsid w:val="00804BB8"/>
    <w:rsid w:val="00805D51"/>
    <w:rsid w:val="00806ED0"/>
    <w:rsid w:val="008072C4"/>
    <w:rsid w:val="00807816"/>
    <w:rsid w:val="008102F1"/>
    <w:rsid w:val="00810845"/>
    <w:rsid w:val="00811A4E"/>
    <w:rsid w:val="00811B14"/>
    <w:rsid w:val="00812C6B"/>
    <w:rsid w:val="0081302E"/>
    <w:rsid w:val="00813B68"/>
    <w:rsid w:val="008152F4"/>
    <w:rsid w:val="00815D46"/>
    <w:rsid w:val="00817EA7"/>
    <w:rsid w:val="0082132C"/>
    <w:rsid w:val="00822ADF"/>
    <w:rsid w:val="00824EBF"/>
    <w:rsid w:val="00830C08"/>
    <w:rsid w:val="00832103"/>
    <w:rsid w:val="008346D4"/>
    <w:rsid w:val="008360AA"/>
    <w:rsid w:val="0083752C"/>
    <w:rsid w:val="00841390"/>
    <w:rsid w:val="008427BE"/>
    <w:rsid w:val="00842E23"/>
    <w:rsid w:val="00843DD3"/>
    <w:rsid w:val="00846315"/>
    <w:rsid w:val="00847A35"/>
    <w:rsid w:val="00847E3C"/>
    <w:rsid w:val="008502E3"/>
    <w:rsid w:val="008513E1"/>
    <w:rsid w:val="00852177"/>
    <w:rsid w:val="00852490"/>
    <w:rsid w:val="00853388"/>
    <w:rsid w:val="008540F4"/>
    <w:rsid w:val="0085435A"/>
    <w:rsid w:val="0085436C"/>
    <w:rsid w:val="0085479A"/>
    <w:rsid w:val="00855726"/>
    <w:rsid w:val="008571DA"/>
    <w:rsid w:val="008608B9"/>
    <w:rsid w:val="00861E2A"/>
    <w:rsid w:val="008649AA"/>
    <w:rsid w:val="008657A8"/>
    <w:rsid w:val="008662E0"/>
    <w:rsid w:val="008670EB"/>
    <w:rsid w:val="00867B45"/>
    <w:rsid w:val="008701D6"/>
    <w:rsid w:val="00870C16"/>
    <w:rsid w:val="00872B85"/>
    <w:rsid w:val="00874E64"/>
    <w:rsid w:val="008772D8"/>
    <w:rsid w:val="0087734D"/>
    <w:rsid w:val="00877A42"/>
    <w:rsid w:val="00880451"/>
    <w:rsid w:val="008828FA"/>
    <w:rsid w:val="00883ECC"/>
    <w:rsid w:val="008850BA"/>
    <w:rsid w:val="00885DBC"/>
    <w:rsid w:val="00886656"/>
    <w:rsid w:val="008868B6"/>
    <w:rsid w:val="00886F05"/>
    <w:rsid w:val="0088726B"/>
    <w:rsid w:val="00887B47"/>
    <w:rsid w:val="00890AC6"/>
    <w:rsid w:val="00890FDA"/>
    <w:rsid w:val="00891D2C"/>
    <w:rsid w:val="008935BC"/>
    <w:rsid w:val="00893C10"/>
    <w:rsid w:val="00893CD8"/>
    <w:rsid w:val="00894DED"/>
    <w:rsid w:val="00895BD6"/>
    <w:rsid w:val="00895CDD"/>
    <w:rsid w:val="008A004B"/>
    <w:rsid w:val="008A19E4"/>
    <w:rsid w:val="008A25C5"/>
    <w:rsid w:val="008A3234"/>
    <w:rsid w:val="008A4655"/>
    <w:rsid w:val="008A4B33"/>
    <w:rsid w:val="008A4CCA"/>
    <w:rsid w:val="008A5BE8"/>
    <w:rsid w:val="008A6556"/>
    <w:rsid w:val="008A6672"/>
    <w:rsid w:val="008A6EB3"/>
    <w:rsid w:val="008A7342"/>
    <w:rsid w:val="008A7D31"/>
    <w:rsid w:val="008A7EC1"/>
    <w:rsid w:val="008A7F02"/>
    <w:rsid w:val="008B05E0"/>
    <w:rsid w:val="008B272F"/>
    <w:rsid w:val="008B3F10"/>
    <w:rsid w:val="008B45F0"/>
    <w:rsid w:val="008B4C41"/>
    <w:rsid w:val="008B569F"/>
    <w:rsid w:val="008B5A51"/>
    <w:rsid w:val="008B5DD4"/>
    <w:rsid w:val="008B5DD5"/>
    <w:rsid w:val="008B6DCB"/>
    <w:rsid w:val="008B7144"/>
    <w:rsid w:val="008B7455"/>
    <w:rsid w:val="008C04D4"/>
    <w:rsid w:val="008C1894"/>
    <w:rsid w:val="008C6033"/>
    <w:rsid w:val="008D0A4B"/>
    <w:rsid w:val="008D1071"/>
    <w:rsid w:val="008D11A5"/>
    <w:rsid w:val="008D1A13"/>
    <w:rsid w:val="008D31E5"/>
    <w:rsid w:val="008D4A0B"/>
    <w:rsid w:val="008D575F"/>
    <w:rsid w:val="008D5DEB"/>
    <w:rsid w:val="008D6B33"/>
    <w:rsid w:val="008D7835"/>
    <w:rsid w:val="008E0064"/>
    <w:rsid w:val="008E0448"/>
    <w:rsid w:val="008E0818"/>
    <w:rsid w:val="008E12A4"/>
    <w:rsid w:val="008E2413"/>
    <w:rsid w:val="008E2D08"/>
    <w:rsid w:val="008E3227"/>
    <w:rsid w:val="008E38E2"/>
    <w:rsid w:val="008E4876"/>
    <w:rsid w:val="008E51D1"/>
    <w:rsid w:val="008F39E4"/>
    <w:rsid w:val="008F4224"/>
    <w:rsid w:val="008F6A8A"/>
    <w:rsid w:val="008F7C44"/>
    <w:rsid w:val="009012C8"/>
    <w:rsid w:val="009015F6"/>
    <w:rsid w:val="0090539D"/>
    <w:rsid w:val="00910F20"/>
    <w:rsid w:val="00911704"/>
    <w:rsid w:val="00912004"/>
    <w:rsid w:val="0091363E"/>
    <w:rsid w:val="009139EA"/>
    <w:rsid w:val="00914016"/>
    <w:rsid w:val="0091660C"/>
    <w:rsid w:val="0092108B"/>
    <w:rsid w:val="009211B2"/>
    <w:rsid w:val="00921A5C"/>
    <w:rsid w:val="00922315"/>
    <w:rsid w:val="00923218"/>
    <w:rsid w:val="00923B2B"/>
    <w:rsid w:val="00923F57"/>
    <w:rsid w:val="00924180"/>
    <w:rsid w:val="009245FC"/>
    <w:rsid w:val="00925375"/>
    <w:rsid w:val="00925887"/>
    <w:rsid w:val="00927312"/>
    <w:rsid w:val="009330A4"/>
    <w:rsid w:val="009340B8"/>
    <w:rsid w:val="00934534"/>
    <w:rsid w:val="00934732"/>
    <w:rsid w:val="00934E35"/>
    <w:rsid w:val="009373EB"/>
    <w:rsid w:val="0094209E"/>
    <w:rsid w:val="00942C94"/>
    <w:rsid w:val="00944548"/>
    <w:rsid w:val="00945CD8"/>
    <w:rsid w:val="00946731"/>
    <w:rsid w:val="009471E0"/>
    <w:rsid w:val="00950140"/>
    <w:rsid w:val="009513E7"/>
    <w:rsid w:val="00951517"/>
    <w:rsid w:val="00951775"/>
    <w:rsid w:val="00951E68"/>
    <w:rsid w:val="0095200B"/>
    <w:rsid w:val="009520E4"/>
    <w:rsid w:val="009544E5"/>
    <w:rsid w:val="009549EF"/>
    <w:rsid w:val="009558C2"/>
    <w:rsid w:val="00955B49"/>
    <w:rsid w:val="00955DBA"/>
    <w:rsid w:val="009560FD"/>
    <w:rsid w:val="009561AF"/>
    <w:rsid w:val="00960639"/>
    <w:rsid w:val="00960DAB"/>
    <w:rsid w:val="00961EDE"/>
    <w:rsid w:val="009626CF"/>
    <w:rsid w:val="00962AC0"/>
    <w:rsid w:val="0097231C"/>
    <w:rsid w:val="00972519"/>
    <w:rsid w:val="00972835"/>
    <w:rsid w:val="00973169"/>
    <w:rsid w:val="0097364E"/>
    <w:rsid w:val="009736C5"/>
    <w:rsid w:val="00974260"/>
    <w:rsid w:val="00974598"/>
    <w:rsid w:val="00975072"/>
    <w:rsid w:val="009764EE"/>
    <w:rsid w:val="009775D6"/>
    <w:rsid w:val="009808AD"/>
    <w:rsid w:val="00980C18"/>
    <w:rsid w:val="00981635"/>
    <w:rsid w:val="00981CEE"/>
    <w:rsid w:val="009824BD"/>
    <w:rsid w:val="00982BA1"/>
    <w:rsid w:val="00983575"/>
    <w:rsid w:val="009849EF"/>
    <w:rsid w:val="00985176"/>
    <w:rsid w:val="00986703"/>
    <w:rsid w:val="00986D91"/>
    <w:rsid w:val="00990A46"/>
    <w:rsid w:val="009913A5"/>
    <w:rsid w:val="00991678"/>
    <w:rsid w:val="00992639"/>
    <w:rsid w:val="00993654"/>
    <w:rsid w:val="00994B6F"/>
    <w:rsid w:val="009958C4"/>
    <w:rsid w:val="00995D95"/>
    <w:rsid w:val="00996AE4"/>
    <w:rsid w:val="00997965"/>
    <w:rsid w:val="00997E22"/>
    <w:rsid w:val="00997EA3"/>
    <w:rsid w:val="009A05F4"/>
    <w:rsid w:val="009A1197"/>
    <w:rsid w:val="009A22FE"/>
    <w:rsid w:val="009A2492"/>
    <w:rsid w:val="009A27D1"/>
    <w:rsid w:val="009A3F43"/>
    <w:rsid w:val="009A4237"/>
    <w:rsid w:val="009A4671"/>
    <w:rsid w:val="009A50B0"/>
    <w:rsid w:val="009A514D"/>
    <w:rsid w:val="009A55E9"/>
    <w:rsid w:val="009A666A"/>
    <w:rsid w:val="009A6B7D"/>
    <w:rsid w:val="009A6BA0"/>
    <w:rsid w:val="009A6F8A"/>
    <w:rsid w:val="009B06F4"/>
    <w:rsid w:val="009B427C"/>
    <w:rsid w:val="009B55C9"/>
    <w:rsid w:val="009B5FC2"/>
    <w:rsid w:val="009C0917"/>
    <w:rsid w:val="009C282C"/>
    <w:rsid w:val="009C2FFD"/>
    <w:rsid w:val="009C3AA6"/>
    <w:rsid w:val="009C3B97"/>
    <w:rsid w:val="009C3FEE"/>
    <w:rsid w:val="009C6E20"/>
    <w:rsid w:val="009C79B7"/>
    <w:rsid w:val="009D0C76"/>
    <w:rsid w:val="009D0E0C"/>
    <w:rsid w:val="009D1121"/>
    <w:rsid w:val="009D1440"/>
    <w:rsid w:val="009D1F58"/>
    <w:rsid w:val="009D5584"/>
    <w:rsid w:val="009D623A"/>
    <w:rsid w:val="009D6A23"/>
    <w:rsid w:val="009E26A3"/>
    <w:rsid w:val="009E34E0"/>
    <w:rsid w:val="009E6222"/>
    <w:rsid w:val="009F020D"/>
    <w:rsid w:val="009F1E97"/>
    <w:rsid w:val="009F3B47"/>
    <w:rsid w:val="009F45E1"/>
    <w:rsid w:val="009F4A7F"/>
    <w:rsid w:val="009F4CC3"/>
    <w:rsid w:val="00A020A3"/>
    <w:rsid w:val="00A02D76"/>
    <w:rsid w:val="00A02E86"/>
    <w:rsid w:val="00A03E16"/>
    <w:rsid w:val="00A050AF"/>
    <w:rsid w:val="00A05700"/>
    <w:rsid w:val="00A06DE8"/>
    <w:rsid w:val="00A06FF2"/>
    <w:rsid w:val="00A07105"/>
    <w:rsid w:val="00A07B99"/>
    <w:rsid w:val="00A07E93"/>
    <w:rsid w:val="00A1003F"/>
    <w:rsid w:val="00A10FA2"/>
    <w:rsid w:val="00A11377"/>
    <w:rsid w:val="00A114D8"/>
    <w:rsid w:val="00A11932"/>
    <w:rsid w:val="00A11A83"/>
    <w:rsid w:val="00A12983"/>
    <w:rsid w:val="00A12BFA"/>
    <w:rsid w:val="00A12F46"/>
    <w:rsid w:val="00A134B6"/>
    <w:rsid w:val="00A13737"/>
    <w:rsid w:val="00A139A6"/>
    <w:rsid w:val="00A13BF1"/>
    <w:rsid w:val="00A14031"/>
    <w:rsid w:val="00A1596A"/>
    <w:rsid w:val="00A20282"/>
    <w:rsid w:val="00A21F13"/>
    <w:rsid w:val="00A22342"/>
    <w:rsid w:val="00A23E8C"/>
    <w:rsid w:val="00A24378"/>
    <w:rsid w:val="00A249BC"/>
    <w:rsid w:val="00A250B0"/>
    <w:rsid w:val="00A269BA"/>
    <w:rsid w:val="00A26AF6"/>
    <w:rsid w:val="00A26E06"/>
    <w:rsid w:val="00A27338"/>
    <w:rsid w:val="00A30638"/>
    <w:rsid w:val="00A334D3"/>
    <w:rsid w:val="00A340DC"/>
    <w:rsid w:val="00A34BF7"/>
    <w:rsid w:val="00A34D15"/>
    <w:rsid w:val="00A3583F"/>
    <w:rsid w:val="00A35BE1"/>
    <w:rsid w:val="00A36839"/>
    <w:rsid w:val="00A36B32"/>
    <w:rsid w:val="00A37FC0"/>
    <w:rsid w:val="00A407DB"/>
    <w:rsid w:val="00A40CCD"/>
    <w:rsid w:val="00A41417"/>
    <w:rsid w:val="00A42EB2"/>
    <w:rsid w:val="00A44F0B"/>
    <w:rsid w:val="00A4507F"/>
    <w:rsid w:val="00A45877"/>
    <w:rsid w:val="00A46D49"/>
    <w:rsid w:val="00A478CF"/>
    <w:rsid w:val="00A5059B"/>
    <w:rsid w:val="00A539BF"/>
    <w:rsid w:val="00A54E02"/>
    <w:rsid w:val="00A564AB"/>
    <w:rsid w:val="00A57619"/>
    <w:rsid w:val="00A57735"/>
    <w:rsid w:val="00A57EFA"/>
    <w:rsid w:val="00A60914"/>
    <w:rsid w:val="00A60E71"/>
    <w:rsid w:val="00A63045"/>
    <w:rsid w:val="00A63E8E"/>
    <w:rsid w:val="00A63FBF"/>
    <w:rsid w:val="00A65558"/>
    <w:rsid w:val="00A65EB0"/>
    <w:rsid w:val="00A670D5"/>
    <w:rsid w:val="00A67664"/>
    <w:rsid w:val="00A67ADE"/>
    <w:rsid w:val="00A67EBC"/>
    <w:rsid w:val="00A70F16"/>
    <w:rsid w:val="00A72750"/>
    <w:rsid w:val="00A7795C"/>
    <w:rsid w:val="00A81FF0"/>
    <w:rsid w:val="00A8302D"/>
    <w:rsid w:val="00A8408D"/>
    <w:rsid w:val="00A8471F"/>
    <w:rsid w:val="00A85218"/>
    <w:rsid w:val="00A858C1"/>
    <w:rsid w:val="00A901AC"/>
    <w:rsid w:val="00A921B3"/>
    <w:rsid w:val="00A92FAA"/>
    <w:rsid w:val="00A93FFA"/>
    <w:rsid w:val="00A94C6F"/>
    <w:rsid w:val="00A958A5"/>
    <w:rsid w:val="00A963F3"/>
    <w:rsid w:val="00A96438"/>
    <w:rsid w:val="00A97618"/>
    <w:rsid w:val="00A9794D"/>
    <w:rsid w:val="00AA232C"/>
    <w:rsid w:val="00AA26AA"/>
    <w:rsid w:val="00AA431E"/>
    <w:rsid w:val="00AA511A"/>
    <w:rsid w:val="00AA58FF"/>
    <w:rsid w:val="00AA5FE1"/>
    <w:rsid w:val="00AA61A1"/>
    <w:rsid w:val="00AA7100"/>
    <w:rsid w:val="00AB13AE"/>
    <w:rsid w:val="00AB2E6C"/>
    <w:rsid w:val="00AB3523"/>
    <w:rsid w:val="00AB475F"/>
    <w:rsid w:val="00AB518C"/>
    <w:rsid w:val="00AB69B8"/>
    <w:rsid w:val="00AB7CE0"/>
    <w:rsid w:val="00AB7E8A"/>
    <w:rsid w:val="00AC0FA4"/>
    <w:rsid w:val="00AC1D8B"/>
    <w:rsid w:val="00AC3AC0"/>
    <w:rsid w:val="00AC589C"/>
    <w:rsid w:val="00AC661F"/>
    <w:rsid w:val="00AC6A21"/>
    <w:rsid w:val="00AC7295"/>
    <w:rsid w:val="00AC7F66"/>
    <w:rsid w:val="00AC7FC1"/>
    <w:rsid w:val="00AD124B"/>
    <w:rsid w:val="00AD1B2A"/>
    <w:rsid w:val="00AD1B43"/>
    <w:rsid w:val="00AD2630"/>
    <w:rsid w:val="00AD2ACD"/>
    <w:rsid w:val="00AD2F5A"/>
    <w:rsid w:val="00AD70A0"/>
    <w:rsid w:val="00AD7E77"/>
    <w:rsid w:val="00AD7FFD"/>
    <w:rsid w:val="00AE072C"/>
    <w:rsid w:val="00AE0734"/>
    <w:rsid w:val="00AE1018"/>
    <w:rsid w:val="00AE2E50"/>
    <w:rsid w:val="00AE31AF"/>
    <w:rsid w:val="00AE58B8"/>
    <w:rsid w:val="00AE5948"/>
    <w:rsid w:val="00AF00C1"/>
    <w:rsid w:val="00AF0B91"/>
    <w:rsid w:val="00AF0B93"/>
    <w:rsid w:val="00AF0E09"/>
    <w:rsid w:val="00AF17CB"/>
    <w:rsid w:val="00AF381F"/>
    <w:rsid w:val="00AF38BF"/>
    <w:rsid w:val="00AF522C"/>
    <w:rsid w:val="00AF5297"/>
    <w:rsid w:val="00AF584E"/>
    <w:rsid w:val="00AF6B87"/>
    <w:rsid w:val="00AF6D59"/>
    <w:rsid w:val="00B00230"/>
    <w:rsid w:val="00B00AF0"/>
    <w:rsid w:val="00B01FDC"/>
    <w:rsid w:val="00B02546"/>
    <w:rsid w:val="00B039C0"/>
    <w:rsid w:val="00B0400E"/>
    <w:rsid w:val="00B053D1"/>
    <w:rsid w:val="00B105FD"/>
    <w:rsid w:val="00B10676"/>
    <w:rsid w:val="00B11306"/>
    <w:rsid w:val="00B11FE9"/>
    <w:rsid w:val="00B12433"/>
    <w:rsid w:val="00B1287F"/>
    <w:rsid w:val="00B13C03"/>
    <w:rsid w:val="00B14B4F"/>
    <w:rsid w:val="00B14C46"/>
    <w:rsid w:val="00B14D75"/>
    <w:rsid w:val="00B15FA8"/>
    <w:rsid w:val="00B16067"/>
    <w:rsid w:val="00B16AD8"/>
    <w:rsid w:val="00B17516"/>
    <w:rsid w:val="00B20265"/>
    <w:rsid w:val="00B20E9B"/>
    <w:rsid w:val="00B220D1"/>
    <w:rsid w:val="00B22550"/>
    <w:rsid w:val="00B23830"/>
    <w:rsid w:val="00B24BA3"/>
    <w:rsid w:val="00B252DB"/>
    <w:rsid w:val="00B3008F"/>
    <w:rsid w:val="00B304CC"/>
    <w:rsid w:val="00B309E5"/>
    <w:rsid w:val="00B311AF"/>
    <w:rsid w:val="00B31322"/>
    <w:rsid w:val="00B32963"/>
    <w:rsid w:val="00B32B8F"/>
    <w:rsid w:val="00B338D0"/>
    <w:rsid w:val="00B34748"/>
    <w:rsid w:val="00B347CD"/>
    <w:rsid w:val="00B35D1E"/>
    <w:rsid w:val="00B36433"/>
    <w:rsid w:val="00B364C5"/>
    <w:rsid w:val="00B37B56"/>
    <w:rsid w:val="00B37C5E"/>
    <w:rsid w:val="00B407FF"/>
    <w:rsid w:val="00B43532"/>
    <w:rsid w:val="00B44B34"/>
    <w:rsid w:val="00B4665F"/>
    <w:rsid w:val="00B46F06"/>
    <w:rsid w:val="00B51EFF"/>
    <w:rsid w:val="00B52115"/>
    <w:rsid w:val="00B52806"/>
    <w:rsid w:val="00B566BD"/>
    <w:rsid w:val="00B57605"/>
    <w:rsid w:val="00B600F4"/>
    <w:rsid w:val="00B60F2F"/>
    <w:rsid w:val="00B61818"/>
    <w:rsid w:val="00B61F22"/>
    <w:rsid w:val="00B632B1"/>
    <w:rsid w:val="00B64656"/>
    <w:rsid w:val="00B64B16"/>
    <w:rsid w:val="00B65881"/>
    <w:rsid w:val="00B65B5E"/>
    <w:rsid w:val="00B67FF5"/>
    <w:rsid w:val="00B704E1"/>
    <w:rsid w:val="00B7098D"/>
    <w:rsid w:val="00B7138B"/>
    <w:rsid w:val="00B720BF"/>
    <w:rsid w:val="00B735A7"/>
    <w:rsid w:val="00B735D1"/>
    <w:rsid w:val="00B744C7"/>
    <w:rsid w:val="00B74B7B"/>
    <w:rsid w:val="00B76106"/>
    <w:rsid w:val="00B765D5"/>
    <w:rsid w:val="00B769C1"/>
    <w:rsid w:val="00B76B5E"/>
    <w:rsid w:val="00B77F5D"/>
    <w:rsid w:val="00B806C9"/>
    <w:rsid w:val="00B81D85"/>
    <w:rsid w:val="00B81F66"/>
    <w:rsid w:val="00B8388E"/>
    <w:rsid w:val="00B85724"/>
    <w:rsid w:val="00B86867"/>
    <w:rsid w:val="00B86FCE"/>
    <w:rsid w:val="00B87F94"/>
    <w:rsid w:val="00B901EB"/>
    <w:rsid w:val="00B907CA"/>
    <w:rsid w:val="00B9208B"/>
    <w:rsid w:val="00B9221A"/>
    <w:rsid w:val="00B936C1"/>
    <w:rsid w:val="00B946B3"/>
    <w:rsid w:val="00B94B45"/>
    <w:rsid w:val="00B9502E"/>
    <w:rsid w:val="00B95527"/>
    <w:rsid w:val="00B9599F"/>
    <w:rsid w:val="00B96673"/>
    <w:rsid w:val="00B97999"/>
    <w:rsid w:val="00BA0936"/>
    <w:rsid w:val="00BA217D"/>
    <w:rsid w:val="00BA26EA"/>
    <w:rsid w:val="00BA3CD4"/>
    <w:rsid w:val="00BA4277"/>
    <w:rsid w:val="00BB61AA"/>
    <w:rsid w:val="00BB692C"/>
    <w:rsid w:val="00BC0A51"/>
    <w:rsid w:val="00BC0A55"/>
    <w:rsid w:val="00BC0B0C"/>
    <w:rsid w:val="00BC1696"/>
    <w:rsid w:val="00BC2CB9"/>
    <w:rsid w:val="00BC2D37"/>
    <w:rsid w:val="00BC3B48"/>
    <w:rsid w:val="00BC3E38"/>
    <w:rsid w:val="00BC5473"/>
    <w:rsid w:val="00BC549F"/>
    <w:rsid w:val="00BC5B03"/>
    <w:rsid w:val="00BC7AFC"/>
    <w:rsid w:val="00BD00E8"/>
    <w:rsid w:val="00BD130F"/>
    <w:rsid w:val="00BD182B"/>
    <w:rsid w:val="00BD1A2F"/>
    <w:rsid w:val="00BD2493"/>
    <w:rsid w:val="00BD43DE"/>
    <w:rsid w:val="00BD4FD4"/>
    <w:rsid w:val="00BD5575"/>
    <w:rsid w:val="00BD5969"/>
    <w:rsid w:val="00BD5E69"/>
    <w:rsid w:val="00BE0A69"/>
    <w:rsid w:val="00BE2F1C"/>
    <w:rsid w:val="00BE3470"/>
    <w:rsid w:val="00BE348A"/>
    <w:rsid w:val="00BE487F"/>
    <w:rsid w:val="00BE6850"/>
    <w:rsid w:val="00BF186C"/>
    <w:rsid w:val="00BF5431"/>
    <w:rsid w:val="00BF5702"/>
    <w:rsid w:val="00BF6DD9"/>
    <w:rsid w:val="00C001DE"/>
    <w:rsid w:val="00C00309"/>
    <w:rsid w:val="00C00BCC"/>
    <w:rsid w:val="00C00F80"/>
    <w:rsid w:val="00C01552"/>
    <w:rsid w:val="00C0308C"/>
    <w:rsid w:val="00C0439B"/>
    <w:rsid w:val="00C04EC9"/>
    <w:rsid w:val="00C052E4"/>
    <w:rsid w:val="00C06E39"/>
    <w:rsid w:val="00C07541"/>
    <w:rsid w:val="00C12619"/>
    <w:rsid w:val="00C1338E"/>
    <w:rsid w:val="00C15742"/>
    <w:rsid w:val="00C16C62"/>
    <w:rsid w:val="00C17DB5"/>
    <w:rsid w:val="00C20032"/>
    <w:rsid w:val="00C20121"/>
    <w:rsid w:val="00C21E98"/>
    <w:rsid w:val="00C22DC2"/>
    <w:rsid w:val="00C23A19"/>
    <w:rsid w:val="00C23B0D"/>
    <w:rsid w:val="00C2496D"/>
    <w:rsid w:val="00C267CA"/>
    <w:rsid w:val="00C26D09"/>
    <w:rsid w:val="00C30A43"/>
    <w:rsid w:val="00C3247F"/>
    <w:rsid w:val="00C324C4"/>
    <w:rsid w:val="00C3289D"/>
    <w:rsid w:val="00C332C5"/>
    <w:rsid w:val="00C378A4"/>
    <w:rsid w:val="00C406FE"/>
    <w:rsid w:val="00C4321A"/>
    <w:rsid w:val="00C43A24"/>
    <w:rsid w:val="00C445B3"/>
    <w:rsid w:val="00C46637"/>
    <w:rsid w:val="00C47389"/>
    <w:rsid w:val="00C50A40"/>
    <w:rsid w:val="00C524FD"/>
    <w:rsid w:val="00C533EC"/>
    <w:rsid w:val="00C53DA6"/>
    <w:rsid w:val="00C54861"/>
    <w:rsid w:val="00C5498D"/>
    <w:rsid w:val="00C564A2"/>
    <w:rsid w:val="00C57671"/>
    <w:rsid w:val="00C577BF"/>
    <w:rsid w:val="00C57B3C"/>
    <w:rsid w:val="00C6036A"/>
    <w:rsid w:val="00C60A5B"/>
    <w:rsid w:val="00C60F14"/>
    <w:rsid w:val="00C61EEF"/>
    <w:rsid w:val="00C629EB"/>
    <w:rsid w:val="00C62D64"/>
    <w:rsid w:val="00C63F46"/>
    <w:rsid w:val="00C64375"/>
    <w:rsid w:val="00C64E69"/>
    <w:rsid w:val="00C65102"/>
    <w:rsid w:val="00C65198"/>
    <w:rsid w:val="00C65B17"/>
    <w:rsid w:val="00C66142"/>
    <w:rsid w:val="00C6635A"/>
    <w:rsid w:val="00C66693"/>
    <w:rsid w:val="00C6683B"/>
    <w:rsid w:val="00C66AD3"/>
    <w:rsid w:val="00C67E7C"/>
    <w:rsid w:val="00C70069"/>
    <w:rsid w:val="00C7185C"/>
    <w:rsid w:val="00C74F31"/>
    <w:rsid w:val="00C76EB7"/>
    <w:rsid w:val="00C77353"/>
    <w:rsid w:val="00C77854"/>
    <w:rsid w:val="00C82016"/>
    <w:rsid w:val="00C8212B"/>
    <w:rsid w:val="00C85BA0"/>
    <w:rsid w:val="00C87CEA"/>
    <w:rsid w:val="00C90067"/>
    <w:rsid w:val="00C90F61"/>
    <w:rsid w:val="00C9183F"/>
    <w:rsid w:val="00C92203"/>
    <w:rsid w:val="00C94759"/>
    <w:rsid w:val="00C95E13"/>
    <w:rsid w:val="00C96C6F"/>
    <w:rsid w:val="00CA0D47"/>
    <w:rsid w:val="00CA0FAB"/>
    <w:rsid w:val="00CA11AE"/>
    <w:rsid w:val="00CA1800"/>
    <w:rsid w:val="00CA19E5"/>
    <w:rsid w:val="00CA24C1"/>
    <w:rsid w:val="00CA26C4"/>
    <w:rsid w:val="00CA29E3"/>
    <w:rsid w:val="00CA40E1"/>
    <w:rsid w:val="00CA4566"/>
    <w:rsid w:val="00CA4C96"/>
    <w:rsid w:val="00CA58FC"/>
    <w:rsid w:val="00CA6EB7"/>
    <w:rsid w:val="00CA757A"/>
    <w:rsid w:val="00CB0075"/>
    <w:rsid w:val="00CB4CC7"/>
    <w:rsid w:val="00CB6A55"/>
    <w:rsid w:val="00CB7BB7"/>
    <w:rsid w:val="00CB7BCE"/>
    <w:rsid w:val="00CC2B0B"/>
    <w:rsid w:val="00CC2C50"/>
    <w:rsid w:val="00CC2C94"/>
    <w:rsid w:val="00CC2F60"/>
    <w:rsid w:val="00CC3983"/>
    <w:rsid w:val="00CC67A1"/>
    <w:rsid w:val="00CC78BD"/>
    <w:rsid w:val="00CD0EE9"/>
    <w:rsid w:val="00CD22E8"/>
    <w:rsid w:val="00CD3365"/>
    <w:rsid w:val="00CD3746"/>
    <w:rsid w:val="00CD44EF"/>
    <w:rsid w:val="00CD5BC4"/>
    <w:rsid w:val="00CD69B1"/>
    <w:rsid w:val="00CD731A"/>
    <w:rsid w:val="00CD742A"/>
    <w:rsid w:val="00CE0106"/>
    <w:rsid w:val="00CE2941"/>
    <w:rsid w:val="00CE294E"/>
    <w:rsid w:val="00CE4107"/>
    <w:rsid w:val="00CE61F1"/>
    <w:rsid w:val="00CE6B67"/>
    <w:rsid w:val="00CF0DE0"/>
    <w:rsid w:val="00CF11AD"/>
    <w:rsid w:val="00CF3E31"/>
    <w:rsid w:val="00CF4E88"/>
    <w:rsid w:val="00CF4E8D"/>
    <w:rsid w:val="00CF56A3"/>
    <w:rsid w:val="00CF6E08"/>
    <w:rsid w:val="00CF6F02"/>
    <w:rsid w:val="00CF6FC2"/>
    <w:rsid w:val="00D02681"/>
    <w:rsid w:val="00D04FD6"/>
    <w:rsid w:val="00D051C2"/>
    <w:rsid w:val="00D06276"/>
    <w:rsid w:val="00D07243"/>
    <w:rsid w:val="00D123BA"/>
    <w:rsid w:val="00D1278F"/>
    <w:rsid w:val="00D14DAA"/>
    <w:rsid w:val="00D1644D"/>
    <w:rsid w:val="00D165A4"/>
    <w:rsid w:val="00D16D23"/>
    <w:rsid w:val="00D16DDF"/>
    <w:rsid w:val="00D1783B"/>
    <w:rsid w:val="00D206AF"/>
    <w:rsid w:val="00D20CE4"/>
    <w:rsid w:val="00D21F8C"/>
    <w:rsid w:val="00D221AC"/>
    <w:rsid w:val="00D22ACA"/>
    <w:rsid w:val="00D26070"/>
    <w:rsid w:val="00D26489"/>
    <w:rsid w:val="00D27353"/>
    <w:rsid w:val="00D30D0F"/>
    <w:rsid w:val="00D3177B"/>
    <w:rsid w:val="00D31D54"/>
    <w:rsid w:val="00D33F73"/>
    <w:rsid w:val="00D35A5C"/>
    <w:rsid w:val="00D36F8F"/>
    <w:rsid w:val="00D37AF5"/>
    <w:rsid w:val="00D40E0F"/>
    <w:rsid w:val="00D421B3"/>
    <w:rsid w:val="00D42CC9"/>
    <w:rsid w:val="00D42E35"/>
    <w:rsid w:val="00D4319C"/>
    <w:rsid w:val="00D446D6"/>
    <w:rsid w:val="00D47964"/>
    <w:rsid w:val="00D47CD9"/>
    <w:rsid w:val="00D50DDE"/>
    <w:rsid w:val="00D514D0"/>
    <w:rsid w:val="00D515BF"/>
    <w:rsid w:val="00D51B52"/>
    <w:rsid w:val="00D53BF3"/>
    <w:rsid w:val="00D53FD3"/>
    <w:rsid w:val="00D54716"/>
    <w:rsid w:val="00D60174"/>
    <w:rsid w:val="00D61A99"/>
    <w:rsid w:val="00D624DF"/>
    <w:rsid w:val="00D634E7"/>
    <w:rsid w:val="00D662C0"/>
    <w:rsid w:val="00D70B66"/>
    <w:rsid w:val="00D70F97"/>
    <w:rsid w:val="00D72D4B"/>
    <w:rsid w:val="00D73A0B"/>
    <w:rsid w:val="00D758E9"/>
    <w:rsid w:val="00D762A4"/>
    <w:rsid w:val="00D762ED"/>
    <w:rsid w:val="00D77E3B"/>
    <w:rsid w:val="00D800CA"/>
    <w:rsid w:val="00D80D20"/>
    <w:rsid w:val="00D81620"/>
    <w:rsid w:val="00D830A1"/>
    <w:rsid w:val="00D8340E"/>
    <w:rsid w:val="00D84752"/>
    <w:rsid w:val="00D84A5A"/>
    <w:rsid w:val="00D902CF"/>
    <w:rsid w:val="00D9040C"/>
    <w:rsid w:val="00D90D51"/>
    <w:rsid w:val="00D91806"/>
    <w:rsid w:val="00D91980"/>
    <w:rsid w:val="00D92E99"/>
    <w:rsid w:val="00D948E5"/>
    <w:rsid w:val="00D959CF"/>
    <w:rsid w:val="00D95D51"/>
    <w:rsid w:val="00D97CB7"/>
    <w:rsid w:val="00DA0812"/>
    <w:rsid w:val="00DA328F"/>
    <w:rsid w:val="00DA449E"/>
    <w:rsid w:val="00DA4A4F"/>
    <w:rsid w:val="00DA5983"/>
    <w:rsid w:val="00DA6556"/>
    <w:rsid w:val="00DA680B"/>
    <w:rsid w:val="00DB1A8A"/>
    <w:rsid w:val="00DB37DC"/>
    <w:rsid w:val="00DB59D0"/>
    <w:rsid w:val="00DB7A14"/>
    <w:rsid w:val="00DB7ADD"/>
    <w:rsid w:val="00DC072B"/>
    <w:rsid w:val="00DC1D6A"/>
    <w:rsid w:val="00DC253B"/>
    <w:rsid w:val="00DC4F8B"/>
    <w:rsid w:val="00DC686D"/>
    <w:rsid w:val="00DC7659"/>
    <w:rsid w:val="00DC7C5F"/>
    <w:rsid w:val="00DD031B"/>
    <w:rsid w:val="00DD0380"/>
    <w:rsid w:val="00DD178F"/>
    <w:rsid w:val="00DD1ED5"/>
    <w:rsid w:val="00DD34A2"/>
    <w:rsid w:val="00DD3637"/>
    <w:rsid w:val="00DD3CDA"/>
    <w:rsid w:val="00DD535A"/>
    <w:rsid w:val="00DD67A7"/>
    <w:rsid w:val="00DD6D38"/>
    <w:rsid w:val="00DD6E3C"/>
    <w:rsid w:val="00DE19B8"/>
    <w:rsid w:val="00DE481C"/>
    <w:rsid w:val="00DE4C3C"/>
    <w:rsid w:val="00DE4CF6"/>
    <w:rsid w:val="00DE5AA5"/>
    <w:rsid w:val="00DE688E"/>
    <w:rsid w:val="00DE6A86"/>
    <w:rsid w:val="00DE78D2"/>
    <w:rsid w:val="00DF0F61"/>
    <w:rsid w:val="00DF1A76"/>
    <w:rsid w:val="00DF3479"/>
    <w:rsid w:val="00DF4358"/>
    <w:rsid w:val="00DF4E1A"/>
    <w:rsid w:val="00DF53C7"/>
    <w:rsid w:val="00DF53EA"/>
    <w:rsid w:val="00E000D7"/>
    <w:rsid w:val="00E04C64"/>
    <w:rsid w:val="00E04D56"/>
    <w:rsid w:val="00E060BD"/>
    <w:rsid w:val="00E06C02"/>
    <w:rsid w:val="00E07352"/>
    <w:rsid w:val="00E10365"/>
    <w:rsid w:val="00E14B85"/>
    <w:rsid w:val="00E1586A"/>
    <w:rsid w:val="00E159F0"/>
    <w:rsid w:val="00E15E84"/>
    <w:rsid w:val="00E16351"/>
    <w:rsid w:val="00E21ABC"/>
    <w:rsid w:val="00E21F40"/>
    <w:rsid w:val="00E22186"/>
    <w:rsid w:val="00E246A0"/>
    <w:rsid w:val="00E24CB6"/>
    <w:rsid w:val="00E2735F"/>
    <w:rsid w:val="00E30181"/>
    <w:rsid w:val="00E306C5"/>
    <w:rsid w:val="00E32D1C"/>
    <w:rsid w:val="00E3345C"/>
    <w:rsid w:val="00E335F6"/>
    <w:rsid w:val="00E33F8A"/>
    <w:rsid w:val="00E37512"/>
    <w:rsid w:val="00E37693"/>
    <w:rsid w:val="00E377EA"/>
    <w:rsid w:val="00E408CC"/>
    <w:rsid w:val="00E41463"/>
    <w:rsid w:val="00E42826"/>
    <w:rsid w:val="00E4564A"/>
    <w:rsid w:val="00E46487"/>
    <w:rsid w:val="00E47285"/>
    <w:rsid w:val="00E47771"/>
    <w:rsid w:val="00E51A68"/>
    <w:rsid w:val="00E52DE6"/>
    <w:rsid w:val="00E52FC4"/>
    <w:rsid w:val="00E55A8D"/>
    <w:rsid w:val="00E57758"/>
    <w:rsid w:val="00E6097D"/>
    <w:rsid w:val="00E6239F"/>
    <w:rsid w:val="00E6393B"/>
    <w:rsid w:val="00E64131"/>
    <w:rsid w:val="00E648EF"/>
    <w:rsid w:val="00E6572E"/>
    <w:rsid w:val="00E65AA3"/>
    <w:rsid w:val="00E6755C"/>
    <w:rsid w:val="00E7257B"/>
    <w:rsid w:val="00E72FAF"/>
    <w:rsid w:val="00E74001"/>
    <w:rsid w:val="00E74676"/>
    <w:rsid w:val="00E75C4C"/>
    <w:rsid w:val="00E801F3"/>
    <w:rsid w:val="00E80666"/>
    <w:rsid w:val="00E8070D"/>
    <w:rsid w:val="00E830EC"/>
    <w:rsid w:val="00E832D8"/>
    <w:rsid w:val="00E8348D"/>
    <w:rsid w:val="00E83955"/>
    <w:rsid w:val="00E83A56"/>
    <w:rsid w:val="00E84E4C"/>
    <w:rsid w:val="00E8500D"/>
    <w:rsid w:val="00E85494"/>
    <w:rsid w:val="00E86F2F"/>
    <w:rsid w:val="00E8705D"/>
    <w:rsid w:val="00E90FEF"/>
    <w:rsid w:val="00E9105E"/>
    <w:rsid w:val="00E91DC7"/>
    <w:rsid w:val="00E9314B"/>
    <w:rsid w:val="00E95131"/>
    <w:rsid w:val="00E960B9"/>
    <w:rsid w:val="00E969F7"/>
    <w:rsid w:val="00E97A33"/>
    <w:rsid w:val="00EA0544"/>
    <w:rsid w:val="00EA140D"/>
    <w:rsid w:val="00EA1FC0"/>
    <w:rsid w:val="00EA6C98"/>
    <w:rsid w:val="00EA6D69"/>
    <w:rsid w:val="00EA7143"/>
    <w:rsid w:val="00EA7F03"/>
    <w:rsid w:val="00EB0EE0"/>
    <w:rsid w:val="00EB1062"/>
    <w:rsid w:val="00EB1AC9"/>
    <w:rsid w:val="00EB2342"/>
    <w:rsid w:val="00EB26F0"/>
    <w:rsid w:val="00EB2BD0"/>
    <w:rsid w:val="00EB2FAF"/>
    <w:rsid w:val="00EB6F83"/>
    <w:rsid w:val="00EB7127"/>
    <w:rsid w:val="00EC068F"/>
    <w:rsid w:val="00EC0972"/>
    <w:rsid w:val="00EC140B"/>
    <w:rsid w:val="00EC44FB"/>
    <w:rsid w:val="00EC53F2"/>
    <w:rsid w:val="00EC6CA0"/>
    <w:rsid w:val="00EC6E8B"/>
    <w:rsid w:val="00ED0AF3"/>
    <w:rsid w:val="00ED0F36"/>
    <w:rsid w:val="00ED182A"/>
    <w:rsid w:val="00ED2323"/>
    <w:rsid w:val="00ED4080"/>
    <w:rsid w:val="00ED40D6"/>
    <w:rsid w:val="00ED4275"/>
    <w:rsid w:val="00ED4306"/>
    <w:rsid w:val="00ED43B5"/>
    <w:rsid w:val="00ED448F"/>
    <w:rsid w:val="00ED4745"/>
    <w:rsid w:val="00ED5533"/>
    <w:rsid w:val="00ED6597"/>
    <w:rsid w:val="00ED7D7E"/>
    <w:rsid w:val="00EE067B"/>
    <w:rsid w:val="00EE0C2F"/>
    <w:rsid w:val="00EE1BF7"/>
    <w:rsid w:val="00EE200B"/>
    <w:rsid w:val="00EE24DA"/>
    <w:rsid w:val="00EE3A5C"/>
    <w:rsid w:val="00EE4B94"/>
    <w:rsid w:val="00EE5689"/>
    <w:rsid w:val="00EE7BF6"/>
    <w:rsid w:val="00EF0311"/>
    <w:rsid w:val="00EF1968"/>
    <w:rsid w:val="00EF227E"/>
    <w:rsid w:val="00EF240C"/>
    <w:rsid w:val="00EF2532"/>
    <w:rsid w:val="00EF2E18"/>
    <w:rsid w:val="00EF2FEB"/>
    <w:rsid w:val="00EF38B9"/>
    <w:rsid w:val="00EF473B"/>
    <w:rsid w:val="00EF4B29"/>
    <w:rsid w:val="00EF530A"/>
    <w:rsid w:val="00EF6843"/>
    <w:rsid w:val="00EF71C6"/>
    <w:rsid w:val="00EF79FC"/>
    <w:rsid w:val="00F00840"/>
    <w:rsid w:val="00F025EB"/>
    <w:rsid w:val="00F02E2D"/>
    <w:rsid w:val="00F034D5"/>
    <w:rsid w:val="00F03F26"/>
    <w:rsid w:val="00F0423B"/>
    <w:rsid w:val="00F07D3C"/>
    <w:rsid w:val="00F07DD0"/>
    <w:rsid w:val="00F07DD5"/>
    <w:rsid w:val="00F10368"/>
    <w:rsid w:val="00F10C9E"/>
    <w:rsid w:val="00F10D63"/>
    <w:rsid w:val="00F118EF"/>
    <w:rsid w:val="00F13025"/>
    <w:rsid w:val="00F1356E"/>
    <w:rsid w:val="00F15515"/>
    <w:rsid w:val="00F15693"/>
    <w:rsid w:val="00F16B58"/>
    <w:rsid w:val="00F2103B"/>
    <w:rsid w:val="00F22708"/>
    <w:rsid w:val="00F230D9"/>
    <w:rsid w:val="00F24639"/>
    <w:rsid w:val="00F26A74"/>
    <w:rsid w:val="00F26DB7"/>
    <w:rsid w:val="00F31863"/>
    <w:rsid w:val="00F31E13"/>
    <w:rsid w:val="00F33145"/>
    <w:rsid w:val="00F33CAF"/>
    <w:rsid w:val="00F35EF7"/>
    <w:rsid w:val="00F35F57"/>
    <w:rsid w:val="00F40A80"/>
    <w:rsid w:val="00F42100"/>
    <w:rsid w:val="00F42449"/>
    <w:rsid w:val="00F45003"/>
    <w:rsid w:val="00F5160C"/>
    <w:rsid w:val="00F51A5C"/>
    <w:rsid w:val="00F528B5"/>
    <w:rsid w:val="00F5481A"/>
    <w:rsid w:val="00F54823"/>
    <w:rsid w:val="00F54913"/>
    <w:rsid w:val="00F554F4"/>
    <w:rsid w:val="00F56055"/>
    <w:rsid w:val="00F568A1"/>
    <w:rsid w:val="00F56DA1"/>
    <w:rsid w:val="00F57516"/>
    <w:rsid w:val="00F61C85"/>
    <w:rsid w:val="00F62699"/>
    <w:rsid w:val="00F63FD6"/>
    <w:rsid w:val="00F64494"/>
    <w:rsid w:val="00F659B7"/>
    <w:rsid w:val="00F67E41"/>
    <w:rsid w:val="00F67EBD"/>
    <w:rsid w:val="00F70D23"/>
    <w:rsid w:val="00F70EA7"/>
    <w:rsid w:val="00F70F53"/>
    <w:rsid w:val="00F71F04"/>
    <w:rsid w:val="00F72110"/>
    <w:rsid w:val="00F72244"/>
    <w:rsid w:val="00F723CD"/>
    <w:rsid w:val="00F72986"/>
    <w:rsid w:val="00F74DF7"/>
    <w:rsid w:val="00F75BD3"/>
    <w:rsid w:val="00F76371"/>
    <w:rsid w:val="00F80060"/>
    <w:rsid w:val="00F800E1"/>
    <w:rsid w:val="00F80F3E"/>
    <w:rsid w:val="00F83332"/>
    <w:rsid w:val="00F83DAA"/>
    <w:rsid w:val="00F856C4"/>
    <w:rsid w:val="00F8716F"/>
    <w:rsid w:val="00F873EF"/>
    <w:rsid w:val="00F906E1"/>
    <w:rsid w:val="00F91D0A"/>
    <w:rsid w:val="00F92021"/>
    <w:rsid w:val="00F92616"/>
    <w:rsid w:val="00F92814"/>
    <w:rsid w:val="00F93124"/>
    <w:rsid w:val="00F93A96"/>
    <w:rsid w:val="00F94AA3"/>
    <w:rsid w:val="00F952F8"/>
    <w:rsid w:val="00F957C3"/>
    <w:rsid w:val="00F95BC5"/>
    <w:rsid w:val="00F97BD0"/>
    <w:rsid w:val="00FA06F3"/>
    <w:rsid w:val="00FA0A4E"/>
    <w:rsid w:val="00FA1312"/>
    <w:rsid w:val="00FA2A46"/>
    <w:rsid w:val="00FA4F28"/>
    <w:rsid w:val="00FA60D2"/>
    <w:rsid w:val="00FA6428"/>
    <w:rsid w:val="00FA6974"/>
    <w:rsid w:val="00FA78D8"/>
    <w:rsid w:val="00FA79E5"/>
    <w:rsid w:val="00FA7D26"/>
    <w:rsid w:val="00FB1190"/>
    <w:rsid w:val="00FB12C8"/>
    <w:rsid w:val="00FB1C48"/>
    <w:rsid w:val="00FB1E4F"/>
    <w:rsid w:val="00FB2436"/>
    <w:rsid w:val="00FB27DD"/>
    <w:rsid w:val="00FB335D"/>
    <w:rsid w:val="00FB33E1"/>
    <w:rsid w:val="00FB3456"/>
    <w:rsid w:val="00FB4354"/>
    <w:rsid w:val="00FB4565"/>
    <w:rsid w:val="00FB5192"/>
    <w:rsid w:val="00FB52C5"/>
    <w:rsid w:val="00FB6CBE"/>
    <w:rsid w:val="00FB7CE0"/>
    <w:rsid w:val="00FC029D"/>
    <w:rsid w:val="00FC3E1B"/>
    <w:rsid w:val="00FC3EBC"/>
    <w:rsid w:val="00FC3FB6"/>
    <w:rsid w:val="00FC467D"/>
    <w:rsid w:val="00FC49AE"/>
    <w:rsid w:val="00FC4D19"/>
    <w:rsid w:val="00FC4F62"/>
    <w:rsid w:val="00FD0357"/>
    <w:rsid w:val="00FD17E0"/>
    <w:rsid w:val="00FD32AD"/>
    <w:rsid w:val="00FD343E"/>
    <w:rsid w:val="00FD4A50"/>
    <w:rsid w:val="00FD524C"/>
    <w:rsid w:val="00FD69E8"/>
    <w:rsid w:val="00FE19D7"/>
    <w:rsid w:val="00FE26EC"/>
    <w:rsid w:val="00FE39B5"/>
    <w:rsid w:val="00FE68A4"/>
    <w:rsid w:val="00FF0820"/>
    <w:rsid w:val="00FF0908"/>
    <w:rsid w:val="00FF1185"/>
    <w:rsid w:val="00FF376D"/>
    <w:rsid w:val="00FF59A0"/>
    <w:rsid w:val="00FF6211"/>
    <w:rsid w:val="01042CD0"/>
    <w:rsid w:val="01877B89"/>
    <w:rsid w:val="01A9298C"/>
    <w:rsid w:val="01F1268E"/>
    <w:rsid w:val="02152917"/>
    <w:rsid w:val="021653B1"/>
    <w:rsid w:val="021A09FD"/>
    <w:rsid w:val="0250441F"/>
    <w:rsid w:val="02742EFC"/>
    <w:rsid w:val="028042C4"/>
    <w:rsid w:val="02832A46"/>
    <w:rsid w:val="028D4D9B"/>
    <w:rsid w:val="02D332E6"/>
    <w:rsid w:val="031C07A5"/>
    <w:rsid w:val="03240870"/>
    <w:rsid w:val="03465822"/>
    <w:rsid w:val="035B1CE5"/>
    <w:rsid w:val="03854B3A"/>
    <w:rsid w:val="03CC3F79"/>
    <w:rsid w:val="03DF1EFE"/>
    <w:rsid w:val="04101BB7"/>
    <w:rsid w:val="04187EF1"/>
    <w:rsid w:val="042E0790"/>
    <w:rsid w:val="042E253E"/>
    <w:rsid w:val="043A5387"/>
    <w:rsid w:val="04406715"/>
    <w:rsid w:val="04473845"/>
    <w:rsid w:val="045403C1"/>
    <w:rsid w:val="045E5F40"/>
    <w:rsid w:val="04D1089E"/>
    <w:rsid w:val="050B1CD4"/>
    <w:rsid w:val="052D0A47"/>
    <w:rsid w:val="05452235"/>
    <w:rsid w:val="055350E8"/>
    <w:rsid w:val="05720F47"/>
    <w:rsid w:val="057A4C7B"/>
    <w:rsid w:val="0590119C"/>
    <w:rsid w:val="05AD1B88"/>
    <w:rsid w:val="05B13426"/>
    <w:rsid w:val="05C56ED2"/>
    <w:rsid w:val="05EA5EA2"/>
    <w:rsid w:val="064C2576"/>
    <w:rsid w:val="067D77AC"/>
    <w:rsid w:val="06A05249"/>
    <w:rsid w:val="06EF599D"/>
    <w:rsid w:val="06F90AE7"/>
    <w:rsid w:val="07195727"/>
    <w:rsid w:val="07541337"/>
    <w:rsid w:val="07C36F54"/>
    <w:rsid w:val="07EC4BEA"/>
    <w:rsid w:val="08122176"/>
    <w:rsid w:val="08AF4D8F"/>
    <w:rsid w:val="08BB280E"/>
    <w:rsid w:val="08C14279"/>
    <w:rsid w:val="08E312CF"/>
    <w:rsid w:val="08F60DE6"/>
    <w:rsid w:val="09176551"/>
    <w:rsid w:val="091B51F4"/>
    <w:rsid w:val="09322AD0"/>
    <w:rsid w:val="093979F4"/>
    <w:rsid w:val="093B1401"/>
    <w:rsid w:val="09516E1B"/>
    <w:rsid w:val="0961574F"/>
    <w:rsid w:val="096477B1"/>
    <w:rsid w:val="09880942"/>
    <w:rsid w:val="099A360C"/>
    <w:rsid w:val="09F73516"/>
    <w:rsid w:val="0A117414"/>
    <w:rsid w:val="0A2F247A"/>
    <w:rsid w:val="0A3D172D"/>
    <w:rsid w:val="0A634F0B"/>
    <w:rsid w:val="0A6F3EE9"/>
    <w:rsid w:val="0A8C6210"/>
    <w:rsid w:val="0AEF0818"/>
    <w:rsid w:val="0AF142C5"/>
    <w:rsid w:val="0B1B1342"/>
    <w:rsid w:val="0B26707E"/>
    <w:rsid w:val="0B7A075E"/>
    <w:rsid w:val="0C1110C3"/>
    <w:rsid w:val="0C5C2956"/>
    <w:rsid w:val="0C795822"/>
    <w:rsid w:val="0CA86EA2"/>
    <w:rsid w:val="0CB657C6"/>
    <w:rsid w:val="0CBB595F"/>
    <w:rsid w:val="0CBD7CF1"/>
    <w:rsid w:val="0D046461"/>
    <w:rsid w:val="0D1B5BBD"/>
    <w:rsid w:val="0D35493D"/>
    <w:rsid w:val="0D656F20"/>
    <w:rsid w:val="0D6C68AD"/>
    <w:rsid w:val="0D70006B"/>
    <w:rsid w:val="0D707286"/>
    <w:rsid w:val="0D9C570A"/>
    <w:rsid w:val="0D9F6EC3"/>
    <w:rsid w:val="0DF677B9"/>
    <w:rsid w:val="0E4A08BC"/>
    <w:rsid w:val="0E4B1FD4"/>
    <w:rsid w:val="0E576B35"/>
    <w:rsid w:val="0E7E0566"/>
    <w:rsid w:val="0E8029E9"/>
    <w:rsid w:val="0E99714E"/>
    <w:rsid w:val="0E9F3273"/>
    <w:rsid w:val="0EA7297F"/>
    <w:rsid w:val="0F490B74"/>
    <w:rsid w:val="0F56503F"/>
    <w:rsid w:val="0F7835B6"/>
    <w:rsid w:val="0F857FF2"/>
    <w:rsid w:val="0F9F68BB"/>
    <w:rsid w:val="0FE82942"/>
    <w:rsid w:val="10221EE0"/>
    <w:rsid w:val="10290CE7"/>
    <w:rsid w:val="10725EA8"/>
    <w:rsid w:val="10B451EC"/>
    <w:rsid w:val="10D61D5D"/>
    <w:rsid w:val="10EF540C"/>
    <w:rsid w:val="11023B11"/>
    <w:rsid w:val="11036B00"/>
    <w:rsid w:val="111451B1"/>
    <w:rsid w:val="11750FCE"/>
    <w:rsid w:val="117F087D"/>
    <w:rsid w:val="1188307C"/>
    <w:rsid w:val="118C15CB"/>
    <w:rsid w:val="11B7101A"/>
    <w:rsid w:val="11BA18B5"/>
    <w:rsid w:val="11C24C0D"/>
    <w:rsid w:val="121F1AEC"/>
    <w:rsid w:val="1222745A"/>
    <w:rsid w:val="12423092"/>
    <w:rsid w:val="12503FC7"/>
    <w:rsid w:val="128B4FFF"/>
    <w:rsid w:val="1292339A"/>
    <w:rsid w:val="129D5576"/>
    <w:rsid w:val="12EE6A82"/>
    <w:rsid w:val="12F40DF6"/>
    <w:rsid w:val="13446BA1"/>
    <w:rsid w:val="136441CE"/>
    <w:rsid w:val="139311B9"/>
    <w:rsid w:val="13C91236"/>
    <w:rsid w:val="14407A24"/>
    <w:rsid w:val="1457788F"/>
    <w:rsid w:val="1493061D"/>
    <w:rsid w:val="14B52807"/>
    <w:rsid w:val="14C36CD2"/>
    <w:rsid w:val="15067DE6"/>
    <w:rsid w:val="15406575"/>
    <w:rsid w:val="15507A0D"/>
    <w:rsid w:val="157B78DE"/>
    <w:rsid w:val="1594709F"/>
    <w:rsid w:val="15B11221"/>
    <w:rsid w:val="15C40F54"/>
    <w:rsid w:val="16130806"/>
    <w:rsid w:val="16545407"/>
    <w:rsid w:val="16704C38"/>
    <w:rsid w:val="16A02C0C"/>
    <w:rsid w:val="172F68A1"/>
    <w:rsid w:val="1767428D"/>
    <w:rsid w:val="177E6371"/>
    <w:rsid w:val="179523B6"/>
    <w:rsid w:val="17B31280"/>
    <w:rsid w:val="17B468C9"/>
    <w:rsid w:val="17DB07D7"/>
    <w:rsid w:val="18122A85"/>
    <w:rsid w:val="18427A2F"/>
    <w:rsid w:val="18A569D9"/>
    <w:rsid w:val="18B352B0"/>
    <w:rsid w:val="18C748B7"/>
    <w:rsid w:val="18ED431E"/>
    <w:rsid w:val="1912647A"/>
    <w:rsid w:val="19131523"/>
    <w:rsid w:val="1932529B"/>
    <w:rsid w:val="19843FE1"/>
    <w:rsid w:val="19873D9C"/>
    <w:rsid w:val="19BD4767"/>
    <w:rsid w:val="19D21766"/>
    <w:rsid w:val="19EE19D3"/>
    <w:rsid w:val="1A0933D9"/>
    <w:rsid w:val="1A0C2EC9"/>
    <w:rsid w:val="1A2F6BB8"/>
    <w:rsid w:val="1A312930"/>
    <w:rsid w:val="1A3B246E"/>
    <w:rsid w:val="1A5E03B7"/>
    <w:rsid w:val="1AA90718"/>
    <w:rsid w:val="1AB73C00"/>
    <w:rsid w:val="1AF71B85"/>
    <w:rsid w:val="1B8051D3"/>
    <w:rsid w:val="1B812E7F"/>
    <w:rsid w:val="1BAB04C0"/>
    <w:rsid w:val="1BCE21DA"/>
    <w:rsid w:val="1C346708"/>
    <w:rsid w:val="1C6E346B"/>
    <w:rsid w:val="1C762014"/>
    <w:rsid w:val="1CA052F9"/>
    <w:rsid w:val="1CA92C52"/>
    <w:rsid w:val="1D083E1C"/>
    <w:rsid w:val="1D1F48E9"/>
    <w:rsid w:val="1D20523A"/>
    <w:rsid w:val="1D282217"/>
    <w:rsid w:val="1D2D5631"/>
    <w:rsid w:val="1DA3702B"/>
    <w:rsid w:val="1DB64506"/>
    <w:rsid w:val="1DED3012"/>
    <w:rsid w:val="1E0068A1"/>
    <w:rsid w:val="1E2527AC"/>
    <w:rsid w:val="1E601A36"/>
    <w:rsid w:val="1E7958F0"/>
    <w:rsid w:val="1E892D3B"/>
    <w:rsid w:val="1E911BEF"/>
    <w:rsid w:val="1EC208A6"/>
    <w:rsid w:val="1F091A51"/>
    <w:rsid w:val="1F104035"/>
    <w:rsid w:val="1F1A1540"/>
    <w:rsid w:val="1F2C467B"/>
    <w:rsid w:val="1F2C66A0"/>
    <w:rsid w:val="1F3955A2"/>
    <w:rsid w:val="1F39747B"/>
    <w:rsid w:val="1F523C25"/>
    <w:rsid w:val="1F6C2F64"/>
    <w:rsid w:val="1F933A28"/>
    <w:rsid w:val="1F9C084C"/>
    <w:rsid w:val="1FC61D6D"/>
    <w:rsid w:val="1FD01D46"/>
    <w:rsid w:val="1FE14C03"/>
    <w:rsid w:val="200803EE"/>
    <w:rsid w:val="202D6FD9"/>
    <w:rsid w:val="20A16EC3"/>
    <w:rsid w:val="20D009E5"/>
    <w:rsid w:val="20D604CF"/>
    <w:rsid w:val="20E34258"/>
    <w:rsid w:val="210F504D"/>
    <w:rsid w:val="21114909"/>
    <w:rsid w:val="211C60E8"/>
    <w:rsid w:val="21352D06"/>
    <w:rsid w:val="21577120"/>
    <w:rsid w:val="215A3283"/>
    <w:rsid w:val="21764795"/>
    <w:rsid w:val="21821CC3"/>
    <w:rsid w:val="21894E00"/>
    <w:rsid w:val="21BD3BC6"/>
    <w:rsid w:val="21E36440"/>
    <w:rsid w:val="21E8173A"/>
    <w:rsid w:val="21FC0B82"/>
    <w:rsid w:val="220628F4"/>
    <w:rsid w:val="22B568E0"/>
    <w:rsid w:val="22D623FF"/>
    <w:rsid w:val="22E43D8D"/>
    <w:rsid w:val="239E04F4"/>
    <w:rsid w:val="23A423C5"/>
    <w:rsid w:val="23BA3996"/>
    <w:rsid w:val="23EC05FD"/>
    <w:rsid w:val="24145500"/>
    <w:rsid w:val="2453425F"/>
    <w:rsid w:val="24AC7783"/>
    <w:rsid w:val="24D42836"/>
    <w:rsid w:val="252E69B7"/>
    <w:rsid w:val="253A32B3"/>
    <w:rsid w:val="255615F5"/>
    <w:rsid w:val="256718FC"/>
    <w:rsid w:val="2582353C"/>
    <w:rsid w:val="25B7161A"/>
    <w:rsid w:val="25DC7BF4"/>
    <w:rsid w:val="25F04D82"/>
    <w:rsid w:val="26525C14"/>
    <w:rsid w:val="265A4FBD"/>
    <w:rsid w:val="265F6F74"/>
    <w:rsid w:val="268A665F"/>
    <w:rsid w:val="26CA2142"/>
    <w:rsid w:val="26E94BFE"/>
    <w:rsid w:val="26F80720"/>
    <w:rsid w:val="271C3A8D"/>
    <w:rsid w:val="27252BF1"/>
    <w:rsid w:val="276F350C"/>
    <w:rsid w:val="278B601D"/>
    <w:rsid w:val="27C571C0"/>
    <w:rsid w:val="27C840EF"/>
    <w:rsid w:val="27D01665"/>
    <w:rsid w:val="27EB4FAC"/>
    <w:rsid w:val="28033B5E"/>
    <w:rsid w:val="281C2EA7"/>
    <w:rsid w:val="283F2E38"/>
    <w:rsid w:val="284877C3"/>
    <w:rsid w:val="286363AA"/>
    <w:rsid w:val="28760EC1"/>
    <w:rsid w:val="28965108"/>
    <w:rsid w:val="28DE1ED5"/>
    <w:rsid w:val="28F224FC"/>
    <w:rsid w:val="29214018"/>
    <w:rsid w:val="297F777F"/>
    <w:rsid w:val="299627B0"/>
    <w:rsid w:val="29A05A04"/>
    <w:rsid w:val="29B11398"/>
    <w:rsid w:val="29C410CB"/>
    <w:rsid w:val="29E452C9"/>
    <w:rsid w:val="2A3222AB"/>
    <w:rsid w:val="2A7A2160"/>
    <w:rsid w:val="2AB253C7"/>
    <w:rsid w:val="2B02223C"/>
    <w:rsid w:val="2B082C5B"/>
    <w:rsid w:val="2B336ED3"/>
    <w:rsid w:val="2B471FB3"/>
    <w:rsid w:val="2B730675"/>
    <w:rsid w:val="2C0B1233"/>
    <w:rsid w:val="2C106849"/>
    <w:rsid w:val="2C1856FE"/>
    <w:rsid w:val="2C22032B"/>
    <w:rsid w:val="2C300C99"/>
    <w:rsid w:val="2C7548FE"/>
    <w:rsid w:val="2CA156F3"/>
    <w:rsid w:val="2D085772"/>
    <w:rsid w:val="2D480265"/>
    <w:rsid w:val="2D811081"/>
    <w:rsid w:val="2D8C5315"/>
    <w:rsid w:val="2D95643B"/>
    <w:rsid w:val="2DD5680A"/>
    <w:rsid w:val="2DE106C9"/>
    <w:rsid w:val="2DFB0E33"/>
    <w:rsid w:val="2E2F297F"/>
    <w:rsid w:val="2E5F7614"/>
    <w:rsid w:val="2EAC6191"/>
    <w:rsid w:val="2EC4047B"/>
    <w:rsid w:val="2EE6563F"/>
    <w:rsid w:val="2EFC28ED"/>
    <w:rsid w:val="2EFC79F2"/>
    <w:rsid w:val="2F26688E"/>
    <w:rsid w:val="2F4C0A41"/>
    <w:rsid w:val="2F841A5E"/>
    <w:rsid w:val="2F990904"/>
    <w:rsid w:val="2FAD24A1"/>
    <w:rsid w:val="2FB21CDD"/>
    <w:rsid w:val="2FC93956"/>
    <w:rsid w:val="2FD66FEA"/>
    <w:rsid w:val="300E37F4"/>
    <w:rsid w:val="303568A2"/>
    <w:rsid w:val="3050190A"/>
    <w:rsid w:val="306C7DC6"/>
    <w:rsid w:val="308F3191"/>
    <w:rsid w:val="30C145B6"/>
    <w:rsid w:val="30D93E56"/>
    <w:rsid w:val="30E64311"/>
    <w:rsid w:val="30F911F5"/>
    <w:rsid w:val="31083F93"/>
    <w:rsid w:val="314C23D2"/>
    <w:rsid w:val="31771119"/>
    <w:rsid w:val="31B71515"/>
    <w:rsid w:val="32002A73"/>
    <w:rsid w:val="322518D5"/>
    <w:rsid w:val="324A65A8"/>
    <w:rsid w:val="32933D30"/>
    <w:rsid w:val="32951856"/>
    <w:rsid w:val="329F4483"/>
    <w:rsid w:val="32BF53D9"/>
    <w:rsid w:val="32C21624"/>
    <w:rsid w:val="33095DA0"/>
    <w:rsid w:val="331A1D5C"/>
    <w:rsid w:val="33233306"/>
    <w:rsid w:val="332538EF"/>
    <w:rsid w:val="333F5C66"/>
    <w:rsid w:val="336D1887"/>
    <w:rsid w:val="339D46F8"/>
    <w:rsid w:val="33D32B48"/>
    <w:rsid w:val="34012F1B"/>
    <w:rsid w:val="34140EA1"/>
    <w:rsid w:val="3490195A"/>
    <w:rsid w:val="34C87539"/>
    <w:rsid w:val="34E11C63"/>
    <w:rsid w:val="35037002"/>
    <w:rsid w:val="35083BE7"/>
    <w:rsid w:val="35147A61"/>
    <w:rsid w:val="354338CC"/>
    <w:rsid w:val="3546508A"/>
    <w:rsid w:val="354F1987"/>
    <w:rsid w:val="35700359"/>
    <w:rsid w:val="35BA7826"/>
    <w:rsid w:val="35DA1FD3"/>
    <w:rsid w:val="35E24941"/>
    <w:rsid w:val="35F02B59"/>
    <w:rsid w:val="360F71D3"/>
    <w:rsid w:val="36374C2C"/>
    <w:rsid w:val="363D4937"/>
    <w:rsid w:val="36400CEB"/>
    <w:rsid w:val="3640650F"/>
    <w:rsid w:val="36820344"/>
    <w:rsid w:val="36913B8F"/>
    <w:rsid w:val="36E47B81"/>
    <w:rsid w:val="36FC747B"/>
    <w:rsid w:val="377203B8"/>
    <w:rsid w:val="3782130C"/>
    <w:rsid w:val="37AD5028"/>
    <w:rsid w:val="37B23DC0"/>
    <w:rsid w:val="37BD53AB"/>
    <w:rsid w:val="37CF5A51"/>
    <w:rsid w:val="37F81A2D"/>
    <w:rsid w:val="381476C1"/>
    <w:rsid w:val="38274CF5"/>
    <w:rsid w:val="384E5709"/>
    <w:rsid w:val="385D3A32"/>
    <w:rsid w:val="389D1436"/>
    <w:rsid w:val="38A6660E"/>
    <w:rsid w:val="38C81AB7"/>
    <w:rsid w:val="38E507FA"/>
    <w:rsid w:val="38EC5F48"/>
    <w:rsid w:val="38FD222D"/>
    <w:rsid w:val="390211C1"/>
    <w:rsid w:val="390F0207"/>
    <w:rsid w:val="391F7478"/>
    <w:rsid w:val="392A6A70"/>
    <w:rsid w:val="39363667"/>
    <w:rsid w:val="39391D8C"/>
    <w:rsid w:val="394538AA"/>
    <w:rsid w:val="39700927"/>
    <w:rsid w:val="39BC50E7"/>
    <w:rsid w:val="39D03040"/>
    <w:rsid w:val="39F33306"/>
    <w:rsid w:val="3A41003D"/>
    <w:rsid w:val="3A531190"/>
    <w:rsid w:val="3A6854CC"/>
    <w:rsid w:val="3A8B1BB1"/>
    <w:rsid w:val="3ADE3FB6"/>
    <w:rsid w:val="3AEC4D47"/>
    <w:rsid w:val="3AF410E4"/>
    <w:rsid w:val="3B253993"/>
    <w:rsid w:val="3B297A4D"/>
    <w:rsid w:val="3B912DD7"/>
    <w:rsid w:val="3BC66F24"/>
    <w:rsid w:val="3BDB484F"/>
    <w:rsid w:val="3BF539A4"/>
    <w:rsid w:val="3C2F45AC"/>
    <w:rsid w:val="3C3A521C"/>
    <w:rsid w:val="3C4537E2"/>
    <w:rsid w:val="3C5C570A"/>
    <w:rsid w:val="3C5E7084"/>
    <w:rsid w:val="3C795D45"/>
    <w:rsid w:val="3C9B3F0D"/>
    <w:rsid w:val="3CD87E6D"/>
    <w:rsid w:val="3CFD4BC8"/>
    <w:rsid w:val="3D122381"/>
    <w:rsid w:val="3D235695"/>
    <w:rsid w:val="3D424900"/>
    <w:rsid w:val="3D91083B"/>
    <w:rsid w:val="3D913562"/>
    <w:rsid w:val="3D960010"/>
    <w:rsid w:val="3DBF6634"/>
    <w:rsid w:val="3DC94AAA"/>
    <w:rsid w:val="3DF57B79"/>
    <w:rsid w:val="3E244472"/>
    <w:rsid w:val="3E2747E6"/>
    <w:rsid w:val="3E300685"/>
    <w:rsid w:val="3E4B3711"/>
    <w:rsid w:val="3E595E0B"/>
    <w:rsid w:val="3E8C2EA8"/>
    <w:rsid w:val="3EAD352C"/>
    <w:rsid w:val="3EC62C18"/>
    <w:rsid w:val="3ED9257D"/>
    <w:rsid w:val="3F0F6C24"/>
    <w:rsid w:val="3F195722"/>
    <w:rsid w:val="3F1C2D07"/>
    <w:rsid w:val="3F7E303A"/>
    <w:rsid w:val="3FA70E1B"/>
    <w:rsid w:val="3FC6067B"/>
    <w:rsid w:val="3FCC4E39"/>
    <w:rsid w:val="3FD55988"/>
    <w:rsid w:val="40146815"/>
    <w:rsid w:val="401E545D"/>
    <w:rsid w:val="40354679"/>
    <w:rsid w:val="40577F27"/>
    <w:rsid w:val="405D632C"/>
    <w:rsid w:val="408625E5"/>
    <w:rsid w:val="40B03CFF"/>
    <w:rsid w:val="40B95628"/>
    <w:rsid w:val="40DD0AA9"/>
    <w:rsid w:val="40E8793D"/>
    <w:rsid w:val="412C5A7C"/>
    <w:rsid w:val="415709EC"/>
    <w:rsid w:val="41735459"/>
    <w:rsid w:val="418C02C8"/>
    <w:rsid w:val="419B6404"/>
    <w:rsid w:val="41D81894"/>
    <w:rsid w:val="41F26E27"/>
    <w:rsid w:val="420B40E0"/>
    <w:rsid w:val="422155C4"/>
    <w:rsid w:val="42416F43"/>
    <w:rsid w:val="426508F2"/>
    <w:rsid w:val="4269141F"/>
    <w:rsid w:val="427D5567"/>
    <w:rsid w:val="429F227D"/>
    <w:rsid w:val="42E27607"/>
    <w:rsid w:val="42EF56FC"/>
    <w:rsid w:val="43095949"/>
    <w:rsid w:val="43284021"/>
    <w:rsid w:val="433810BF"/>
    <w:rsid w:val="433C7ACC"/>
    <w:rsid w:val="433E4180"/>
    <w:rsid w:val="436314FD"/>
    <w:rsid w:val="43844A8D"/>
    <w:rsid w:val="43D56037"/>
    <w:rsid w:val="43DF5B69"/>
    <w:rsid w:val="43E97FDE"/>
    <w:rsid w:val="43FD560E"/>
    <w:rsid w:val="44121145"/>
    <w:rsid w:val="4416031D"/>
    <w:rsid w:val="443609BF"/>
    <w:rsid w:val="443B611F"/>
    <w:rsid w:val="4454377A"/>
    <w:rsid w:val="44761B1B"/>
    <w:rsid w:val="447C2876"/>
    <w:rsid w:val="44825D66"/>
    <w:rsid w:val="44E6604F"/>
    <w:rsid w:val="44FE6E4F"/>
    <w:rsid w:val="450A2BB8"/>
    <w:rsid w:val="45303FE5"/>
    <w:rsid w:val="45743BCA"/>
    <w:rsid w:val="45AA6F2D"/>
    <w:rsid w:val="45C10D70"/>
    <w:rsid w:val="45C14B6C"/>
    <w:rsid w:val="45D43FEC"/>
    <w:rsid w:val="45D8518E"/>
    <w:rsid w:val="45EA7371"/>
    <w:rsid w:val="45F8679F"/>
    <w:rsid w:val="45FA0D0B"/>
    <w:rsid w:val="46160AA8"/>
    <w:rsid w:val="46641814"/>
    <w:rsid w:val="46842982"/>
    <w:rsid w:val="46B310A6"/>
    <w:rsid w:val="46D02A05"/>
    <w:rsid w:val="46F954C9"/>
    <w:rsid w:val="471F7129"/>
    <w:rsid w:val="47280A93"/>
    <w:rsid w:val="47596E9F"/>
    <w:rsid w:val="47703CF4"/>
    <w:rsid w:val="477A4EA8"/>
    <w:rsid w:val="47AA6646"/>
    <w:rsid w:val="47AE1078"/>
    <w:rsid w:val="47BA5463"/>
    <w:rsid w:val="47E30E5E"/>
    <w:rsid w:val="4803505C"/>
    <w:rsid w:val="48056E5E"/>
    <w:rsid w:val="48084C71"/>
    <w:rsid w:val="485A2984"/>
    <w:rsid w:val="486A6DF0"/>
    <w:rsid w:val="487235A7"/>
    <w:rsid w:val="489650B8"/>
    <w:rsid w:val="48A1626A"/>
    <w:rsid w:val="48A32A06"/>
    <w:rsid w:val="48D533DB"/>
    <w:rsid w:val="48E704DA"/>
    <w:rsid w:val="49051B21"/>
    <w:rsid w:val="491018AF"/>
    <w:rsid w:val="49323566"/>
    <w:rsid w:val="494A511F"/>
    <w:rsid w:val="496122D3"/>
    <w:rsid w:val="496D2E4E"/>
    <w:rsid w:val="499A72FA"/>
    <w:rsid w:val="49AA023D"/>
    <w:rsid w:val="49C61CC3"/>
    <w:rsid w:val="49CD5922"/>
    <w:rsid w:val="49E24B15"/>
    <w:rsid w:val="4A0D3F70"/>
    <w:rsid w:val="4A1368BF"/>
    <w:rsid w:val="4A7F3599"/>
    <w:rsid w:val="4AFD3FE5"/>
    <w:rsid w:val="4B2969B8"/>
    <w:rsid w:val="4B7A5B4A"/>
    <w:rsid w:val="4B810772"/>
    <w:rsid w:val="4B83098E"/>
    <w:rsid w:val="4B90143B"/>
    <w:rsid w:val="4B9F509C"/>
    <w:rsid w:val="4C237A7B"/>
    <w:rsid w:val="4C2537F3"/>
    <w:rsid w:val="4C534154"/>
    <w:rsid w:val="4CAD4014"/>
    <w:rsid w:val="4CC8666A"/>
    <w:rsid w:val="4CD07C03"/>
    <w:rsid w:val="4CDA552C"/>
    <w:rsid w:val="4CDE094D"/>
    <w:rsid w:val="4CFB27A6"/>
    <w:rsid w:val="4CFD4F7F"/>
    <w:rsid w:val="4CFE07AC"/>
    <w:rsid w:val="4D0C49B3"/>
    <w:rsid w:val="4D3F08E5"/>
    <w:rsid w:val="4D53613E"/>
    <w:rsid w:val="4D7B566F"/>
    <w:rsid w:val="4D8D2C98"/>
    <w:rsid w:val="4DB7491F"/>
    <w:rsid w:val="4DC030AB"/>
    <w:rsid w:val="4DE70B18"/>
    <w:rsid w:val="4E22162D"/>
    <w:rsid w:val="4E3C3076"/>
    <w:rsid w:val="4E5C54C6"/>
    <w:rsid w:val="4E832A53"/>
    <w:rsid w:val="4E9234C3"/>
    <w:rsid w:val="4EC512BE"/>
    <w:rsid w:val="4F0E5CA5"/>
    <w:rsid w:val="4FCC21D8"/>
    <w:rsid w:val="4FD615AF"/>
    <w:rsid w:val="4FDC79E2"/>
    <w:rsid w:val="4FF43C08"/>
    <w:rsid w:val="502F41A2"/>
    <w:rsid w:val="504479E3"/>
    <w:rsid w:val="508A00C9"/>
    <w:rsid w:val="509251CF"/>
    <w:rsid w:val="50D6330E"/>
    <w:rsid w:val="51256043"/>
    <w:rsid w:val="517D2033"/>
    <w:rsid w:val="5181771E"/>
    <w:rsid w:val="51B003BE"/>
    <w:rsid w:val="51B4012F"/>
    <w:rsid w:val="51B573C7"/>
    <w:rsid w:val="521B540F"/>
    <w:rsid w:val="52262073"/>
    <w:rsid w:val="523E6BBC"/>
    <w:rsid w:val="528B5D4F"/>
    <w:rsid w:val="52903990"/>
    <w:rsid w:val="529945F3"/>
    <w:rsid w:val="52DC2732"/>
    <w:rsid w:val="52E11E52"/>
    <w:rsid w:val="52F263F9"/>
    <w:rsid w:val="53390C3A"/>
    <w:rsid w:val="53760DD8"/>
    <w:rsid w:val="53B27BB7"/>
    <w:rsid w:val="53CB2ED2"/>
    <w:rsid w:val="53DD0B4E"/>
    <w:rsid w:val="53EE772D"/>
    <w:rsid w:val="541C54DC"/>
    <w:rsid w:val="542D135B"/>
    <w:rsid w:val="543C7C24"/>
    <w:rsid w:val="545C7FCE"/>
    <w:rsid w:val="546B64F1"/>
    <w:rsid w:val="54937FC4"/>
    <w:rsid w:val="54BE47E5"/>
    <w:rsid w:val="54D87473"/>
    <w:rsid w:val="54DF5727"/>
    <w:rsid w:val="5539547F"/>
    <w:rsid w:val="55755617"/>
    <w:rsid w:val="55886BA1"/>
    <w:rsid w:val="55A45BD8"/>
    <w:rsid w:val="55C1657C"/>
    <w:rsid w:val="562025C2"/>
    <w:rsid w:val="562E4368"/>
    <w:rsid w:val="564B25B6"/>
    <w:rsid w:val="56576C9F"/>
    <w:rsid w:val="567C04B4"/>
    <w:rsid w:val="56824254"/>
    <w:rsid w:val="56902FD1"/>
    <w:rsid w:val="569D7705"/>
    <w:rsid w:val="569E238C"/>
    <w:rsid w:val="56A56F96"/>
    <w:rsid w:val="56B30171"/>
    <w:rsid w:val="56CB31E9"/>
    <w:rsid w:val="57174680"/>
    <w:rsid w:val="571D5BC5"/>
    <w:rsid w:val="5737087F"/>
    <w:rsid w:val="5750429E"/>
    <w:rsid w:val="575E5E0B"/>
    <w:rsid w:val="57626E74"/>
    <w:rsid w:val="578C19A9"/>
    <w:rsid w:val="579A6A20"/>
    <w:rsid w:val="58030690"/>
    <w:rsid w:val="582878DF"/>
    <w:rsid w:val="5852431F"/>
    <w:rsid w:val="585316E8"/>
    <w:rsid w:val="585D3E03"/>
    <w:rsid w:val="58BC1855"/>
    <w:rsid w:val="58F65638"/>
    <w:rsid w:val="590D1897"/>
    <w:rsid w:val="592F5CB1"/>
    <w:rsid w:val="59340387"/>
    <w:rsid w:val="593530F2"/>
    <w:rsid w:val="598903E7"/>
    <w:rsid w:val="598C212C"/>
    <w:rsid w:val="59A65848"/>
    <w:rsid w:val="59AC5554"/>
    <w:rsid w:val="59B937CD"/>
    <w:rsid w:val="5A0544D6"/>
    <w:rsid w:val="5A216A20"/>
    <w:rsid w:val="5A3A6E64"/>
    <w:rsid w:val="5AA1318C"/>
    <w:rsid w:val="5AAC3332"/>
    <w:rsid w:val="5AAF3F4B"/>
    <w:rsid w:val="5ACB1A0A"/>
    <w:rsid w:val="5B3475AF"/>
    <w:rsid w:val="5B44356A"/>
    <w:rsid w:val="5B5B394A"/>
    <w:rsid w:val="5B9444F1"/>
    <w:rsid w:val="5C0623D8"/>
    <w:rsid w:val="5C3A4DBE"/>
    <w:rsid w:val="5C78171D"/>
    <w:rsid w:val="5C9C1F7A"/>
    <w:rsid w:val="5CCC1A69"/>
    <w:rsid w:val="5D0C00B7"/>
    <w:rsid w:val="5D347D3A"/>
    <w:rsid w:val="5D651CDC"/>
    <w:rsid w:val="5D924A61"/>
    <w:rsid w:val="5D972077"/>
    <w:rsid w:val="5DBE7604"/>
    <w:rsid w:val="5DC5134D"/>
    <w:rsid w:val="5DC855E3"/>
    <w:rsid w:val="5DEB4609"/>
    <w:rsid w:val="5DF213F1"/>
    <w:rsid w:val="5DFB460D"/>
    <w:rsid w:val="5E0D5390"/>
    <w:rsid w:val="5E1016DA"/>
    <w:rsid w:val="5E4E6BDA"/>
    <w:rsid w:val="5E5341F0"/>
    <w:rsid w:val="5E662C96"/>
    <w:rsid w:val="5E77523A"/>
    <w:rsid w:val="5E7A5C21"/>
    <w:rsid w:val="5E9D1993"/>
    <w:rsid w:val="5F0279C4"/>
    <w:rsid w:val="5F1576F7"/>
    <w:rsid w:val="5F2D0BA6"/>
    <w:rsid w:val="5F3062DF"/>
    <w:rsid w:val="5F6C401A"/>
    <w:rsid w:val="5F804302"/>
    <w:rsid w:val="5F9B50AD"/>
    <w:rsid w:val="5FA8056B"/>
    <w:rsid w:val="5FA86C07"/>
    <w:rsid w:val="5FD259F9"/>
    <w:rsid w:val="5FDD2B3A"/>
    <w:rsid w:val="5FEC1F0A"/>
    <w:rsid w:val="601479AF"/>
    <w:rsid w:val="606A1F45"/>
    <w:rsid w:val="60E05F15"/>
    <w:rsid w:val="60E530F9"/>
    <w:rsid w:val="610E08A2"/>
    <w:rsid w:val="615C785F"/>
    <w:rsid w:val="618667F7"/>
    <w:rsid w:val="61974A55"/>
    <w:rsid w:val="61A62964"/>
    <w:rsid w:val="622E4597"/>
    <w:rsid w:val="62791D4B"/>
    <w:rsid w:val="627B3D15"/>
    <w:rsid w:val="628D3A49"/>
    <w:rsid w:val="62B25DC7"/>
    <w:rsid w:val="62B62F9F"/>
    <w:rsid w:val="62B92A90"/>
    <w:rsid w:val="62D41677"/>
    <w:rsid w:val="639F6592"/>
    <w:rsid w:val="63BC2837"/>
    <w:rsid w:val="63C401DD"/>
    <w:rsid w:val="63CF1338"/>
    <w:rsid w:val="63F57AF7"/>
    <w:rsid w:val="646D3183"/>
    <w:rsid w:val="64726F43"/>
    <w:rsid w:val="648570CD"/>
    <w:rsid w:val="64A227CA"/>
    <w:rsid w:val="64A55079"/>
    <w:rsid w:val="64BC7BAE"/>
    <w:rsid w:val="64D3579B"/>
    <w:rsid w:val="64DD35B1"/>
    <w:rsid w:val="64E57B6C"/>
    <w:rsid w:val="651A5C23"/>
    <w:rsid w:val="652642B8"/>
    <w:rsid w:val="656A5114"/>
    <w:rsid w:val="65847385"/>
    <w:rsid w:val="65A86B35"/>
    <w:rsid w:val="65B11292"/>
    <w:rsid w:val="65B366BA"/>
    <w:rsid w:val="65BA75C8"/>
    <w:rsid w:val="65E51077"/>
    <w:rsid w:val="661A4B91"/>
    <w:rsid w:val="668138C4"/>
    <w:rsid w:val="66833198"/>
    <w:rsid w:val="66BF4C99"/>
    <w:rsid w:val="670C65D6"/>
    <w:rsid w:val="67423054"/>
    <w:rsid w:val="67483640"/>
    <w:rsid w:val="676B07FC"/>
    <w:rsid w:val="677F1909"/>
    <w:rsid w:val="67920993"/>
    <w:rsid w:val="67A04E3D"/>
    <w:rsid w:val="67B17675"/>
    <w:rsid w:val="67B4673E"/>
    <w:rsid w:val="67EC3760"/>
    <w:rsid w:val="682C3AD4"/>
    <w:rsid w:val="68442DFB"/>
    <w:rsid w:val="68613679"/>
    <w:rsid w:val="68727968"/>
    <w:rsid w:val="68760E89"/>
    <w:rsid w:val="68AB2E7A"/>
    <w:rsid w:val="68BA153C"/>
    <w:rsid w:val="68C47A98"/>
    <w:rsid w:val="68EA39A3"/>
    <w:rsid w:val="68F04364"/>
    <w:rsid w:val="68FB5CC4"/>
    <w:rsid w:val="69EF1C7F"/>
    <w:rsid w:val="6A0C5BB7"/>
    <w:rsid w:val="6A154A4F"/>
    <w:rsid w:val="6A303637"/>
    <w:rsid w:val="6A915DF3"/>
    <w:rsid w:val="6AAF6C52"/>
    <w:rsid w:val="6AF9199E"/>
    <w:rsid w:val="6B5C7C76"/>
    <w:rsid w:val="6B6A7665"/>
    <w:rsid w:val="6B9D6AAA"/>
    <w:rsid w:val="6BA0144E"/>
    <w:rsid w:val="6C0B643D"/>
    <w:rsid w:val="6C1825D5"/>
    <w:rsid w:val="6C1A00FB"/>
    <w:rsid w:val="6C2216A6"/>
    <w:rsid w:val="6C2C7E2E"/>
    <w:rsid w:val="6C4B4758"/>
    <w:rsid w:val="6CBC7404"/>
    <w:rsid w:val="6CD26C28"/>
    <w:rsid w:val="6D2C0311"/>
    <w:rsid w:val="6D3671B7"/>
    <w:rsid w:val="6D4D22D2"/>
    <w:rsid w:val="6DA00AD4"/>
    <w:rsid w:val="6DB1683D"/>
    <w:rsid w:val="6DBF45BF"/>
    <w:rsid w:val="6DE2733E"/>
    <w:rsid w:val="6E1D536C"/>
    <w:rsid w:val="6E2B0B07"/>
    <w:rsid w:val="6E4542A4"/>
    <w:rsid w:val="6E4C0C5C"/>
    <w:rsid w:val="6E851A78"/>
    <w:rsid w:val="6EA75E92"/>
    <w:rsid w:val="6EAB4561"/>
    <w:rsid w:val="6EED1AF7"/>
    <w:rsid w:val="6F237019"/>
    <w:rsid w:val="6F616041"/>
    <w:rsid w:val="6F7264A0"/>
    <w:rsid w:val="6F9E7295"/>
    <w:rsid w:val="6FA50623"/>
    <w:rsid w:val="6FB30672"/>
    <w:rsid w:val="70741870"/>
    <w:rsid w:val="70A47889"/>
    <w:rsid w:val="70DC38F7"/>
    <w:rsid w:val="71297032"/>
    <w:rsid w:val="71306613"/>
    <w:rsid w:val="714A395B"/>
    <w:rsid w:val="71FA5E12"/>
    <w:rsid w:val="71FB277D"/>
    <w:rsid w:val="7238577F"/>
    <w:rsid w:val="72513B7B"/>
    <w:rsid w:val="72677016"/>
    <w:rsid w:val="72895FDA"/>
    <w:rsid w:val="72BF19FC"/>
    <w:rsid w:val="72D22688"/>
    <w:rsid w:val="72EF331E"/>
    <w:rsid w:val="73357F10"/>
    <w:rsid w:val="733A434A"/>
    <w:rsid w:val="734F2F9E"/>
    <w:rsid w:val="736E51D0"/>
    <w:rsid w:val="737722D7"/>
    <w:rsid w:val="73860E12"/>
    <w:rsid w:val="73C53042"/>
    <w:rsid w:val="73F27EF4"/>
    <w:rsid w:val="73F76F74"/>
    <w:rsid w:val="74406B6D"/>
    <w:rsid w:val="744B4275"/>
    <w:rsid w:val="748527D2"/>
    <w:rsid w:val="749271F3"/>
    <w:rsid w:val="7498334F"/>
    <w:rsid w:val="74C8055A"/>
    <w:rsid w:val="74C96B62"/>
    <w:rsid w:val="74FA4F6E"/>
    <w:rsid w:val="74FA6600"/>
    <w:rsid w:val="750E6C6B"/>
    <w:rsid w:val="75114065"/>
    <w:rsid w:val="75241FEA"/>
    <w:rsid w:val="75D64A4F"/>
    <w:rsid w:val="76227727"/>
    <w:rsid w:val="762B2267"/>
    <w:rsid w:val="762F6E99"/>
    <w:rsid w:val="76B01217"/>
    <w:rsid w:val="76F82B81"/>
    <w:rsid w:val="770725FA"/>
    <w:rsid w:val="772E7150"/>
    <w:rsid w:val="77A21895"/>
    <w:rsid w:val="77CC50DF"/>
    <w:rsid w:val="77F4039A"/>
    <w:rsid w:val="782D1944"/>
    <w:rsid w:val="784B5AE0"/>
    <w:rsid w:val="785A709F"/>
    <w:rsid w:val="786171CD"/>
    <w:rsid w:val="788A485A"/>
    <w:rsid w:val="78B4367F"/>
    <w:rsid w:val="7919746E"/>
    <w:rsid w:val="795E31C8"/>
    <w:rsid w:val="79627585"/>
    <w:rsid w:val="79853FBD"/>
    <w:rsid w:val="79B82F8A"/>
    <w:rsid w:val="7A532160"/>
    <w:rsid w:val="7A96669D"/>
    <w:rsid w:val="7AB44136"/>
    <w:rsid w:val="7AB756AF"/>
    <w:rsid w:val="7AC0620F"/>
    <w:rsid w:val="7AE75F94"/>
    <w:rsid w:val="7B05641A"/>
    <w:rsid w:val="7B35055F"/>
    <w:rsid w:val="7B453A59"/>
    <w:rsid w:val="7B5C5D8A"/>
    <w:rsid w:val="7B881AD9"/>
    <w:rsid w:val="7BCD7445"/>
    <w:rsid w:val="7BF15108"/>
    <w:rsid w:val="7C580C2D"/>
    <w:rsid w:val="7C6F7552"/>
    <w:rsid w:val="7C7750F6"/>
    <w:rsid w:val="7C780AA3"/>
    <w:rsid w:val="7C9A7858"/>
    <w:rsid w:val="7C9D34C4"/>
    <w:rsid w:val="7CAD6D69"/>
    <w:rsid w:val="7CD335AB"/>
    <w:rsid w:val="7D256900"/>
    <w:rsid w:val="7D7B648E"/>
    <w:rsid w:val="7D8F021D"/>
    <w:rsid w:val="7DC73E5B"/>
    <w:rsid w:val="7E556AAE"/>
    <w:rsid w:val="7EA65570"/>
    <w:rsid w:val="7EB10D93"/>
    <w:rsid w:val="7F17496E"/>
    <w:rsid w:val="7F2D7CEE"/>
    <w:rsid w:val="7F360DB0"/>
    <w:rsid w:val="7FB46BB3"/>
    <w:rsid w:val="7FD10FC1"/>
    <w:rsid w:val="7FDA73B3"/>
    <w:rsid w:val="7FEA779A"/>
    <w:rsid w:val="7FFB79E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6"/>
    <w:qFormat/>
    <w:uiPriority w:val="0"/>
    <w:pPr>
      <w:keepNext/>
      <w:keepLines/>
      <w:spacing w:before="340" w:after="330" w:line="360" w:lineRule="auto"/>
      <w:jc w:val="center"/>
      <w:outlineLvl w:val="0"/>
    </w:pPr>
    <w:rPr>
      <w:b/>
      <w:bCs/>
      <w:kern w:val="44"/>
      <w:sz w:val="24"/>
      <w:szCs w:val="44"/>
    </w:rPr>
  </w:style>
  <w:style w:type="paragraph" w:styleId="4">
    <w:name w:val="heading 2"/>
    <w:basedOn w:val="1"/>
    <w:next w:val="1"/>
    <w:qFormat/>
    <w:uiPriority w:val="0"/>
    <w:pPr>
      <w:keepNext/>
      <w:keepLines/>
      <w:spacing w:before="260" w:after="260"/>
      <w:jc w:val="left"/>
      <w:outlineLvl w:val="1"/>
    </w:pPr>
    <w:rPr>
      <w:rFonts w:ascii="Arial" w:hAnsi="Arial"/>
      <w:b/>
      <w:bCs/>
      <w:sz w:val="24"/>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link w:val="8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36"/>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10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14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9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16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lang w:val="zh-CN"/>
    </w:rPr>
  </w:style>
  <w:style w:type="paragraph" w:styleId="12">
    <w:name w:val="toc 7"/>
    <w:basedOn w:val="1"/>
    <w:next w:val="1"/>
    <w:qFormat/>
    <w:uiPriority w:val="0"/>
    <w:pPr>
      <w:ind w:left="1260"/>
      <w:jc w:val="left"/>
    </w:pPr>
    <w:rPr>
      <w:sz w:val="18"/>
      <w:szCs w:val="18"/>
    </w:rPr>
  </w:style>
  <w:style w:type="paragraph" w:styleId="13">
    <w:name w:val="Note Heading"/>
    <w:basedOn w:val="1"/>
    <w:next w:val="1"/>
    <w:qFormat/>
    <w:uiPriority w:val="99"/>
    <w:pPr>
      <w:jc w:val="center"/>
    </w:pPr>
    <w:rPr>
      <w:szCs w:val="20"/>
    </w:rPr>
  </w:style>
  <w:style w:type="paragraph" w:styleId="14">
    <w:name w:val="Normal Indent"/>
    <w:basedOn w:val="1"/>
    <w:qFormat/>
    <w:uiPriority w:val="0"/>
    <w:pPr>
      <w:ind w:firstLine="420" w:firstLineChars="200"/>
    </w:pPr>
  </w:style>
  <w:style w:type="paragraph" w:styleId="15">
    <w:name w:val="Document Map"/>
    <w:basedOn w:val="1"/>
    <w:link w:val="174"/>
    <w:qFormat/>
    <w:uiPriority w:val="0"/>
    <w:pPr>
      <w:shd w:val="clear" w:color="auto" w:fill="000080"/>
    </w:pPr>
  </w:style>
  <w:style w:type="paragraph" w:styleId="16">
    <w:name w:val="annotation text"/>
    <w:basedOn w:val="1"/>
    <w:link w:val="148"/>
    <w:qFormat/>
    <w:uiPriority w:val="0"/>
    <w:pPr>
      <w:jc w:val="left"/>
    </w:pPr>
  </w:style>
  <w:style w:type="paragraph" w:styleId="17">
    <w:name w:val="Body Text 3"/>
    <w:basedOn w:val="1"/>
    <w:link w:val="130"/>
    <w:qFormat/>
    <w:uiPriority w:val="0"/>
    <w:rPr>
      <w:rFonts w:ascii="宋体"/>
      <w:sz w:val="24"/>
      <w:szCs w:val="20"/>
    </w:rPr>
  </w:style>
  <w:style w:type="paragraph" w:styleId="18">
    <w:name w:val="Body Text"/>
    <w:basedOn w:val="1"/>
    <w:next w:val="1"/>
    <w:link w:val="133"/>
    <w:qFormat/>
    <w:uiPriority w:val="0"/>
    <w:pPr>
      <w:jc w:val="center"/>
    </w:pPr>
    <w:rPr>
      <w:b/>
      <w:bCs/>
      <w:sz w:val="44"/>
      <w:szCs w:val="20"/>
    </w:rPr>
  </w:style>
  <w:style w:type="paragraph" w:styleId="19">
    <w:name w:val="Body Text Indent"/>
    <w:basedOn w:val="1"/>
    <w:link w:val="115"/>
    <w:qFormat/>
    <w:uiPriority w:val="0"/>
    <w:pPr>
      <w:spacing w:line="500" w:lineRule="exact"/>
      <w:ind w:firstLine="538"/>
    </w:pPr>
    <w:rPr>
      <w:sz w:val="28"/>
    </w:rPr>
  </w:style>
  <w:style w:type="paragraph" w:styleId="20">
    <w:name w:val="List Continue"/>
    <w:basedOn w:val="1"/>
    <w:qFormat/>
    <w:uiPriority w:val="0"/>
    <w:pPr>
      <w:spacing w:after="120"/>
      <w:ind w:left="420"/>
    </w:pPr>
  </w:style>
  <w:style w:type="paragraph" w:styleId="21">
    <w:name w:val="Block Text"/>
    <w:basedOn w:val="1"/>
    <w:next w:val="18"/>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link w:val="127"/>
    <w:qFormat/>
    <w:uiPriority w:val="0"/>
    <w:rPr>
      <w:rFonts w:ascii="Courier New" w:hAnsi="Courier New"/>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169"/>
    <w:qFormat/>
    <w:uiPriority w:val="0"/>
    <w:rPr>
      <w:rFonts w:ascii="仿宋_GB2312" w:eastAsia="仿宋_GB2312"/>
      <w:sz w:val="3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link w:val="120"/>
    <w:qFormat/>
    <w:uiPriority w:val="0"/>
    <w:rPr>
      <w:sz w:val="18"/>
      <w:szCs w:val="18"/>
    </w:rPr>
  </w:style>
  <w:style w:type="paragraph" w:styleId="29">
    <w:name w:val="footer"/>
    <w:basedOn w:val="1"/>
    <w:link w:val="71"/>
    <w:qFormat/>
    <w:uiPriority w:val="0"/>
    <w:pPr>
      <w:tabs>
        <w:tab w:val="center" w:pos="4153"/>
        <w:tab w:val="right" w:pos="8306"/>
      </w:tabs>
      <w:snapToGrid w:val="0"/>
      <w:jc w:val="left"/>
    </w:pPr>
    <w:rPr>
      <w:sz w:val="18"/>
      <w:szCs w:val="18"/>
    </w:rPr>
  </w:style>
  <w:style w:type="paragraph" w:styleId="30">
    <w:name w:val="envelope return"/>
    <w:basedOn w:val="1"/>
    <w:next w:val="12"/>
    <w:qFormat/>
    <w:uiPriority w:val="0"/>
    <w:pPr>
      <w:snapToGrid w:val="0"/>
    </w:pPr>
    <w:rPr>
      <w:rFonts w:ascii="Arial" w:hAnsi="Arial"/>
    </w:rPr>
  </w:style>
  <w:style w:type="paragraph" w:styleId="31">
    <w:name w:val="header"/>
    <w:basedOn w:val="1"/>
    <w:link w:val="185"/>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spacing w:before="120" w:after="120"/>
      <w:jc w:val="left"/>
    </w:pPr>
    <w:rPr>
      <w:b/>
      <w:bCs/>
      <w:caps/>
      <w:sz w:val="20"/>
      <w:szCs w:val="20"/>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420" w:hanging="420"/>
    </w:pPr>
    <w:rPr>
      <w:rFonts w:ascii="Arial" w:hAnsi="Arial" w:eastAsia="楷体_GB2312"/>
      <w:sz w:val="28"/>
      <w:szCs w:val="20"/>
    </w:rPr>
  </w:style>
  <w:style w:type="paragraph" w:styleId="35">
    <w:name w:val="footnote text"/>
    <w:basedOn w:val="1"/>
    <w:link w:val="126"/>
    <w:qFormat/>
    <w:uiPriority w:val="0"/>
    <w:rPr>
      <w:sz w:val="20"/>
      <w:szCs w:val="20"/>
    </w:rPr>
  </w:style>
  <w:style w:type="paragraph" w:styleId="36">
    <w:name w:val="toc 6"/>
    <w:basedOn w:val="1"/>
    <w:next w:val="37"/>
    <w:qFormat/>
    <w:uiPriority w:val="0"/>
    <w:pPr>
      <w:ind w:left="1050"/>
      <w:jc w:val="left"/>
    </w:pPr>
    <w:rPr>
      <w:sz w:val="18"/>
      <w:szCs w:val="18"/>
    </w:rPr>
  </w:style>
  <w:style w:type="paragraph" w:customStyle="1" w:styleId="37">
    <w:name w:val="xl76"/>
    <w:basedOn w:val="1"/>
    <w:next w:val="38"/>
    <w:qFormat/>
    <w:uiPriority w:val="0"/>
    <w:pPr>
      <w:widowControl/>
    </w:pPr>
    <w:rPr>
      <w:rFonts w:ascii="Arial Unicode MS" w:eastAsia="Arial Unicode MS"/>
      <w:b/>
      <w:sz w:val="18"/>
    </w:rPr>
  </w:style>
  <w:style w:type="paragraph" w:customStyle="1" w:styleId="38">
    <w:name w:val="xl56"/>
    <w:basedOn w:val="1"/>
    <w:next w:val="39"/>
    <w:qFormat/>
    <w:uiPriority w:val="0"/>
    <w:pPr>
      <w:widowControl/>
      <w:jc w:val="center"/>
    </w:pPr>
    <w:rPr>
      <w:rFonts w:ascii="Arial Unicode MS" w:eastAsia="Arial Unicode MS"/>
      <w:sz w:val="18"/>
    </w:rPr>
  </w:style>
  <w:style w:type="paragraph" w:customStyle="1" w:styleId="39">
    <w:name w:val="xl32"/>
    <w:basedOn w:val="1"/>
    <w:next w:val="1"/>
    <w:qFormat/>
    <w:uiPriority w:val="0"/>
    <w:pPr>
      <w:widowControl/>
      <w:jc w:val="right"/>
    </w:pPr>
    <w:rPr>
      <w:rFonts w:ascii="Arial Unicode MS" w:eastAsia="Arial Unicode MS"/>
      <w:sz w:val="18"/>
    </w:rPr>
  </w:style>
  <w:style w:type="paragraph" w:styleId="40">
    <w:name w:val="Body Text Indent 3"/>
    <w:basedOn w:val="1"/>
    <w:link w:val="72"/>
    <w:qFormat/>
    <w:uiPriority w:val="0"/>
    <w:pPr>
      <w:spacing w:after="120"/>
      <w:ind w:left="420" w:leftChars="200"/>
    </w:pPr>
    <w:rPr>
      <w:sz w:val="16"/>
      <w:szCs w:val="16"/>
    </w:rPr>
  </w:style>
  <w:style w:type="paragraph" w:styleId="41">
    <w:name w:val="table of figures"/>
    <w:basedOn w:val="1"/>
    <w:next w:val="1"/>
    <w:qFormat/>
    <w:uiPriority w:val="0"/>
    <w:pPr>
      <w:ind w:left="200" w:leftChars="200" w:hanging="200" w:hangingChars="200"/>
    </w:pPr>
  </w:style>
  <w:style w:type="paragraph" w:styleId="42">
    <w:name w:val="toc 2"/>
    <w:basedOn w:val="1"/>
    <w:next w:val="1"/>
    <w:qFormat/>
    <w:uiPriority w:val="0"/>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Body Text 2"/>
    <w:basedOn w:val="1"/>
    <w:qFormat/>
    <w:uiPriority w:val="0"/>
    <w:pPr>
      <w:spacing w:line="360" w:lineRule="auto"/>
      <w:ind w:firstLine="200" w:firstLineChars="200"/>
    </w:pPr>
  </w:style>
  <w:style w:type="paragraph" w:styleId="45">
    <w:name w:val="Message Header"/>
    <w:basedOn w:val="1"/>
    <w:next w:val="1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link w:val="1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47">
    <w:name w:val="Normal (Web)"/>
    <w:basedOn w:val="1"/>
    <w:qFormat/>
    <w:uiPriority w:val="0"/>
    <w:pPr>
      <w:widowControl/>
      <w:jc w:val="left"/>
    </w:pPr>
    <w:rPr>
      <w:rFonts w:ascii="宋体" w:hAnsi="宋体" w:cs="宋体"/>
      <w:kern w:val="0"/>
      <w:sz w:val="18"/>
      <w:szCs w:val="18"/>
    </w:rPr>
  </w:style>
  <w:style w:type="paragraph" w:styleId="48">
    <w:name w:val="Title"/>
    <w:basedOn w:val="1"/>
    <w:next w:val="1"/>
    <w:link w:val="14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9">
    <w:name w:val="annotation subject"/>
    <w:basedOn w:val="16"/>
    <w:next w:val="16"/>
    <w:link w:val="150"/>
    <w:qFormat/>
    <w:uiPriority w:val="0"/>
    <w:rPr>
      <w:b/>
      <w:bCs/>
    </w:rPr>
  </w:style>
  <w:style w:type="paragraph" w:styleId="50">
    <w:name w:val="Body Text First Indent 2"/>
    <w:basedOn w:val="19"/>
    <w:link w:val="171"/>
    <w:qFormat/>
    <w:uiPriority w:val="0"/>
    <w:pPr>
      <w:spacing w:after="120" w:line="240" w:lineRule="auto"/>
      <w:ind w:left="420" w:leftChars="200" w:firstLine="420" w:firstLineChars="200"/>
    </w:pPr>
    <w:rPr>
      <w:sz w:val="21"/>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0"/>
    <w:rPr>
      <w:b/>
    </w:rPr>
  </w:style>
  <w:style w:type="character" w:styleId="55">
    <w:name w:val="page number"/>
    <w:qFormat/>
    <w:uiPriority w:val="0"/>
  </w:style>
  <w:style w:type="character" w:styleId="56">
    <w:name w:val="FollowedHyperlink"/>
    <w:unhideWhenUsed/>
    <w:qFormat/>
    <w:uiPriority w:val="0"/>
    <w:rPr>
      <w:color w:val="800080"/>
      <w:u w:val="none"/>
    </w:rPr>
  </w:style>
  <w:style w:type="character" w:styleId="57">
    <w:name w:val="Emphasis"/>
    <w:qFormat/>
    <w:uiPriority w:val="0"/>
    <w:rPr>
      <w:color w:val="CC0033"/>
    </w:rPr>
  </w:style>
  <w:style w:type="character" w:styleId="58">
    <w:name w:val="HTML Definition"/>
    <w:qFormat/>
    <w:uiPriority w:val="0"/>
  </w:style>
  <w:style w:type="character" w:styleId="59">
    <w:name w:val="HTML Typewriter"/>
    <w:qFormat/>
    <w:uiPriority w:val="0"/>
    <w:rPr>
      <w:rFonts w:ascii="Monospace" w:hAnsi="Monospace" w:eastAsia="Monospace" w:cs="Monospace"/>
      <w:sz w:val="20"/>
      <w:lang w:bidi="ar-SA"/>
    </w:rPr>
  </w:style>
  <w:style w:type="character" w:styleId="60">
    <w:name w:val="HTML Acronym"/>
    <w:qFormat/>
    <w:uiPriority w:val="0"/>
  </w:style>
  <w:style w:type="character" w:styleId="61">
    <w:name w:val="HTML Variable"/>
    <w:qFormat/>
    <w:uiPriority w:val="0"/>
  </w:style>
  <w:style w:type="character" w:styleId="62">
    <w:name w:val="Hyperlink"/>
    <w:qFormat/>
    <w:uiPriority w:val="0"/>
    <w:rPr>
      <w:color w:val="333333"/>
      <w:u w:val="none"/>
    </w:rPr>
  </w:style>
  <w:style w:type="character" w:styleId="63">
    <w:name w:val="HTML Code"/>
    <w:qFormat/>
    <w:uiPriority w:val="0"/>
    <w:rPr>
      <w:rFonts w:ascii="Monospace" w:hAnsi="Monospace" w:eastAsia="Monospace" w:cs="Monospace"/>
      <w:sz w:val="20"/>
      <w:lang w:bidi="ar-SA"/>
    </w:rPr>
  </w:style>
  <w:style w:type="character" w:styleId="64">
    <w:name w:val="annotation reference"/>
    <w:qFormat/>
    <w:uiPriority w:val="0"/>
    <w:rPr>
      <w:sz w:val="21"/>
      <w:szCs w:val="21"/>
    </w:rPr>
  </w:style>
  <w:style w:type="character" w:styleId="65">
    <w:name w:val="HTML Cite"/>
    <w:qFormat/>
    <w:uiPriority w:val="0"/>
  </w:style>
  <w:style w:type="character" w:styleId="66">
    <w:name w:val="footnote reference"/>
    <w:qFormat/>
    <w:uiPriority w:val="0"/>
    <w:rPr>
      <w:vertAlign w:val="superscript"/>
    </w:rPr>
  </w:style>
  <w:style w:type="character" w:styleId="67">
    <w:name w:val="HTML Keyboard"/>
    <w:qFormat/>
    <w:uiPriority w:val="0"/>
    <w:rPr>
      <w:rFonts w:ascii="Monospace" w:hAnsi="Monospace" w:eastAsia="Monospace" w:cs="Monospace"/>
      <w:sz w:val="20"/>
      <w:lang w:bidi="ar-SA"/>
    </w:rPr>
  </w:style>
  <w:style w:type="character" w:styleId="68">
    <w:name w:val="HTML Sample"/>
    <w:qFormat/>
    <w:uiPriority w:val="0"/>
    <w:rPr>
      <w:rFonts w:ascii="Monospace" w:hAnsi="Monospace" w:eastAsia="Monospace" w:cs="Monospace"/>
      <w:lang w:bidi="ar-SA"/>
    </w:rPr>
  </w:style>
  <w:style w:type="paragraph" w:customStyle="1" w:styleId="69">
    <w:name w:val="正文文字 8"/>
    <w:basedOn w:val="1"/>
    <w:next w:val="1"/>
    <w:qFormat/>
    <w:uiPriority w:val="0"/>
    <w:pPr>
      <w:ind w:left="240"/>
    </w:pPr>
    <w:rPr>
      <w:sz w:val="16"/>
    </w:rPr>
  </w:style>
  <w:style w:type="character" w:customStyle="1" w:styleId="70">
    <w:name w:val="l21"/>
    <w:qFormat/>
    <w:uiPriority w:val="0"/>
    <w:rPr>
      <w:color w:val="999999"/>
    </w:rPr>
  </w:style>
  <w:style w:type="character" w:customStyle="1" w:styleId="71">
    <w:name w:val="页脚 字符"/>
    <w:link w:val="29"/>
    <w:qFormat/>
    <w:uiPriority w:val="0"/>
    <w:rPr>
      <w:kern w:val="2"/>
      <w:sz w:val="18"/>
      <w:szCs w:val="18"/>
    </w:rPr>
  </w:style>
  <w:style w:type="character" w:customStyle="1" w:styleId="72">
    <w:name w:val="正文文本缩进 3 字符"/>
    <w:link w:val="40"/>
    <w:qFormat/>
    <w:uiPriority w:val="0"/>
    <w:rPr>
      <w:kern w:val="2"/>
      <w:sz w:val="16"/>
      <w:szCs w:val="16"/>
    </w:rPr>
  </w:style>
  <w:style w:type="character" w:customStyle="1" w:styleId="73">
    <w:name w:val="over"/>
    <w:qFormat/>
    <w:uiPriority w:val="0"/>
    <w:rPr>
      <w:color w:val="B60000"/>
    </w:rPr>
  </w:style>
  <w:style w:type="character" w:customStyle="1" w:styleId="74">
    <w:name w:val="tit13"/>
    <w:qFormat/>
    <w:uiPriority w:val="0"/>
    <w:rPr>
      <w:color w:val="FFFFFF"/>
    </w:rPr>
  </w:style>
  <w:style w:type="character" w:customStyle="1" w:styleId="75">
    <w:name w:val="tit15"/>
    <w:qFormat/>
    <w:uiPriority w:val="0"/>
    <w:rPr>
      <w:b/>
      <w:color w:val="B60000"/>
    </w:rPr>
  </w:style>
  <w:style w:type="character" w:customStyle="1" w:styleId="76">
    <w:name w:val="mesg-myd"/>
    <w:qFormat/>
    <w:uiPriority w:val="0"/>
    <w:rPr>
      <w:color w:val="EE0000"/>
    </w:rPr>
  </w:style>
  <w:style w:type="character" w:customStyle="1" w:styleId="77">
    <w:name w:val="img_title8"/>
    <w:qFormat/>
    <w:uiPriority w:val="0"/>
    <w:rPr>
      <w:vanish/>
    </w:rPr>
  </w:style>
  <w:style w:type="character" w:customStyle="1" w:styleId="78">
    <w:name w:val="l11"/>
    <w:qFormat/>
    <w:uiPriority w:val="0"/>
    <w:rPr>
      <w:color w:val="999999"/>
    </w:rPr>
  </w:style>
  <w:style w:type="character" w:customStyle="1" w:styleId="79">
    <w:name w:val="over1"/>
    <w:qFormat/>
    <w:uiPriority w:val="0"/>
    <w:rPr>
      <w:color w:val="B60000"/>
    </w:rPr>
  </w:style>
  <w:style w:type="character" w:customStyle="1" w:styleId="80">
    <w:name w:val="Char Char7"/>
    <w:qFormat/>
    <w:uiPriority w:val="0"/>
    <w:rPr>
      <w:rFonts w:ascii="Arial" w:hAnsi="Arial" w:eastAsia="黑体"/>
      <w:b/>
      <w:bCs/>
      <w:kern w:val="2"/>
      <w:sz w:val="32"/>
      <w:szCs w:val="32"/>
      <w:lang w:val="en-US" w:eastAsia="zh-CN" w:bidi="ar-SA"/>
    </w:rPr>
  </w:style>
  <w:style w:type="character" w:customStyle="1" w:styleId="81">
    <w:name w:val="Char Char5"/>
    <w:qFormat/>
    <w:uiPriority w:val="0"/>
    <w:rPr>
      <w:rFonts w:ascii="Arial" w:hAnsi="Arial" w:eastAsia="黑体"/>
      <w:b/>
      <w:bCs/>
      <w:kern w:val="2"/>
      <w:sz w:val="32"/>
      <w:szCs w:val="32"/>
    </w:rPr>
  </w:style>
  <w:style w:type="character" w:customStyle="1" w:styleId="82">
    <w:name w:val="starting1"/>
    <w:qFormat/>
    <w:uiPriority w:val="0"/>
    <w:rPr>
      <w:color w:val="339900"/>
    </w:rPr>
  </w:style>
  <w:style w:type="character" w:customStyle="1" w:styleId="83">
    <w:name w:val="num61"/>
    <w:qFormat/>
    <w:uiPriority w:val="0"/>
  </w:style>
  <w:style w:type="character" w:customStyle="1" w:styleId="84">
    <w:name w:val="标题 4 字符"/>
    <w:link w:val="6"/>
    <w:qFormat/>
    <w:uiPriority w:val="0"/>
    <w:rPr>
      <w:rFonts w:ascii="Arial" w:hAnsi="Arial" w:eastAsia="黑体"/>
      <w:b/>
      <w:bCs/>
      <w:kern w:val="2"/>
      <w:sz w:val="28"/>
      <w:szCs w:val="28"/>
    </w:rPr>
  </w:style>
  <w:style w:type="character" w:customStyle="1" w:styleId="85">
    <w:name w:val="z-窗体顶端 字符"/>
    <w:link w:val="86"/>
    <w:qFormat/>
    <w:uiPriority w:val="0"/>
    <w:rPr>
      <w:rFonts w:ascii="Arial" w:hAnsi="Calibri"/>
      <w:vanish/>
      <w:kern w:val="2"/>
      <w:sz w:val="16"/>
      <w:szCs w:val="24"/>
    </w:rPr>
  </w:style>
  <w:style w:type="paragraph" w:customStyle="1" w:styleId="86">
    <w:name w:val="z-窗体顶端1"/>
    <w:basedOn w:val="1"/>
    <w:next w:val="1"/>
    <w:link w:val="85"/>
    <w:qFormat/>
    <w:uiPriority w:val="0"/>
    <w:pPr>
      <w:pBdr>
        <w:bottom w:val="single" w:color="auto" w:sz="6" w:space="1"/>
      </w:pBdr>
      <w:jc w:val="center"/>
    </w:pPr>
    <w:rPr>
      <w:rFonts w:ascii="Arial" w:hAnsi="Calibri"/>
      <w:vanish/>
      <w:sz w:val="16"/>
    </w:rPr>
  </w:style>
  <w:style w:type="character" w:customStyle="1" w:styleId="87">
    <w:name w:val="z-窗体底端 字符"/>
    <w:link w:val="88"/>
    <w:qFormat/>
    <w:uiPriority w:val="0"/>
    <w:rPr>
      <w:rFonts w:ascii="Arial" w:hAnsi="Calibri"/>
      <w:vanish/>
      <w:kern w:val="2"/>
      <w:sz w:val="16"/>
      <w:szCs w:val="24"/>
    </w:rPr>
  </w:style>
  <w:style w:type="paragraph" w:customStyle="1" w:styleId="88">
    <w:name w:val="z-窗体底端1"/>
    <w:basedOn w:val="1"/>
    <w:next w:val="1"/>
    <w:link w:val="87"/>
    <w:qFormat/>
    <w:uiPriority w:val="0"/>
    <w:pPr>
      <w:pBdr>
        <w:top w:val="single" w:color="auto" w:sz="6" w:space="1"/>
      </w:pBdr>
      <w:jc w:val="center"/>
    </w:pPr>
    <w:rPr>
      <w:rFonts w:ascii="Arial" w:hAnsi="Calibri"/>
      <w:vanish/>
      <w:sz w:val="16"/>
    </w:rPr>
  </w:style>
  <w:style w:type="character" w:customStyle="1" w:styleId="89">
    <w:name w:val="nostart3"/>
    <w:qFormat/>
    <w:uiPriority w:val="0"/>
  </w:style>
  <w:style w:type="character" w:customStyle="1" w:styleId="90">
    <w:name w:val="标题 8 字符"/>
    <w:link w:val="10"/>
    <w:qFormat/>
    <w:uiPriority w:val="0"/>
    <w:rPr>
      <w:rFonts w:ascii="Arial" w:hAnsi="Arial" w:eastAsia="黑体"/>
      <w:sz w:val="24"/>
      <w:szCs w:val="24"/>
    </w:rPr>
  </w:style>
  <w:style w:type="character" w:customStyle="1" w:styleId="91">
    <w:name w:val="bsharetext"/>
    <w:qFormat/>
    <w:uiPriority w:val="0"/>
  </w:style>
  <w:style w:type="character" w:customStyle="1" w:styleId="92">
    <w:name w:val="name"/>
    <w:qFormat/>
    <w:uiPriority w:val="0"/>
    <w:rPr>
      <w:color w:val="444444"/>
      <w:sz w:val="21"/>
      <w:szCs w:val="21"/>
    </w:rPr>
  </w:style>
  <w:style w:type="character" w:customStyle="1" w:styleId="93">
    <w:name w:val="Char Char2"/>
    <w:qFormat/>
    <w:uiPriority w:val="0"/>
    <w:rPr>
      <w:rFonts w:eastAsia="宋体"/>
      <w:kern w:val="2"/>
      <w:sz w:val="21"/>
      <w:szCs w:val="24"/>
      <w:lang w:val="en-US" w:eastAsia="zh-CN" w:bidi="ar-SA"/>
    </w:rPr>
  </w:style>
  <w:style w:type="character" w:customStyle="1" w:styleId="94">
    <w:name w:val="tit12"/>
    <w:qFormat/>
    <w:uiPriority w:val="0"/>
    <w:rPr>
      <w:color w:val="04A06C"/>
    </w:rPr>
  </w:style>
  <w:style w:type="character" w:customStyle="1" w:styleId="95">
    <w:name w:val="starting"/>
    <w:qFormat/>
    <w:uiPriority w:val="0"/>
    <w:rPr>
      <w:color w:val="339900"/>
    </w:rPr>
  </w:style>
  <w:style w:type="character" w:customStyle="1" w:styleId="96">
    <w:name w:val="纯文本 Char1"/>
    <w:qFormat/>
    <w:uiPriority w:val="0"/>
    <w:rPr>
      <w:rFonts w:ascii="Courier New" w:hAnsi="Courier New" w:eastAsia="宋体"/>
      <w:kern w:val="2"/>
      <w:sz w:val="21"/>
      <w:lang w:val="en-US" w:eastAsia="zh-CN" w:bidi="ar-SA"/>
    </w:rPr>
  </w:style>
  <w:style w:type="character" w:customStyle="1" w:styleId="97">
    <w:name w:val="tit10"/>
    <w:qFormat/>
    <w:uiPriority w:val="0"/>
    <w:rPr>
      <w:color w:val="B60000"/>
    </w:rPr>
  </w:style>
  <w:style w:type="character" w:customStyle="1" w:styleId="98">
    <w:name w:val="job1"/>
    <w:qFormat/>
    <w:uiPriority w:val="0"/>
  </w:style>
  <w:style w:type="character" w:customStyle="1" w:styleId="99">
    <w:name w:val="font61"/>
    <w:qFormat/>
    <w:uiPriority w:val="0"/>
    <w:rPr>
      <w:rFonts w:ascii="Calibri" w:hAnsi="Calibri" w:cs="Calibri"/>
      <w:color w:val="000000"/>
      <w:sz w:val="24"/>
      <w:szCs w:val="24"/>
      <w:u w:val="none"/>
    </w:rPr>
  </w:style>
  <w:style w:type="character" w:customStyle="1" w:styleId="100">
    <w:name w:val="num210"/>
    <w:qFormat/>
    <w:uiPriority w:val="0"/>
  </w:style>
  <w:style w:type="character" w:customStyle="1" w:styleId="101">
    <w:name w:val="job"/>
    <w:qFormat/>
    <w:uiPriority w:val="0"/>
  </w:style>
  <w:style w:type="character" w:customStyle="1" w:styleId="102">
    <w:name w:val="msg-box28"/>
    <w:qFormat/>
    <w:uiPriority w:val="0"/>
  </w:style>
  <w:style w:type="character" w:customStyle="1" w:styleId="103">
    <w:name w:val="17"/>
    <w:qFormat/>
    <w:uiPriority w:val="0"/>
    <w:rPr>
      <w:rFonts w:ascii="仿宋_GB2312" w:eastAsia="仿宋_GB2312"/>
      <w:color w:val="auto"/>
      <w:sz w:val="28"/>
      <w:szCs w:val="28"/>
      <w:u w:val="single"/>
    </w:rPr>
  </w:style>
  <w:style w:type="character" w:customStyle="1" w:styleId="104">
    <w:name w:val="msg-box30"/>
    <w:qFormat/>
    <w:uiPriority w:val="0"/>
  </w:style>
  <w:style w:type="character" w:customStyle="1" w:styleId="105">
    <w:name w:val="over2"/>
    <w:qFormat/>
    <w:uiPriority w:val="0"/>
    <w:rPr>
      <w:color w:val="999999"/>
    </w:rPr>
  </w:style>
  <w:style w:type="character" w:customStyle="1" w:styleId="106">
    <w:name w:val="starting4"/>
    <w:qFormat/>
    <w:uiPriority w:val="0"/>
  </w:style>
  <w:style w:type="character" w:customStyle="1" w:styleId="107">
    <w:name w:val="datetime"/>
    <w:qFormat/>
    <w:uiPriority w:val="0"/>
    <w:rPr>
      <w:rFonts w:ascii="Arial" w:hAnsi="Arial" w:cs="Arial"/>
      <w:color w:val="999999"/>
      <w:sz w:val="21"/>
      <w:szCs w:val="21"/>
      <w:lang w:bidi="ar-SA"/>
    </w:rPr>
  </w:style>
  <w:style w:type="character" w:customStyle="1" w:styleId="108">
    <w:name w:val="标题 6 字符"/>
    <w:link w:val="8"/>
    <w:qFormat/>
    <w:uiPriority w:val="0"/>
    <w:rPr>
      <w:rFonts w:ascii="Arial" w:hAnsi="Arial" w:eastAsia="黑体"/>
      <w:b/>
      <w:bCs/>
      <w:sz w:val="24"/>
      <w:szCs w:val="24"/>
    </w:rPr>
  </w:style>
  <w:style w:type="character" w:customStyle="1" w:styleId="109">
    <w:name w:val="red"/>
    <w:qFormat/>
    <w:uiPriority w:val="0"/>
    <w:rPr>
      <w:rFonts w:ascii="Arial" w:hAnsi="Arial" w:cs="Arial"/>
      <w:color w:val="E50000"/>
      <w:lang w:bidi="ar-SA"/>
    </w:rPr>
  </w:style>
  <w:style w:type="character" w:customStyle="1" w:styleId="110">
    <w:name w:val="tit14"/>
    <w:qFormat/>
    <w:uiPriority w:val="0"/>
    <w:rPr>
      <w:color w:val="B60000"/>
    </w:rPr>
  </w:style>
  <w:style w:type="character" w:customStyle="1" w:styleId="111">
    <w:name w:val="img_title9"/>
    <w:qFormat/>
    <w:uiPriority w:val="0"/>
    <w:rPr>
      <w:vanish/>
    </w:rPr>
  </w:style>
  <w:style w:type="character" w:customStyle="1" w:styleId="112">
    <w:name w:val="p05"/>
    <w:qFormat/>
    <w:uiPriority w:val="0"/>
  </w:style>
  <w:style w:type="character" w:customStyle="1" w:styleId="113">
    <w:name w:val="nostart2"/>
    <w:qFormat/>
    <w:uiPriority w:val="0"/>
    <w:rPr>
      <w:color w:val="B60000"/>
    </w:rPr>
  </w:style>
  <w:style w:type="character" w:customStyle="1" w:styleId="114">
    <w:name w:val="img_title6"/>
    <w:qFormat/>
    <w:uiPriority w:val="0"/>
    <w:rPr>
      <w:vanish/>
    </w:rPr>
  </w:style>
  <w:style w:type="character" w:customStyle="1" w:styleId="115">
    <w:name w:val="正文文本缩进 字符"/>
    <w:link w:val="19"/>
    <w:qFormat/>
    <w:uiPriority w:val="0"/>
    <w:rPr>
      <w:kern w:val="2"/>
      <w:sz w:val="28"/>
      <w:szCs w:val="24"/>
    </w:rPr>
  </w:style>
  <w:style w:type="character" w:customStyle="1" w:styleId="116">
    <w:name w:val="Char Char71"/>
    <w:qFormat/>
    <w:uiPriority w:val="0"/>
    <w:rPr>
      <w:rFonts w:ascii="Arial" w:hAnsi="Arial" w:eastAsia="黑体"/>
      <w:b/>
      <w:bCs/>
      <w:kern w:val="2"/>
      <w:sz w:val="32"/>
      <w:szCs w:val="32"/>
      <w:lang w:val="en-US" w:eastAsia="zh-CN" w:bidi="ar-SA"/>
    </w:rPr>
  </w:style>
  <w:style w:type="character" w:customStyle="1" w:styleId="117">
    <w:name w:val="Char Char8"/>
    <w:qFormat/>
    <w:uiPriority w:val="0"/>
    <w:rPr>
      <w:rFonts w:ascii="Arial" w:hAnsi="Arial" w:eastAsia="黑体"/>
      <w:b/>
      <w:bCs/>
      <w:kern w:val="2"/>
      <w:sz w:val="32"/>
      <w:szCs w:val="32"/>
      <w:lang w:val="en-US" w:eastAsia="zh-CN" w:bidi="ar-SA"/>
    </w:rPr>
  </w:style>
  <w:style w:type="character" w:customStyle="1" w:styleId="118">
    <w:name w:val="num51"/>
    <w:qFormat/>
    <w:uiPriority w:val="0"/>
  </w:style>
  <w:style w:type="character" w:customStyle="1" w:styleId="119">
    <w:name w:val="img_title7"/>
    <w:qFormat/>
    <w:uiPriority w:val="0"/>
    <w:rPr>
      <w:vanish/>
    </w:rPr>
  </w:style>
  <w:style w:type="character" w:customStyle="1" w:styleId="120">
    <w:name w:val="批注框文本 字符"/>
    <w:link w:val="28"/>
    <w:qFormat/>
    <w:uiPriority w:val="0"/>
    <w:rPr>
      <w:kern w:val="2"/>
      <w:sz w:val="18"/>
      <w:szCs w:val="18"/>
    </w:rPr>
  </w:style>
  <w:style w:type="character" w:customStyle="1" w:styleId="121">
    <w:name w:val="buvis"/>
    <w:qFormat/>
    <w:uiPriority w:val="0"/>
    <w:rPr>
      <w:color w:val="999999"/>
    </w:rPr>
  </w:style>
  <w:style w:type="character" w:customStyle="1" w:styleId="122">
    <w:name w:val="num31"/>
    <w:qFormat/>
    <w:uiPriority w:val="0"/>
  </w:style>
  <w:style w:type="character" w:customStyle="1" w:styleId="123">
    <w:name w:val="nostart"/>
    <w:qFormat/>
    <w:uiPriority w:val="0"/>
    <w:rPr>
      <w:color w:val="FF0000"/>
    </w:rPr>
  </w:style>
  <w:style w:type="character" w:customStyle="1" w:styleId="124">
    <w:name w:val="unit"/>
    <w:qFormat/>
    <w:uiPriority w:val="0"/>
    <w:rPr>
      <w:color w:val="999999"/>
    </w:rPr>
  </w:style>
  <w:style w:type="character" w:customStyle="1" w:styleId="125">
    <w:name w:val="l6"/>
    <w:qFormat/>
    <w:uiPriority w:val="0"/>
    <w:rPr>
      <w:color w:val="999999"/>
    </w:rPr>
  </w:style>
  <w:style w:type="character" w:customStyle="1" w:styleId="126">
    <w:name w:val="脚注文本 字符"/>
    <w:link w:val="35"/>
    <w:qFormat/>
    <w:uiPriority w:val="0"/>
    <w:rPr>
      <w:kern w:val="2"/>
    </w:rPr>
  </w:style>
  <w:style w:type="character" w:customStyle="1" w:styleId="127">
    <w:name w:val="纯文本 字符"/>
    <w:link w:val="24"/>
    <w:qFormat/>
    <w:uiPriority w:val="0"/>
    <w:rPr>
      <w:rFonts w:ascii="Courier New" w:hAnsi="Courier New"/>
      <w:kern w:val="2"/>
      <w:sz w:val="21"/>
    </w:rPr>
  </w:style>
  <w:style w:type="character" w:customStyle="1" w:styleId="128">
    <w:name w:val="num81"/>
    <w:qFormat/>
    <w:uiPriority w:val="0"/>
  </w:style>
  <w:style w:type="character" w:customStyle="1" w:styleId="129">
    <w:name w:val="Char Char81"/>
    <w:qFormat/>
    <w:uiPriority w:val="0"/>
    <w:rPr>
      <w:rFonts w:ascii="Arial" w:hAnsi="Arial" w:eastAsia="黑体"/>
      <w:b/>
      <w:bCs/>
      <w:kern w:val="2"/>
      <w:sz w:val="32"/>
      <w:szCs w:val="32"/>
      <w:lang w:val="en-US" w:eastAsia="zh-CN" w:bidi="ar-SA"/>
    </w:rPr>
  </w:style>
  <w:style w:type="character" w:customStyle="1" w:styleId="130">
    <w:name w:val="正文文本 3 字符"/>
    <w:link w:val="17"/>
    <w:qFormat/>
    <w:uiPriority w:val="0"/>
    <w:rPr>
      <w:rFonts w:ascii="宋体"/>
      <w:kern w:val="2"/>
      <w:sz w:val="24"/>
    </w:rPr>
  </w:style>
  <w:style w:type="character" w:customStyle="1" w:styleId="131">
    <w:name w:val="jg"/>
    <w:qFormat/>
    <w:uiPriority w:val="0"/>
  </w:style>
  <w:style w:type="character" w:customStyle="1" w:styleId="132">
    <w:name w:val="16"/>
    <w:qFormat/>
    <w:uiPriority w:val="0"/>
    <w:rPr>
      <w:rFonts w:ascii="仿宋_GB2312" w:eastAsia="仿宋_GB2312"/>
      <w:color w:val="auto"/>
      <w:sz w:val="28"/>
      <w:szCs w:val="28"/>
    </w:rPr>
  </w:style>
  <w:style w:type="character" w:customStyle="1" w:styleId="133">
    <w:name w:val="正文文本 字符"/>
    <w:link w:val="18"/>
    <w:qFormat/>
    <w:uiPriority w:val="0"/>
    <w:rPr>
      <w:b/>
      <w:bCs/>
      <w:kern w:val="2"/>
      <w:sz w:val="44"/>
    </w:rPr>
  </w:style>
  <w:style w:type="character" w:customStyle="1" w:styleId="134">
    <w:name w:val="Char Char1"/>
    <w:qFormat/>
    <w:uiPriority w:val="0"/>
    <w:rPr>
      <w:rFonts w:eastAsia="宋体"/>
      <w:kern w:val="2"/>
      <w:sz w:val="21"/>
      <w:szCs w:val="24"/>
      <w:lang w:val="en-US" w:eastAsia="zh-CN" w:bidi="ar-SA"/>
    </w:rPr>
  </w:style>
  <w:style w:type="character" w:customStyle="1" w:styleId="135">
    <w:name w:val="starting3"/>
    <w:qFormat/>
    <w:uiPriority w:val="0"/>
  </w:style>
  <w:style w:type="character" w:customStyle="1" w:styleId="136">
    <w:name w:val="标题 5 字符"/>
    <w:link w:val="7"/>
    <w:qFormat/>
    <w:uiPriority w:val="0"/>
    <w:rPr>
      <w:rFonts w:ascii="Calibri" w:hAnsi="Calibri"/>
      <w:b/>
      <w:bCs/>
      <w:kern w:val="2"/>
      <w:sz w:val="28"/>
      <w:szCs w:val="28"/>
    </w:rPr>
  </w:style>
  <w:style w:type="character" w:customStyle="1" w:styleId="137">
    <w:name w:val="l51"/>
    <w:qFormat/>
    <w:uiPriority w:val="0"/>
    <w:rPr>
      <w:color w:val="999999"/>
    </w:rPr>
  </w:style>
  <w:style w:type="character" w:customStyle="1" w:styleId="138">
    <w:name w:val="Char Char Char"/>
    <w:qFormat/>
    <w:uiPriority w:val="0"/>
    <w:rPr>
      <w:rFonts w:eastAsia="宋体"/>
      <w:b/>
      <w:bCs/>
      <w:kern w:val="44"/>
      <w:sz w:val="44"/>
      <w:szCs w:val="44"/>
      <w:lang w:val="en-US" w:eastAsia="zh-CN" w:bidi="ar-SA"/>
    </w:rPr>
  </w:style>
  <w:style w:type="character" w:customStyle="1" w:styleId="139">
    <w:name w:val="starting2"/>
    <w:qFormat/>
    <w:uiPriority w:val="0"/>
    <w:rPr>
      <w:color w:val="B60000"/>
    </w:rPr>
  </w:style>
  <w:style w:type="character" w:customStyle="1" w:styleId="140">
    <w:name w:val="zs"/>
    <w:qFormat/>
    <w:uiPriority w:val="0"/>
    <w:rPr>
      <w:color w:val="8D744B"/>
      <w:sz w:val="18"/>
      <w:szCs w:val="18"/>
    </w:rPr>
  </w:style>
  <w:style w:type="character" w:customStyle="1" w:styleId="141">
    <w:name w:val="font161"/>
    <w:qFormat/>
    <w:uiPriority w:val="0"/>
    <w:rPr>
      <w:b/>
      <w:bCs/>
      <w:sz w:val="32"/>
      <w:szCs w:val="32"/>
    </w:rPr>
  </w:style>
  <w:style w:type="character" w:customStyle="1" w:styleId="142">
    <w:name w:val="nostart1"/>
    <w:qFormat/>
    <w:uiPriority w:val="0"/>
    <w:rPr>
      <w:color w:val="FF0000"/>
    </w:rPr>
  </w:style>
  <w:style w:type="character" w:customStyle="1" w:styleId="143">
    <w:name w:val="标题 字符"/>
    <w:link w:val="48"/>
    <w:qFormat/>
    <w:uiPriority w:val="0"/>
    <w:rPr>
      <w:rFonts w:ascii="Arial" w:hAnsi="Arial"/>
      <w:b/>
      <w:sz w:val="32"/>
    </w:rPr>
  </w:style>
  <w:style w:type="character" w:customStyle="1" w:styleId="144">
    <w:name w:val="msg-box29"/>
    <w:qFormat/>
    <w:uiPriority w:val="0"/>
  </w:style>
  <w:style w:type="character" w:customStyle="1" w:styleId="145">
    <w:name w:val="标题 7 字符"/>
    <w:link w:val="9"/>
    <w:qFormat/>
    <w:uiPriority w:val="0"/>
    <w:rPr>
      <w:b/>
      <w:bCs/>
      <w:sz w:val="24"/>
      <w:szCs w:val="24"/>
    </w:rPr>
  </w:style>
  <w:style w:type="character" w:customStyle="1" w:styleId="146">
    <w:name w:val="over3"/>
    <w:qFormat/>
    <w:uiPriority w:val="0"/>
  </w:style>
  <w:style w:type="character" w:customStyle="1" w:styleId="147">
    <w:name w:val="l41"/>
    <w:qFormat/>
    <w:uiPriority w:val="0"/>
    <w:rPr>
      <w:color w:val="999999"/>
    </w:rPr>
  </w:style>
  <w:style w:type="character" w:customStyle="1" w:styleId="148">
    <w:name w:val="批注文字 字符"/>
    <w:link w:val="16"/>
    <w:qFormat/>
    <w:uiPriority w:val="0"/>
    <w:rPr>
      <w:kern w:val="2"/>
      <w:sz w:val="21"/>
      <w:szCs w:val="24"/>
    </w:rPr>
  </w:style>
  <w:style w:type="character" w:customStyle="1" w:styleId="149">
    <w:name w:val="bigfont"/>
    <w:qFormat/>
    <w:uiPriority w:val="0"/>
  </w:style>
  <w:style w:type="character" w:customStyle="1" w:styleId="150">
    <w:name w:val="批注主题 字符"/>
    <w:link w:val="49"/>
    <w:qFormat/>
    <w:uiPriority w:val="0"/>
  </w:style>
  <w:style w:type="character" w:customStyle="1" w:styleId="151">
    <w:name w:val="font41"/>
    <w:qFormat/>
    <w:uiPriority w:val="0"/>
    <w:rPr>
      <w:rFonts w:hint="eastAsia" w:ascii="宋体" w:hAnsi="宋体" w:eastAsia="宋体" w:cs="宋体"/>
      <w:color w:val="000000"/>
      <w:sz w:val="24"/>
      <w:szCs w:val="24"/>
      <w:u w:val="none"/>
    </w:rPr>
  </w:style>
  <w:style w:type="character" w:customStyle="1" w:styleId="152">
    <w:name w:val="l3"/>
    <w:qFormat/>
    <w:uiPriority w:val="0"/>
    <w:rPr>
      <w:color w:val="999999"/>
    </w:rPr>
  </w:style>
  <w:style w:type="character" w:customStyle="1" w:styleId="153">
    <w:name w:val="Char Char21"/>
    <w:qFormat/>
    <w:uiPriority w:val="0"/>
    <w:rPr>
      <w:rFonts w:eastAsia="宋体"/>
      <w:kern w:val="2"/>
      <w:sz w:val="21"/>
      <w:szCs w:val="24"/>
      <w:lang w:val="en-US" w:eastAsia="zh-CN" w:bidi="ar-SA"/>
    </w:rPr>
  </w:style>
  <w:style w:type="character" w:customStyle="1" w:styleId="154">
    <w:name w:val="标题 1 Char Char"/>
    <w:qFormat/>
    <w:locked/>
    <w:uiPriority w:val="0"/>
    <w:rPr>
      <w:rFonts w:eastAsia="宋体"/>
      <w:b/>
      <w:bCs/>
      <w:kern w:val="44"/>
      <w:sz w:val="44"/>
      <w:szCs w:val="44"/>
      <w:lang w:val="en-US" w:eastAsia="zh-CN" w:bidi="ar-SA"/>
    </w:rPr>
  </w:style>
  <w:style w:type="character" w:customStyle="1" w:styleId="155">
    <w:name w:val="img4"/>
    <w:qFormat/>
    <w:uiPriority w:val="0"/>
  </w:style>
  <w:style w:type="character" w:customStyle="1" w:styleId="156">
    <w:name w:val="标题 1 字符"/>
    <w:link w:val="3"/>
    <w:qFormat/>
    <w:uiPriority w:val="0"/>
    <w:rPr>
      <w:rFonts w:ascii="Times New Roman" w:hAnsi="Times New Roman" w:eastAsia="宋体"/>
      <w:b/>
      <w:bCs/>
      <w:kern w:val="44"/>
      <w:sz w:val="24"/>
      <w:szCs w:val="44"/>
    </w:rPr>
  </w:style>
  <w:style w:type="character" w:customStyle="1" w:styleId="157">
    <w:name w:val="name1"/>
    <w:qFormat/>
    <w:uiPriority w:val="0"/>
    <w:rPr>
      <w:color w:val="695435"/>
      <w:sz w:val="24"/>
      <w:szCs w:val="24"/>
    </w:rPr>
  </w:style>
  <w:style w:type="character" w:customStyle="1" w:styleId="158">
    <w:name w:val="font01"/>
    <w:qFormat/>
    <w:uiPriority w:val="0"/>
    <w:rPr>
      <w:rFonts w:hint="eastAsia" w:ascii="仿宋_GB2312" w:eastAsia="仿宋_GB2312" w:cs="仿宋_GB2312"/>
      <w:color w:val="000000"/>
      <w:sz w:val="28"/>
      <w:szCs w:val="28"/>
      <w:u w:val="none"/>
    </w:rPr>
  </w:style>
  <w:style w:type="character" w:customStyle="1" w:styleId="159">
    <w:name w:val="HTML 预设格式 字符"/>
    <w:link w:val="46"/>
    <w:qFormat/>
    <w:uiPriority w:val="0"/>
    <w:rPr>
      <w:rFonts w:ascii="宋体" w:hAnsi="Calibri"/>
      <w:sz w:val="24"/>
      <w:szCs w:val="24"/>
    </w:rPr>
  </w:style>
  <w:style w:type="character" w:customStyle="1" w:styleId="160">
    <w:name w:val="标题 2 Char Char"/>
    <w:qFormat/>
    <w:locked/>
    <w:uiPriority w:val="0"/>
    <w:rPr>
      <w:rFonts w:ascii="Arial" w:hAnsi="Arial" w:eastAsia="黑体"/>
      <w:b/>
      <w:bCs/>
      <w:kern w:val="2"/>
      <w:sz w:val="32"/>
      <w:szCs w:val="32"/>
      <w:lang w:val="en-US" w:eastAsia="zh-CN" w:bidi="ar-SA"/>
    </w:rPr>
  </w:style>
  <w:style w:type="character" w:customStyle="1" w:styleId="161">
    <w:name w:val="msg-box31"/>
    <w:qFormat/>
    <w:uiPriority w:val="0"/>
  </w:style>
  <w:style w:type="character" w:customStyle="1" w:styleId="162">
    <w:name w:val="font51"/>
    <w:qFormat/>
    <w:uiPriority w:val="0"/>
    <w:rPr>
      <w:rFonts w:ascii="Arial" w:hAnsi="Arial" w:cs="Arial"/>
      <w:color w:val="000000"/>
      <w:sz w:val="24"/>
      <w:szCs w:val="24"/>
      <w:u w:val="none"/>
    </w:rPr>
  </w:style>
  <w:style w:type="character" w:customStyle="1" w:styleId="163">
    <w:name w:val="l7"/>
    <w:qFormat/>
    <w:uiPriority w:val="0"/>
    <w:rPr>
      <w:color w:val="999999"/>
    </w:rPr>
  </w:style>
  <w:style w:type="character" w:customStyle="1" w:styleId="164">
    <w:name w:val="标题 2 Char"/>
    <w:qFormat/>
    <w:uiPriority w:val="0"/>
    <w:rPr>
      <w:rFonts w:eastAsia="宋体"/>
      <w:sz w:val="24"/>
      <w:lang w:val="en-US" w:eastAsia="zh-CN" w:bidi="ar-SA"/>
    </w:rPr>
  </w:style>
  <w:style w:type="character" w:customStyle="1" w:styleId="165">
    <w:name w:val="标题 9 字符"/>
    <w:link w:val="11"/>
    <w:qFormat/>
    <w:uiPriority w:val="0"/>
    <w:rPr>
      <w:rFonts w:ascii="Arial" w:hAnsi="Arial" w:eastAsia="黑体"/>
      <w:sz w:val="21"/>
      <w:szCs w:val="21"/>
    </w:rPr>
  </w:style>
  <w:style w:type="character" w:customStyle="1" w:styleId="166">
    <w:name w:val="buvis1"/>
    <w:qFormat/>
    <w:uiPriority w:val="0"/>
    <w:rPr>
      <w:color w:val="CC0000"/>
    </w:rPr>
  </w:style>
  <w:style w:type="character" w:customStyle="1" w:styleId="167">
    <w:name w:val="标题 2 Char11"/>
    <w:qFormat/>
    <w:uiPriority w:val="0"/>
    <w:rPr>
      <w:rFonts w:eastAsia="宋体"/>
      <w:sz w:val="24"/>
      <w:lang w:val="en-US" w:eastAsia="zh-CN" w:bidi="ar-SA"/>
    </w:rPr>
  </w:style>
  <w:style w:type="character" w:customStyle="1" w:styleId="168">
    <w:name w:val="txt"/>
    <w:qFormat/>
    <w:uiPriority w:val="0"/>
    <w:rPr>
      <w:color w:val="C0C0C0"/>
    </w:rPr>
  </w:style>
  <w:style w:type="character" w:customStyle="1" w:styleId="169">
    <w:name w:val="日期 字符"/>
    <w:link w:val="26"/>
    <w:qFormat/>
    <w:uiPriority w:val="0"/>
    <w:rPr>
      <w:rFonts w:ascii="仿宋_GB2312" w:eastAsia="仿宋_GB2312"/>
      <w:kern w:val="2"/>
      <w:sz w:val="30"/>
      <w:lang w:val="en-US" w:eastAsia="zh-CN" w:bidi="ar-SA"/>
    </w:rPr>
  </w:style>
  <w:style w:type="character" w:customStyle="1" w:styleId="170">
    <w:name w:val="标题 2 Char1"/>
    <w:qFormat/>
    <w:uiPriority w:val="0"/>
    <w:rPr>
      <w:rFonts w:ascii="Arial" w:hAnsi="Arial" w:eastAsia="黑体"/>
      <w:b/>
      <w:bCs/>
      <w:kern w:val="2"/>
      <w:sz w:val="32"/>
      <w:szCs w:val="32"/>
      <w:lang w:val="en-US" w:eastAsia="zh-CN" w:bidi="ar-SA"/>
    </w:rPr>
  </w:style>
  <w:style w:type="character" w:customStyle="1" w:styleId="171">
    <w:name w:val="正文首行缩进 2 字符"/>
    <w:link w:val="50"/>
    <w:qFormat/>
    <w:uiPriority w:val="0"/>
  </w:style>
  <w:style w:type="character" w:customStyle="1" w:styleId="172">
    <w:name w:val="font31"/>
    <w:qFormat/>
    <w:uiPriority w:val="0"/>
    <w:rPr>
      <w:rFonts w:hint="eastAsia" w:ascii="仿宋_GB2312" w:eastAsia="仿宋_GB2312" w:cs="仿宋_GB2312"/>
      <w:color w:val="000000"/>
      <w:sz w:val="28"/>
      <w:szCs w:val="28"/>
      <w:u w:val="single"/>
    </w:rPr>
  </w:style>
  <w:style w:type="character" w:customStyle="1" w:styleId="173">
    <w:name w:val="textcontents"/>
    <w:qFormat/>
    <w:uiPriority w:val="0"/>
  </w:style>
  <w:style w:type="character" w:customStyle="1" w:styleId="174">
    <w:name w:val="文档结构图 字符"/>
    <w:link w:val="15"/>
    <w:qFormat/>
    <w:uiPriority w:val="0"/>
    <w:rPr>
      <w:kern w:val="2"/>
      <w:sz w:val="21"/>
      <w:szCs w:val="24"/>
      <w:shd w:val="clear" w:color="auto" w:fill="000080"/>
    </w:rPr>
  </w:style>
  <w:style w:type="character" w:customStyle="1" w:styleId="175">
    <w:name w:val="zw"/>
    <w:qFormat/>
    <w:uiPriority w:val="0"/>
    <w:rPr>
      <w:color w:val="BD1E22"/>
      <w:sz w:val="22"/>
      <w:szCs w:val="22"/>
    </w:rPr>
  </w:style>
  <w:style w:type="character" w:customStyle="1" w:styleId="176">
    <w:name w:val="txt1"/>
    <w:qFormat/>
    <w:uiPriority w:val="0"/>
  </w:style>
  <w:style w:type="character" w:customStyle="1" w:styleId="177">
    <w:name w:val="tit11"/>
    <w:qFormat/>
    <w:uiPriority w:val="0"/>
    <w:rPr>
      <w:color w:val="B60000"/>
    </w:rPr>
  </w:style>
  <w:style w:type="character" w:customStyle="1" w:styleId="178">
    <w:name w:val="num71"/>
    <w:qFormat/>
    <w:uiPriority w:val="0"/>
  </w:style>
  <w:style w:type="character" w:customStyle="1" w:styleId="179">
    <w:name w:val="name2"/>
    <w:qFormat/>
    <w:uiPriority w:val="0"/>
    <w:rPr>
      <w:color w:val="000000"/>
      <w:sz w:val="39"/>
      <w:szCs w:val="39"/>
    </w:rPr>
  </w:style>
  <w:style w:type="character" w:customStyle="1" w:styleId="180">
    <w:name w:val="c3"/>
    <w:qFormat/>
    <w:uiPriority w:val="0"/>
  </w:style>
  <w:style w:type="character" w:customStyle="1" w:styleId="181">
    <w:name w:val="Char Char"/>
    <w:qFormat/>
    <w:uiPriority w:val="0"/>
    <w:rPr>
      <w:rFonts w:ascii="Arial" w:hAnsi="Arial" w:eastAsia="黑体"/>
      <w:b/>
      <w:bCs/>
      <w:kern w:val="2"/>
      <w:sz w:val="32"/>
      <w:szCs w:val="32"/>
      <w:lang w:val="en-US" w:eastAsia="zh-CN" w:bidi="ar-SA"/>
    </w:rPr>
  </w:style>
  <w:style w:type="character" w:customStyle="1" w:styleId="182">
    <w:name w:val="num41"/>
    <w:qFormat/>
    <w:uiPriority w:val="0"/>
  </w:style>
  <w:style w:type="character" w:customStyle="1" w:styleId="183">
    <w:name w:val="c1"/>
    <w:qFormat/>
    <w:uiPriority w:val="0"/>
  </w:style>
  <w:style w:type="character" w:customStyle="1" w:styleId="184">
    <w:name w:val="c2"/>
    <w:qFormat/>
    <w:uiPriority w:val="0"/>
  </w:style>
  <w:style w:type="character" w:customStyle="1" w:styleId="185">
    <w:name w:val="页眉 字符"/>
    <w:link w:val="31"/>
    <w:qFormat/>
    <w:uiPriority w:val="0"/>
    <w:rPr>
      <w:kern w:val="2"/>
      <w:sz w:val="18"/>
      <w:szCs w:val="18"/>
    </w:rPr>
  </w:style>
  <w:style w:type="character" w:customStyle="1" w:styleId="186">
    <w:name w:val="Char Char4"/>
    <w:qFormat/>
    <w:uiPriority w:val="0"/>
    <w:rPr>
      <w:rFonts w:eastAsia="宋体"/>
      <w:b/>
      <w:bCs/>
      <w:kern w:val="44"/>
      <w:sz w:val="44"/>
      <w:szCs w:val="44"/>
      <w:lang w:val="en-US" w:eastAsia="zh-CN" w:bidi="ar-SA"/>
    </w:rPr>
  </w:style>
  <w:style w:type="character" w:customStyle="1" w:styleId="187">
    <w:name w:val="tit9"/>
    <w:qFormat/>
    <w:uiPriority w:val="0"/>
    <w:rPr>
      <w:color w:val="B60000"/>
      <w:sz w:val="27"/>
      <w:szCs w:val="27"/>
      <w:bdr w:val="single" w:color="DFCEB8" w:sz="6" w:space="0"/>
      <w:shd w:val="clear" w:color="auto" w:fill="FFFFFF"/>
    </w:rPr>
  </w:style>
  <w:style w:type="character" w:customStyle="1" w:styleId="188">
    <w:name w:val="Char Char3"/>
    <w:qFormat/>
    <w:uiPriority w:val="0"/>
    <w:rPr>
      <w:rFonts w:ascii="Arial" w:hAnsi="Arial" w:eastAsia="黑体"/>
      <w:b/>
      <w:bCs/>
      <w:kern w:val="2"/>
      <w:sz w:val="32"/>
      <w:szCs w:val="32"/>
      <w:lang w:val="en-US" w:eastAsia="zh-CN" w:bidi="ar-SA"/>
    </w:rPr>
  </w:style>
  <w:style w:type="paragraph" w:customStyle="1" w:styleId="189">
    <w:name w:val="正文文本缩进1"/>
    <w:basedOn w:val="1"/>
    <w:qFormat/>
    <w:uiPriority w:val="0"/>
    <w:pPr>
      <w:spacing w:after="120"/>
      <w:ind w:left="420" w:leftChars="200"/>
    </w:pPr>
    <w:rPr>
      <w:color w:val="000000"/>
      <w:kern w:val="0"/>
      <w:szCs w:val="20"/>
      <w:u w:color="000000"/>
    </w:rPr>
  </w:style>
  <w:style w:type="paragraph" w:customStyle="1" w:styleId="190">
    <w:name w:val="Char Char Char Char"/>
    <w:basedOn w:val="1"/>
    <w:qFormat/>
    <w:uiPriority w:val="0"/>
    <w:rPr>
      <w:rFonts w:ascii="Tahoma" w:hAnsi="Tahoma"/>
      <w:sz w:val="24"/>
      <w:szCs w:val="20"/>
    </w:rPr>
  </w:style>
  <w:style w:type="paragraph" w:customStyle="1" w:styleId="1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p"/>
    <w:basedOn w:val="1"/>
    <w:qFormat/>
    <w:uiPriority w:val="0"/>
    <w:rPr>
      <w:rFonts w:ascii="宋体"/>
      <w:sz w:val="24"/>
    </w:rPr>
  </w:style>
  <w:style w:type="paragraph" w:customStyle="1" w:styleId="193">
    <w:name w:val="正文文本首行缩进 21"/>
    <w:basedOn w:val="189"/>
    <w:qFormat/>
    <w:uiPriority w:val="0"/>
    <w:pPr>
      <w:ind w:firstLine="420" w:firstLineChars="200"/>
    </w:pPr>
  </w:style>
  <w:style w:type="paragraph" w:customStyle="1" w:styleId="194">
    <w:name w:val="表格"/>
    <w:basedOn w:val="1"/>
    <w:qFormat/>
    <w:uiPriority w:val="0"/>
    <w:pPr>
      <w:jc w:val="center"/>
      <w:textAlignment w:val="center"/>
    </w:pPr>
    <w:rPr>
      <w:rFonts w:ascii="华文细黑" w:hAnsi="华文细黑"/>
      <w:kern w:val="0"/>
      <w:szCs w:val="20"/>
    </w:rPr>
  </w:style>
  <w:style w:type="paragraph" w:customStyle="1" w:styleId="195">
    <w:name w:val="Other|1"/>
    <w:basedOn w:val="1"/>
    <w:qFormat/>
    <w:uiPriority w:val="0"/>
    <w:rPr>
      <w:rFonts w:ascii="宋体" w:hAnsi="宋体" w:cs="宋体"/>
      <w:sz w:val="20"/>
      <w:szCs w:val="20"/>
      <w:lang w:val="zh-TW" w:eastAsia="zh-TW" w:bidi="zh-TW"/>
    </w:rPr>
  </w:style>
  <w:style w:type="paragraph" w:customStyle="1" w:styleId="196">
    <w:name w:val="Table caption|1"/>
    <w:basedOn w:val="1"/>
    <w:qFormat/>
    <w:uiPriority w:val="0"/>
    <w:rPr>
      <w:rFonts w:ascii="宋体" w:hAnsi="宋体" w:cs="宋体"/>
      <w:sz w:val="20"/>
      <w:szCs w:val="20"/>
      <w:lang w:val="zh-TW" w:eastAsia="zh-TW" w:bidi="zh-TW"/>
    </w:rPr>
  </w:style>
  <w:style w:type="paragraph" w:customStyle="1" w:styleId="197">
    <w:name w:val="p15"/>
    <w:qFormat/>
    <w:uiPriority w:val="0"/>
    <w:pPr>
      <w:jc w:val="both"/>
    </w:pPr>
    <w:rPr>
      <w:rFonts w:ascii="宋体" w:hAnsi="Calibri" w:eastAsia="宋体" w:cs="宋体"/>
      <w:sz w:val="21"/>
      <w:szCs w:val="21"/>
      <w:lang w:val="en-US" w:eastAsia="zh-CN" w:bidi="ar-SA"/>
    </w:rPr>
  </w:style>
  <w:style w:type="paragraph" w:customStyle="1" w:styleId="198">
    <w:name w:val="Default Paragraph Char Char Char Char"/>
    <w:basedOn w:val="1"/>
    <w:next w:val="1"/>
    <w:qFormat/>
    <w:uiPriority w:val="0"/>
    <w:pPr>
      <w:spacing w:line="360" w:lineRule="auto"/>
    </w:pPr>
    <w:rPr>
      <w:rFonts w:ascii="Calibri" w:hAnsi="Calibri"/>
      <w:szCs w:val="20"/>
    </w:rPr>
  </w:style>
  <w:style w:type="paragraph" w:customStyle="1" w:styleId="199">
    <w:name w:val="样式1"/>
    <w:basedOn w:val="5"/>
    <w:qFormat/>
    <w:uiPriority w:val="0"/>
    <w:pPr>
      <w:spacing w:line="415" w:lineRule="auto"/>
    </w:pPr>
    <w:rPr>
      <w:rFonts w:eastAsia="Arial"/>
    </w:rPr>
  </w:style>
  <w:style w:type="paragraph" w:customStyle="1" w:styleId="200">
    <w:name w:val="表格文字"/>
    <w:basedOn w:val="1"/>
    <w:qFormat/>
    <w:uiPriority w:val="0"/>
    <w:pPr>
      <w:adjustRightInd w:val="0"/>
      <w:spacing w:line="420" w:lineRule="atLeast"/>
      <w:jc w:val="left"/>
      <w:textAlignment w:val="baseline"/>
    </w:pPr>
    <w:rPr>
      <w:kern w:val="0"/>
      <w:szCs w:val="20"/>
    </w:rPr>
  </w:style>
  <w:style w:type="paragraph" w:customStyle="1" w:styleId="201">
    <w:name w:val="列表段落1"/>
    <w:basedOn w:val="1"/>
    <w:qFormat/>
    <w:uiPriority w:val="34"/>
    <w:pPr>
      <w:ind w:firstLine="200" w:firstLineChars="200"/>
    </w:pPr>
  </w:style>
  <w:style w:type="paragraph" w:customStyle="1" w:styleId="202">
    <w:name w:val="正文1"/>
    <w:qFormat/>
    <w:uiPriority w:val="0"/>
    <w:pPr>
      <w:widowControl w:val="0"/>
      <w:adjustRightInd w:val="0"/>
      <w:spacing w:line="312" w:lineRule="atLeast"/>
      <w:jc w:val="both"/>
      <w:textAlignment w:val="baseline"/>
    </w:pPr>
    <w:rPr>
      <w:rFonts w:ascii="宋体" w:hAnsi="Calibri" w:eastAsia="宋体" w:cs="宋体"/>
      <w:sz w:val="24"/>
      <w:szCs w:val="24"/>
      <w:lang w:val="en-US" w:eastAsia="zh-CN" w:bidi="ar-SA"/>
    </w:rPr>
  </w:style>
  <w:style w:type="paragraph" w:customStyle="1" w:styleId="203">
    <w:name w:val="Char1 Char Char Char Char Char Char Char Char Char Char Char Char1 Char Char Char Char Char1 Char Char Char Char Char Char Char Char Char1 Char"/>
    <w:basedOn w:val="1"/>
    <w:qFormat/>
    <w:uiPriority w:val="0"/>
    <w:pPr>
      <w:widowControl/>
      <w:spacing w:after="160" w:line="240" w:lineRule="exact"/>
      <w:ind w:firstLine="560" w:firstLineChars="200"/>
      <w:jc w:val="left"/>
    </w:pPr>
    <w:rPr>
      <w:rFonts w:ascii="宋体" w:hAnsi="宋体"/>
      <w:kern w:val="0"/>
      <w:sz w:val="28"/>
      <w:szCs w:val="28"/>
      <w:lang w:eastAsia="en-US"/>
    </w:rPr>
  </w:style>
  <w:style w:type="paragraph" w:customStyle="1" w:styleId="204">
    <w:name w:val="Char"/>
    <w:basedOn w:val="1"/>
    <w:next w:val="1"/>
    <w:qFormat/>
    <w:uiPriority w:val="0"/>
    <w:pPr>
      <w:widowControl/>
      <w:spacing w:line="360" w:lineRule="auto"/>
      <w:jc w:val="left"/>
    </w:pPr>
    <w:rPr>
      <w:kern w:val="0"/>
      <w:szCs w:val="20"/>
      <w:lang w:eastAsia="en-US"/>
    </w:rPr>
  </w:style>
  <w:style w:type="paragraph" w:customStyle="1" w:styleId="20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1"/>
    <w:basedOn w:val="1"/>
    <w:next w:val="1"/>
    <w:qFormat/>
    <w:uiPriority w:val="0"/>
    <w:pPr>
      <w:widowControl/>
      <w:spacing w:line="360" w:lineRule="auto"/>
      <w:jc w:val="left"/>
    </w:pPr>
    <w:rPr>
      <w:kern w:val="0"/>
      <w:szCs w:val="20"/>
      <w:lang w:eastAsia="en-US"/>
    </w:rPr>
  </w:style>
  <w:style w:type="paragraph" w:customStyle="1" w:styleId="207">
    <w:name w:val="样式3"/>
    <w:basedOn w:val="5"/>
    <w:qFormat/>
    <w:uiPriority w:val="0"/>
    <w:pPr>
      <w:spacing w:line="415" w:lineRule="auto"/>
    </w:pPr>
    <w:rPr>
      <w:rFonts w:eastAsia="Arial"/>
    </w:rPr>
  </w:style>
  <w:style w:type="paragraph" w:customStyle="1" w:styleId="208">
    <w:name w:val="Table Paragraph"/>
    <w:basedOn w:val="1"/>
    <w:qFormat/>
    <w:uiPriority w:val="1"/>
    <w:rPr>
      <w:rFonts w:ascii="宋体" w:hAnsi="宋体" w:cs="宋体"/>
      <w:lang w:val="zh-CN" w:bidi="zh-CN"/>
    </w:rPr>
  </w:style>
  <w:style w:type="paragraph" w:customStyle="1" w:styleId="209">
    <w:name w:val="p0"/>
    <w:basedOn w:val="1"/>
    <w:qFormat/>
    <w:uiPriority w:val="0"/>
    <w:pPr>
      <w:widowControl/>
      <w:jc w:val="left"/>
    </w:pPr>
    <w:rPr>
      <w:rFonts w:ascii="宋体" w:hAnsi="宋体" w:cs="宋体"/>
      <w:kern w:val="0"/>
      <w:sz w:val="18"/>
      <w:szCs w:val="18"/>
    </w:rPr>
  </w:style>
  <w:style w:type="paragraph" w:customStyle="1" w:styleId="210">
    <w:name w:val="WPSOffice手动目录 1"/>
    <w:qFormat/>
    <w:uiPriority w:val="0"/>
    <w:rPr>
      <w:rFonts w:ascii="Times New Roman" w:hAnsi="Times New Roman" w:eastAsia="宋体" w:cs="Times New Roman"/>
      <w:lang w:val="en-US" w:eastAsia="zh-CN" w:bidi="ar-SA"/>
    </w:rPr>
  </w:style>
  <w:style w:type="paragraph" w:customStyle="1" w:styleId="211">
    <w:name w:val="Char4"/>
    <w:basedOn w:val="1"/>
    <w:qFormat/>
    <w:uiPriority w:val="0"/>
    <w:pPr>
      <w:widowControl/>
      <w:spacing w:line="360" w:lineRule="auto"/>
      <w:ind w:firstLine="200" w:firstLineChars="200"/>
      <w:textAlignment w:val="baseline"/>
    </w:pPr>
    <w:rPr>
      <w:rFonts w:ascii="Calibri" w:hAnsi="Calibri"/>
      <w:color w:val="000000"/>
      <w:kern w:val="0"/>
      <w:szCs w:val="20"/>
      <w:u w:color="000000"/>
    </w:rPr>
  </w:style>
  <w:style w:type="paragraph" w:customStyle="1" w:styleId="21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3">
    <w:name w:val="样式2"/>
    <w:basedOn w:val="5"/>
    <w:qFormat/>
    <w:uiPriority w:val="0"/>
    <w:pPr>
      <w:spacing w:line="415" w:lineRule="auto"/>
    </w:pPr>
  </w:style>
  <w:style w:type="paragraph" w:customStyle="1" w:styleId="214">
    <w:name w:val="Picture caption|1"/>
    <w:basedOn w:val="1"/>
    <w:qFormat/>
    <w:uiPriority w:val="0"/>
    <w:rPr>
      <w:rFonts w:ascii="宋体" w:hAnsi="宋体" w:cs="宋体"/>
      <w:sz w:val="20"/>
      <w:szCs w:val="20"/>
      <w:lang w:val="zh-TW" w:eastAsia="zh-TW" w:bidi="zh-TW"/>
    </w:rPr>
  </w:style>
  <w:style w:type="paragraph" w:customStyle="1" w:styleId="215">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16">
    <w:name w:val="样式4"/>
    <w:basedOn w:val="5"/>
    <w:qFormat/>
    <w:uiPriority w:val="0"/>
    <w:pPr>
      <w:spacing w:line="415" w:lineRule="auto"/>
    </w:pPr>
    <w:rPr>
      <w:rFonts w:eastAsia="Arial"/>
    </w:rPr>
  </w:style>
  <w:style w:type="paragraph" w:customStyle="1" w:styleId="217">
    <w:name w:val="p0 New"/>
    <w:basedOn w:val="1"/>
    <w:qFormat/>
    <w:uiPriority w:val="0"/>
    <w:pPr>
      <w:widowControl/>
      <w:jc w:val="left"/>
    </w:pPr>
    <w:rPr>
      <w:rFonts w:ascii="宋体" w:hAnsi="Calibri" w:cs="宋体"/>
      <w:kern w:val="0"/>
      <w:sz w:val="18"/>
      <w:szCs w:val="18"/>
    </w:rPr>
  </w:style>
  <w:style w:type="paragraph" w:customStyle="1" w:styleId="218">
    <w:name w:val="Char Char6"/>
    <w:basedOn w:val="1"/>
    <w:qFormat/>
    <w:uiPriority w:val="0"/>
    <w:pPr>
      <w:widowControl/>
      <w:spacing w:after="160" w:line="240" w:lineRule="exact"/>
      <w:jc w:val="left"/>
    </w:pPr>
  </w:style>
  <w:style w:type="paragraph" w:customStyle="1" w:styleId="219">
    <w:name w:val="列出段落1"/>
    <w:basedOn w:val="1"/>
    <w:qFormat/>
    <w:uiPriority w:val="0"/>
    <w:pPr>
      <w:ind w:firstLine="200" w:firstLineChars="200"/>
    </w:pPr>
    <w:rPr>
      <w:rFonts w:ascii="Calibri" w:hAnsi="Calibri"/>
    </w:rPr>
  </w:style>
  <w:style w:type="paragraph" w:customStyle="1" w:styleId="220">
    <w:name w:val="1"/>
    <w:basedOn w:val="1"/>
    <w:next w:val="1"/>
    <w:qFormat/>
    <w:uiPriority w:val="0"/>
  </w:style>
  <w:style w:type="paragraph" w:customStyle="1" w:styleId="221">
    <w:name w:val="Body text|2"/>
    <w:basedOn w:val="1"/>
    <w:qFormat/>
    <w:uiPriority w:val="0"/>
    <w:pPr>
      <w:spacing w:before="3540" w:line="634" w:lineRule="exact"/>
      <w:ind w:left="2920" w:hanging="790"/>
    </w:pPr>
    <w:rPr>
      <w:rFonts w:ascii="宋体" w:hAnsi="宋体" w:cs="宋体"/>
      <w:sz w:val="30"/>
      <w:szCs w:val="30"/>
      <w:u w:val="single"/>
      <w:lang w:val="zh-TW" w:eastAsia="zh-TW" w:bidi="zh-TW"/>
    </w:rPr>
  </w:style>
  <w:style w:type="paragraph" w:customStyle="1" w:styleId="2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23">
    <w:name w:val="Body text|1"/>
    <w:basedOn w:val="1"/>
    <w:qFormat/>
    <w:uiPriority w:val="0"/>
    <w:pPr>
      <w:spacing w:line="468" w:lineRule="auto"/>
      <w:ind w:firstLine="400"/>
    </w:pPr>
    <w:rPr>
      <w:rFonts w:ascii="宋体" w:hAnsi="宋体" w:cs="宋体"/>
      <w:sz w:val="20"/>
      <w:szCs w:val="20"/>
      <w:lang w:val="zh-TW" w:eastAsia="zh-TW" w:bidi="zh-TW"/>
    </w:rPr>
  </w:style>
  <w:style w:type="paragraph" w:customStyle="1" w:styleId="22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styleId="225">
    <w:name w:val="List Paragraph"/>
    <w:basedOn w:val="1"/>
    <w:qFormat/>
    <w:uiPriority w:val="0"/>
    <w:pPr>
      <w:ind w:firstLine="200" w:firstLineChars="200"/>
    </w:pPr>
    <w:rPr>
      <w:rFonts w:ascii="Calibri" w:hAnsi="Calibri"/>
      <w:szCs w:val="22"/>
    </w:rPr>
  </w:style>
  <w:style w:type="paragraph" w:customStyle="1" w:styleId="226">
    <w:name w:val="默认段落字体 Para Char Char Char Char"/>
    <w:basedOn w:val="1"/>
    <w:qFormat/>
    <w:uiPriority w:val="0"/>
  </w:style>
  <w:style w:type="paragraph" w:customStyle="1" w:styleId="227">
    <w:name w:val="正文2"/>
    <w:qFormat/>
    <w:uiPriority w:val="0"/>
    <w:pPr>
      <w:widowControl w:val="0"/>
      <w:jc w:val="both"/>
    </w:pPr>
    <w:rPr>
      <w:rFonts w:ascii="Calibri" w:hAnsi="Calibri" w:eastAsia="宋体" w:cs="Times New Roman"/>
      <w:lang w:val="en-US" w:eastAsia="zh-CN" w:bidi="ar-SA"/>
    </w:rPr>
  </w:style>
  <w:style w:type="paragraph" w:customStyle="1" w:styleId="2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29">
    <w:name w:val="Char Char Char Char Char Char Char Char Char Char Char Char Char"/>
    <w:basedOn w:val="1"/>
    <w:qFormat/>
    <w:uiPriority w:val="0"/>
    <w:rPr>
      <w:rFonts w:ascii="Calibri" w:hAnsi="Calibri"/>
    </w:rPr>
  </w:style>
  <w:style w:type="paragraph" w:customStyle="1" w:styleId="23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32">
    <w:name w:val="Char Char Char Char Char Char Char Char Char Char Char Char Char1"/>
    <w:basedOn w:val="1"/>
    <w:qFormat/>
    <w:uiPriority w:val="0"/>
  </w:style>
  <w:style w:type="character" w:customStyle="1" w:styleId="233">
    <w:name w:val="未处理的提及1"/>
    <w:basedOn w:val="53"/>
    <w:semiHidden/>
    <w:unhideWhenUsed/>
    <w:qFormat/>
    <w:uiPriority w:val="99"/>
    <w:rPr>
      <w:color w:val="605E5C"/>
      <w:shd w:val="clear" w:color="auto" w:fill="E1DFDD"/>
    </w:rPr>
  </w:style>
  <w:style w:type="character" w:customStyle="1" w:styleId="234">
    <w:name w:val="NormalCharacter"/>
    <w:semiHidden/>
    <w:qFormat/>
    <w:uiPriority w:val="0"/>
  </w:style>
  <w:style w:type="table" w:customStyle="1" w:styleId="235">
    <w:name w:val="Table Normal"/>
    <w:semiHidden/>
    <w:unhideWhenUsed/>
    <w:qFormat/>
    <w:uiPriority w:val="0"/>
    <w:tblPr>
      <w:tblCellMar>
        <w:top w:w="0" w:type="dxa"/>
        <w:left w:w="0" w:type="dxa"/>
        <w:bottom w:w="0" w:type="dxa"/>
        <w:right w:w="0" w:type="dxa"/>
      </w:tblCellMar>
    </w:tblPr>
  </w:style>
  <w:style w:type="table" w:customStyle="1" w:styleId="236">
    <w:name w:val="网格型1"/>
    <w:basedOn w:val="51"/>
    <w:qFormat/>
    <w:uiPriority w:val="3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2DBD6-FDE9-45F9-9322-47695EF4DC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21161</Words>
  <Characters>23085</Characters>
  <Lines>194</Lines>
  <Paragraphs>54</Paragraphs>
  <TotalTime>7</TotalTime>
  <ScaleCrop>false</ScaleCrop>
  <LinksUpToDate>false</LinksUpToDate>
  <CharactersWithSpaces>27238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2021-07-21T07:39:00Z</dcterms:created>
  <dc:creator>微软用户</dc:creator>
  <cp:lastModifiedBy>灰灰菇凉</cp:lastModifiedBy>
  <cp:lastPrinted>2022-01-03T08:24:00Z</cp:lastPrinted>
  <dcterms:modified xsi:type="dcterms:W3CDTF">2024-06-27T10:24:53Z</dcterms:modified>
  <dc:title>花亭路等道路绿化工程苗木比价采购</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42652854B11C4C06AE6B728E4B91193D_13</vt:lpwstr>
  </property>
</Properties>
</file>