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cs="宋体"/>
          <w:b/>
          <w:bCs/>
          <w:color w:val="auto"/>
          <w:kern w:val="0"/>
          <w:sz w:val="36"/>
          <w:szCs w:val="36"/>
          <w:highlight w:val="none"/>
        </w:rPr>
      </w:pPr>
    </w:p>
    <w:p>
      <w:pPr>
        <w:spacing w:after="156" w:afterLines="50"/>
        <w:ind w:left="-850" w:leftChars="-405" w:right="-625"/>
        <w:jc w:val="center"/>
        <w:rPr>
          <w:rFonts w:hint="eastAsia" w:ascii="宋体" w:hAnsi="宋体"/>
          <w:b/>
          <w:color w:val="auto"/>
          <w:sz w:val="72"/>
          <w:szCs w:val="72"/>
          <w:highlight w:val="none"/>
          <w:lang w:eastAsia="zh-CN"/>
        </w:rPr>
      </w:pPr>
      <w:bookmarkStart w:id="0" w:name="OLE_LINK1"/>
      <w:bookmarkStart w:id="1" w:name="OLE_LINK2"/>
      <w:bookmarkStart w:id="2" w:name="OLE_LINK3"/>
      <w:bookmarkStart w:id="3" w:name="_Toc21247_WPSOffice_Level1"/>
      <w:r>
        <w:rPr>
          <w:rFonts w:hint="eastAsia" w:ascii="宋体" w:hAnsi="宋体"/>
          <w:b/>
          <w:color w:val="auto"/>
          <w:sz w:val="48"/>
          <w:szCs w:val="48"/>
          <w:highlight w:val="none"/>
          <w:lang w:eastAsia="zh-CN"/>
        </w:rPr>
        <w:t>滁州市第二人民医院病人生活用品供应商采购项目</w:t>
      </w:r>
    </w:p>
    <w:p>
      <w:pPr>
        <w:spacing w:after="156" w:afterLines="50"/>
        <w:ind w:left="-850" w:leftChars="-405" w:right="-625"/>
        <w:jc w:val="center"/>
        <w:rPr>
          <w:color w:val="auto"/>
          <w:sz w:val="24"/>
          <w:highlight w:val="none"/>
        </w:rPr>
      </w:pPr>
    </w:p>
    <w:p>
      <w:pPr>
        <w:pStyle w:val="49"/>
        <w:ind w:left="0" w:leftChars="0" w:firstLine="3200" w:firstLineChars="1000"/>
        <w:rPr>
          <w:color w:val="auto"/>
          <w:sz w:val="32"/>
          <w:szCs w:val="32"/>
          <w:highlight w:val="none"/>
        </w:rPr>
      </w:pPr>
    </w:p>
    <w:p>
      <w:pPr>
        <w:pStyle w:val="21"/>
        <w:rPr>
          <w:color w:val="auto"/>
          <w:sz w:val="32"/>
          <w:szCs w:val="32"/>
          <w:highlight w:val="none"/>
        </w:rPr>
      </w:pPr>
    </w:p>
    <w:p>
      <w:pPr>
        <w:pStyle w:val="17"/>
        <w:rPr>
          <w:highlight w:val="none"/>
        </w:rPr>
      </w:pPr>
    </w:p>
    <w:p>
      <w:pPr>
        <w:pStyle w:val="49"/>
        <w:ind w:left="0" w:leftChars="0" w:firstLine="0" w:firstLineChars="0"/>
        <w:jc w:val="center"/>
        <w:rPr>
          <w:rFonts w:ascii="宋体" w:hAnsi="宋体" w:cs="宋体"/>
          <w:color w:val="auto"/>
          <w:sz w:val="32"/>
          <w:szCs w:val="32"/>
          <w:highlight w:val="none"/>
        </w:rPr>
      </w:pPr>
      <w:r>
        <w:rPr>
          <w:rFonts w:hint="eastAsia"/>
          <w:color w:val="auto"/>
          <w:sz w:val="32"/>
          <w:szCs w:val="32"/>
          <w:highlight w:val="none"/>
        </w:rPr>
        <w:t>项目编号：</w:t>
      </w:r>
      <w:r>
        <w:rPr>
          <w:rFonts w:hint="eastAsia"/>
          <w:color w:val="auto"/>
          <w:sz w:val="32"/>
          <w:szCs w:val="32"/>
          <w:highlight w:val="none"/>
          <w:lang w:eastAsia="zh-CN"/>
        </w:rPr>
        <w:t>CZEY-2024023</w:t>
      </w:r>
    </w:p>
    <w:p>
      <w:pPr>
        <w:spacing w:line="360" w:lineRule="auto"/>
        <w:rPr>
          <w:rFonts w:ascii="楷体" w:hAnsi="楷体" w:eastAsia="楷体" w:cs="楷体"/>
          <w:b/>
          <w:color w:val="auto"/>
          <w:sz w:val="96"/>
          <w:szCs w:val="96"/>
          <w:highlight w:val="none"/>
        </w:rPr>
      </w:pPr>
    </w:p>
    <w:p>
      <w:pPr>
        <w:spacing w:line="360" w:lineRule="auto"/>
        <w:jc w:val="center"/>
        <w:rPr>
          <w:rFonts w:ascii="宋体" w:hAnsi="宋体" w:cs="宋体"/>
          <w:bCs/>
          <w:color w:val="auto"/>
          <w:sz w:val="96"/>
          <w:szCs w:val="96"/>
          <w:highlight w:val="none"/>
        </w:rPr>
      </w:pPr>
      <w:r>
        <w:rPr>
          <w:rFonts w:hint="eastAsia" w:ascii="宋体" w:hAnsi="宋体" w:cs="宋体"/>
          <w:b/>
          <w:color w:val="auto"/>
          <w:sz w:val="96"/>
          <w:szCs w:val="96"/>
          <w:highlight w:val="none"/>
        </w:rPr>
        <w:t>招 标 文 件</w:t>
      </w:r>
    </w:p>
    <w:p>
      <w:pPr>
        <w:rPr>
          <w:rFonts w:ascii="宋体" w:hAnsi="宋体"/>
          <w:b/>
          <w:color w:val="auto"/>
          <w:sz w:val="84"/>
          <w:szCs w:val="84"/>
          <w:highlight w:val="none"/>
        </w:rPr>
      </w:pPr>
    </w:p>
    <w:p>
      <w:pPr>
        <w:pStyle w:val="49"/>
        <w:rPr>
          <w:color w:val="auto"/>
          <w:highlight w:val="none"/>
        </w:rPr>
      </w:pPr>
    </w:p>
    <w:p>
      <w:pPr>
        <w:rPr>
          <w:rFonts w:ascii="宋体"/>
          <w:color w:val="auto"/>
          <w:sz w:val="28"/>
          <w:szCs w:val="28"/>
          <w:highlight w:val="none"/>
        </w:rPr>
      </w:pPr>
    </w:p>
    <w:p>
      <w:pPr>
        <w:ind w:firstLine="643" w:firstLineChars="200"/>
        <w:rPr>
          <w:rFonts w:ascii="宋体"/>
          <w:b/>
          <w:color w:val="auto"/>
          <w:sz w:val="32"/>
          <w:szCs w:val="32"/>
          <w:highlight w:val="none"/>
        </w:rPr>
      </w:pPr>
    </w:p>
    <w:p>
      <w:pPr>
        <w:pStyle w:val="17"/>
        <w:rPr>
          <w:color w:val="auto"/>
          <w:highlight w:val="none"/>
        </w:rPr>
      </w:pPr>
    </w:p>
    <w:p>
      <w:pPr>
        <w:rPr>
          <w:rFonts w:ascii="宋体"/>
          <w:b/>
          <w:color w:val="auto"/>
          <w:spacing w:val="-20"/>
          <w:sz w:val="32"/>
          <w:szCs w:val="32"/>
          <w:highlight w:val="none"/>
        </w:rPr>
      </w:pPr>
      <w:r>
        <w:rPr>
          <w:rFonts w:hint="eastAsia" w:ascii="宋体"/>
          <w:b/>
          <w:color w:val="auto"/>
          <w:sz w:val="32"/>
          <w:szCs w:val="32"/>
          <w:highlight w:val="none"/>
        </w:rPr>
        <w:t>采 购 人：</w:t>
      </w:r>
      <w:r>
        <w:rPr>
          <w:rFonts w:hint="eastAsia" w:ascii="宋体" w:hAnsi="宋体"/>
          <w:b/>
          <w:color w:val="auto"/>
          <w:spacing w:val="-20"/>
          <w:sz w:val="32"/>
          <w:szCs w:val="32"/>
          <w:highlight w:val="none"/>
          <w:u w:val="single"/>
        </w:rPr>
        <w:t>滁州市第二人民医院（市传染病医院、市精神病医院）</w:t>
      </w:r>
      <w:r>
        <w:rPr>
          <w:rFonts w:hint="eastAsia" w:ascii="宋体"/>
          <w:b/>
          <w:color w:val="auto"/>
          <w:spacing w:val="-20"/>
          <w:sz w:val="32"/>
          <w:szCs w:val="32"/>
          <w:highlight w:val="none"/>
        </w:rPr>
        <w:t>（盖单位章）</w:t>
      </w:r>
    </w:p>
    <w:p>
      <w:pPr>
        <w:rPr>
          <w:rFonts w:ascii="宋体"/>
          <w:b/>
          <w:color w:val="auto"/>
          <w:sz w:val="32"/>
          <w:szCs w:val="32"/>
          <w:highlight w:val="none"/>
          <w:u w:val="single"/>
        </w:rPr>
      </w:pPr>
      <w:r>
        <w:rPr>
          <w:rFonts w:hint="eastAsia" w:ascii="宋体"/>
          <w:b/>
          <w:color w:val="auto"/>
          <w:sz w:val="32"/>
          <w:szCs w:val="32"/>
          <w:highlight w:val="none"/>
        </w:rPr>
        <w:t>采购代理机构：</w:t>
      </w:r>
      <w:r>
        <w:rPr>
          <w:rFonts w:hint="eastAsia" w:ascii="宋体" w:hAnsi="宋体"/>
          <w:b/>
          <w:color w:val="auto"/>
          <w:spacing w:val="-20"/>
          <w:sz w:val="32"/>
          <w:szCs w:val="32"/>
          <w:highlight w:val="none"/>
          <w:u w:val="single"/>
        </w:rPr>
        <w:t>江苏川页工程项目管理有限公司</w:t>
      </w:r>
      <w:r>
        <w:rPr>
          <w:rFonts w:hint="eastAsia" w:ascii="宋体"/>
          <w:b/>
          <w:color w:val="auto"/>
          <w:sz w:val="32"/>
          <w:szCs w:val="32"/>
          <w:highlight w:val="none"/>
        </w:rPr>
        <w:t>（盖单位章）</w:t>
      </w:r>
    </w:p>
    <w:p>
      <w:pPr>
        <w:jc w:val="center"/>
        <w:rPr>
          <w:rFonts w:ascii="宋体"/>
          <w:b/>
          <w:color w:val="auto"/>
          <w:sz w:val="32"/>
          <w:szCs w:val="32"/>
          <w:highlight w:val="none"/>
        </w:rPr>
      </w:pPr>
      <w:r>
        <w:rPr>
          <w:rFonts w:hint="eastAsia" w:ascii="宋体"/>
          <w:b/>
          <w:color w:val="auto"/>
          <w:sz w:val="32"/>
          <w:szCs w:val="32"/>
          <w:highlight w:val="none"/>
          <w:u w:val="single"/>
        </w:rPr>
        <w:t xml:space="preserve">二〇二四 </w:t>
      </w:r>
      <w:r>
        <w:rPr>
          <w:rFonts w:hint="eastAsia" w:ascii="宋体"/>
          <w:b/>
          <w:color w:val="auto"/>
          <w:sz w:val="32"/>
          <w:szCs w:val="32"/>
          <w:highlight w:val="none"/>
        </w:rPr>
        <w:t xml:space="preserve">年 </w:t>
      </w:r>
      <w:r>
        <w:rPr>
          <w:rFonts w:hint="eastAsia" w:ascii="宋体"/>
          <w:b/>
          <w:color w:val="auto"/>
          <w:sz w:val="32"/>
          <w:szCs w:val="32"/>
          <w:highlight w:val="none"/>
          <w:u w:val="single"/>
        </w:rPr>
        <w:t xml:space="preserve"> </w:t>
      </w:r>
      <w:r>
        <w:rPr>
          <w:rFonts w:hint="eastAsia" w:ascii="宋体"/>
          <w:b/>
          <w:color w:val="auto"/>
          <w:sz w:val="32"/>
          <w:szCs w:val="32"/>
          <w:highlight w:val="none"/>
          <w:u w:val="single"/>
          <w:lang w:val="en-US" w:eastAsia="zh-CN"/>
        </w:rPr>
        <w:t>五</w:t>
      </w:r>
      <w:r>
        <w:rPr>
          <w:rFonts w:hint="eastAsia" w:ascii="宋体"/>
          <w:b/>
          <w:color w:val="auto"/>
          <w:sz w:val="32"/>
          <w:szCs w:val="32"/>
          <w:highlight w:val="none"/>
          <w:u w:val="single"/>
        </w:rPr>
        <w:t xml:space="preserve"> </w:t>
      </w:r>
      <w:r>
        <w:rPr>
          <w:rFonts w:hint="eastAsia" w:ascii="宋体"/>
          <w:b/>
          <w:color w:val="auto"/>
          <w:sz w:val="32"/>
          <w:szCs w:val="32"/>
          <w:highlight w:val="none"/>
        </w:rPr>
        <w:t>月</w:t>
      </w:r>
    </w:p>
    <w:p>
      <w:pPr>
        <w:adjustRightInd w:val="0"/>
        <w:snapToGrid w:val="0"/>
        <w:spacing w:line="460" w:lineRule="exact"/>
        <w:jc w:val="center"/>
        <w:rPr>
          <w:rFonts w:hint="eastAsia" w:ascii="宋体" w:hAnsi="宋体" w:cs="宋体"/>
          <w:b/>
          <w:color w:val="auto"/>
          <w:spacing w:val="20"/>
          <w:sz w:val="32"/>
          <w:szCs w:val="32"/>
          <w:highlight w:val="none"/>
        </w:rPr>
      </w:pPr>
      <w:r>
        <w:rPr>
          <w:rFonts w:hint="eastAsia" w:ascii="宋体" w:hAnsi="宋体" w:cs="宋体"/>
          <w:b/>
          <w:color w:val="auto"/>
          <w:spacing w:val="20"/>
          <w:sz w:val="32"/>
          <w:szCs w:val="32"/>
          <w:highlight w:val="none"/>
        </w:rPr>
        <w:t>目 录</w:t>
      </w:r>
    </w:p>
    <w:p>
      <w:pPr>
        <w:pStyle w:val="31"/>
        <w:tabs>
          <w:tab w:val="right" w:leader="dot" w:pos="10120"/>
        </w:tabs>
        <w:rPr>
          <w:rStyle w:val="61"/>
          <w:b w:val="0"/>
          <w:bCs w:val="0"/>
          <w:color w:val="auto"/>
          <w:sz w:val="28"/>
          <w:highlight w:val="none"/>
        </w:rPr>
      </w:pPr>
    </w:p>
    <w:p>
      <w:pPr>
        <w:spacing w:line="360" w:lineRule="exact"/>
        <w:jc w:val="center"/>
        <w:rPr>
          <w:b/>
          <w:color w:val="auto"/>
          <w:sz w:val="36"/>
          <w:highlight w:val="none"/>
        </w:rPr>
      </w:pPr>
    </w:p>
    <w:p>
      <w:pPr>
        <w:pStyle w:val="31"/>
        <w:tabs>
          <w:tab w:val="right" w:leader="dot" w:pos="8296"/>
        </w:tabs>
        <w:spacing w:line="440" w:lineRule="exact"/>
        <w:rPr>
          <w:rFonts w:ascii="宋体" w:hAnsi="宋体"/>
          <w:b/>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color w:val="auto"/>
          <w:highlight w:val="none"/>
        </w:rPr>
        <w:fldChar w:fldCharType="begin"/>
      </w:r>
      <w:r>
        <w:rPr>
          <w:color w:val="auto"/>
          <w:highlight w:val="none"/>
        </w:rPr>
        <w:instrText xml:space="preserve"> HYPERLINK \l "_Toc58430304" </w:instrText>
      </w:r>
      <w:r>
        <w:rPr>
          <w:color w:val="auto"/>
          <w:highlight w:val="none"/>
        </w:rPr>
        <w:fldChar w:fldCharType="separate"/>
      </w:r>
      <w:r>
        <w:rPr>
          <w:rStyle w:val="61"/>
          <w:rFonts w:hint="eastAsia" w:ascii="宋体" w:hAnsi="宋体"/>
          <w:b/>
          <w:color w:val="auto"/>
          <w:sz w:val="24"/>
          <w:highlight w:val="none"/>
        </w:rPr>
        <w:t>第一章</w:t>
      </w:r>
      <w:r>
        <w:rPr>
          <w:rStyle w:val="61"/>
          <w:rFonts w:ascii="宋体" w:hAnsi="宋体"/>
          <w:b/>
          <w:color w:val="auto"/>
          <w:sz w:val="24"/>
          <w:highlight w:val="none"/>
        </w:rPr>
        <w:t xml:space="preserve"> </w:t>
      </w:r>
      <w:r>
        <w:rPr>
          <w:rStyle w:val="61"/>
          <w:rFonts w:hint="eastAsia" w:ascii="宋体" w:hAnsi="宋体"/>
          <w:b/>
          <w:color w:val="auto"/>
          <w:sz w:val="24"/>
          <w:highlight w:val="none"/>
          <w:lang w:val="en-US" w:eastAsia="zh-CN"/>
        </w:rPr>
        <w:t>招标</w:t>
      </w:r>
      <w:r>
        <w:rPr>
          <w:rStyle w:val="61"/>
          <w:rFonts w:hint="eastAsia" w:ascii="宋体" w:hAnsi="宋体"/>
          <w:b/>
          <w:color w:val="auto"/>
          <w:sz w:val="24"/>
          <w:highlight w:val="none"/>
        </w:rPr>
        <w:t>公告</w:t>
      </w:r>
      <w:r>
        <w:rPr>
          <w:rFonts w:ascii="宋体" w:hAnsi="宋体"/>
          <w:b/>
          <w:color w:val="auto"/>
          <w:sz w:val="24"/>
          <w:highlight w:val="none"/>
        </w:rPr>
        <w:tab/>
      </w:r>
      <w:r>
        <w:rPr>
          <w:rFonts w:hint="eastAsia" w:ascii="宋体" w:hAnsi="宋体"/>
          <w:b/>
          <w:color w:val="auto"/>
          <w:sz w:val="24"/>
          <w:highlight w:val="none"/>
        </w:rPr>
        <w:t>3</w:t>
      </w:r>
      <w:r>
        <w:rPr>
          <w:rFonts w:hint="eastAsia" w:ascii="宋体" w:hAnsi="宋体"/>
          <w:b/>
          <w:color w:val="auto"/>
          <w:sz w:val="24"/>
          <w:highlight w:val="none"/>
        </w:rPr>
        <w:fldChar w:fldCharType="end"/>
      </w:r>
    </w:p>
    <w:p>
      <w:pPr>
        <w:pStyle w:val="31"/>
        <w:tabs>
          <w:tab w:val="right" w:leader="dot" w:pos="8296"/>
        </w:tabs>
        <w:spacing w:line="440" w:lineRule="exact"/>
        <w:rPr>
          <w:rFonts w:ascii="宋体" w:hAnsi="宋体"/>
          <w:b/>
          <w:color w:val="auto"/>
          <w:sz w:val="24"/>
          <w:highlight w:val="none"/>
        </w:rPr>
      </w:pPr>
      <w:r>
        <w:rPr>
          <w:color w:val="auto"/>
          <w:highlight w:val="none"/>
        </w:rPr>
        <w:fldChar w:fldCharType="begin"/>
      </w:r>
      <w:r>
        <w:rPr>
          <w:color w:val="auto"/>
          <w:highlight w:val="none"/>
        </w:rPr>
        <w:instrText xml:space="preserve"> HYPERLINK \l "_Toc58430313" </w:instrText>
      </w:r>
      <w:r>
        <w:rPr>
          <w:color w:val="auto"/>
          <w:highlight w:val="none"/>
        </w:rPr>
        <w:fldChar w:fldCharType="separate"/>
      </w:r>
      <w:r>
        <w:rPr>
          <w:rStyle w:val="61"/>
          <w:rFonts w:hint="eastAsia" w:ascii="宋体" w:hAnsi="宋体"/>
          <w:b/>
          <w:color w:val="auto"/>
          <w:sz w:val="24"/>
          <w:highlight w:val="none"/>
        </w:rPr>
        <w:t>第二章</w:t>
      </w:r>
      <w:r>
        <w:rPr>
          <w:rStyle w:val="61"/>
          <w:rFonts w:ascii="宋体" w:hAnsi="宋体"/>
          <w:b/>
          <w:color w:val="auto"/>
          <w:sz w:val="24"/>
          <w:highlight w:val="none"/>
        </w:rPr>
        <w:t xml:space="preserve"> </w:t>
      </w:r>
      <w:r>
        <w:rPr>
          <w:rStyle w:val="61"/>
          <w:rFonts w:hint="eastAsia" w:ascii="宋体" w:hAnsi="宋体"/>
          <w:b/>
          <w:color w:val="auto"/>
          <w:sz w:val="24"/>
          <w:highlight w:val="none"/>
        </w:rPr>
        <w:t>投标人须知前附表</w:t>
      </w:r>
      <w:r>
        <w:rPr>
          <w:rFonts w:ascii="宋体" w:hAnsi="宋体"/>
          <w:b/>
          <w:color w:val="auto"/>
          <w:sz w:val="24"/>
          <w:highlight w:val="none"/>
        </w:rPr>
        <w:tab/>
      </w:r>
      <w:r>
        <w:rPr>
          <w:rFonts w:hint="eastAsia" w:ascii="宋体" w:hAnsi="宋体"/>
          <w:b/>
          <w:color w:val="auto"/>
          <w:sz w:val="24"/>
          <w:highlight w:val="none"/>
        </w:rPr>
        <w:t>5</w:t>
      </w:r>
      <w:r>
        <w:rPr>
          <w:rFonts w:hint="eastAsia" w:ascii="宋体" w:hAnsi="宋体"/>
          <w:b/>
          <w:color w:val="auto"/>
          <w:sz w:val="24"/>
          <w:highlight w:val="none"/>
        </w:rPr>
        <w:fldChar w:fldCharType="end"/>
      </w:r>
    </w:p>
    <w:p>
      <w:pPr>
        <w:pStyle w:val="31"/>
        <w:tabs>
          <w:tab w:val="right" w:leader="dot" w:pos="8296"/>
        </w:tabs>
        <w:spacing w:line="440" w:lineRule="exact"/>
        <w:rPr>
          <w:rFonts w:hint="eastAsia" w:ascii="宋体" w:hAnsi="宋体" w:eastAsia="宋体"/>
          <w:b/>
          <w:color w:val="auto"/>
          <w:sz w:val="24"/>
          <w:highlight w:val="none"/>
          <w:lang w:val="en-US" w:eastAsia="zh-CN"/>
        </w:rPr>
      </w:pPr>
      <w:r>
        <w:rPr>
          <w:color w:val="auto"/>
          <w:highlight w:val="none"/>
        </w:rPr>
        <w:fldChar w:fldCharType="begin"/>
      </w:r>
      <w:r>
        <w:rPr>
          <w:color w:val="auto"/>
          <w:highlight w:val="none"/>
        </w:rPr>
        <w:instrText xml:space="preserve"> HYPERLINK \l "_Toc58430316" </w:instrText>
      </w:r>
      <w:r>
        <w:rPr>
          <w:color w:val="auto"/>
          <w:highlight w:val="none"/>
        </w:rPr>
        <w:fldChar w:fldCharType="separate"/>
      </w:r>
      <w:r>
        <w:rPr>
          <w:rStyle w:val="61"/>
          <w:rFonts w:hint="eastAsia" w:ascii="宋体" w:hAnsi="宋体"/>
          <w:b/>
          <w:color w:val="auto"/>
          <w:sz w:val="24"/>
          <w:highlight w:val="none"/>
        </w:rPr>
        <w:t>第三章</w:t>
      </w:r>
      <w:r>
        <w:rPr>
          <w:rStyle w:val="61"/>
          <w:rFonts w:ascii="宋体" w:hAnsi="宋体"/>
          <w:b/>
          <w:color w:val="auto"/>
          <w:sz w:val="24"/>
          <w:highlight w:val="none"/>
        </w:rPr>
        <w:t xml:space="preserve"> </w:t>
      </w:r>
      <w:r>
        <w:rPr>
          <w:rStyle w:val="61"/>
          <w:rFonts w:hint="eastAsia" w:ascii="宋体" w:hAnsi="宋体"/>
          <w:b/>
          <w:color w:val="auto"/>
          <w:sz w:val="24"/>
          <w:highlight w:val="none"/>
        </w:rPr>
        <w:t>评标办法</w:t>
      </w:r>
      <w:r>
        <w:rPr>
          <w:rFonts w:ascii="宋体" w:hAnsi="宋体"/>
          <w:b/>
          <w:color w:val="auto"/>
          <w:sz w:val="24"/>
          <w:highlight w:val="none"/>
        </w:rPr>
        <w:tab/>
      </w:r>
      <w:r>
        <w:rPr>
          <w:rFonts w:hint="eastAsia" w:ascii="宋体" w:hAnsi="宋体"/>
          <w:b/>
          <w:color w:val="auto"/>
          <w:sz w:val="24"/>
          <w:highlight w:val="none"/>
          <w:lang w:val="en-US" w:eastAsia="zh-CN"/>
        </w:rPr>
        <w:t>1</w:t>
      </w:r>
      <w:r>
        <w:rPr>
          <w:rFonts w:ascii="宋体" w:hAnsi="宋体"/>
          <w:b/>
          <w:color w:val="auto"/>
          <w:sz w:val="24"/>
          <w:highlight w:val="none"/>
        </w:rPr>
        <w:fldChar w:fldCharType="end"/>
      </w:r>
      <w:r>
        <w:rPr>
          <w:rFonts w:hint="eastAsia" w:ascii="宋体" w:hAnsi="宋体"/>
          <w:b/>
          <w:color w:val="auto"/>
          <w:sz w:val="24"/>
          <w:highlight w:val="none"/>
          <w:lang w:val="en-US" w:eastAsia="zh-CN"/>
        </w:rPr>
        <w:t>3</w:t>
      </w:r>
    </w:p>
    <w:p>
      <w:pPr>
        <w:pStyle w:val="31"/>
        <w:tabs>
          <w:tab w:val="right" w:leader="dot" w:pos="8296"/>
        </w:tabs>
        <w:spacing w:line="440" w:lineRule="exact"/>
        <w:rPr>
          <w:rFonts w:ascii="宋体" w:hAnsi="宋体"/>
          <w:b/>
          <w:color w:val="auto"/>
          <w:sz w:val="24"/>
          <w:highlight w:val="none"/>
        </w:rPr>
      </w:pPr>
      <w:r>
        <w:rPr>
          <w:color w:val="auto"/>
          <w:highlight w:val="none"/>
        </w:rPr>
        <w:fldChar w:fldCharType="begin"/>
      </w:r>
      <w:r>
        <w:rPr>
          <w:color w:val="auto"/>
          <w:highlight w:val="none"/>
        </w:rPr>
        <w:instrText xml:space="preserve"> HYPERLINK \l "_Toc58430328" </w:instrText>
      </w:r>
      <w:r>
        <w:rPr>
          <w:color w:val="auto"/>
          <w:highlight w:val="none"/>
        </w:rPr>
        <w:fldChar w:fldCharType="separate"/>
      </w:r>
      <w:r>
        <w:rPr>
          <w:rStyle w:val="61"/>
          <w:rFonts w:hint="eastAsia" w:ascii="宋体" w:hAnsi="宋体"/>
          <w:b/>
          <w:color w:val="auto"/>
          <w:sz w:val="24"/>
          <w:highlight w:val="none"/>
        </w:rPr>
        <w:t>第四章</w:t>
      </w:r>
      <w:r>
        <w:rPr>
          <w:rStyle w:val="61"/>
          <w:rFonts w:ascii="宋体" w:hAnsi="宋体"/>
          <w:b/>
          <w:color w:val="auto"/>
          <w:sz w:val="24"/>
          <w:highlight w:val="none"/>
        </w:rPr>
        <w:t xml:space="preserve"> </w:t>
      </w:r>
      <w:r>
        <w:rPr>
          <w:rStyle w:val="61"/>
          <w:rFonts w:hint="eastAsia" w:ascii="宋体" w:hAnsi="宋体"/>
          <w:b/>
          <w:color w:val="auto"/>
          <w:sz w:val="24"/>
          <w:highlight w:val="none"/>
          <w:lang w:val="en-US" w:eastAsia="zh-CN"/>
        </w:rPr>
        <w:t>供货清单</w:t>
      </w:r>
      <w:r>
        <w:rPr>
          <w:rFonts w:ascii="宋体" w:hAnsi="宋体"/>
          <w:b/>
          <w:color w:val="auto"/>
          <w:sz w:val="24"/>
          <w:highlight w:val="none"/>
        </w:rPr>
        <w:tab/>
      </w:r>
      <w:r>
        <w:rPr>
          <w:rFonts w:hint="eastAsia" w:ascii="宋体" w:hAnsi="宋体"/>
          <w:b/>
          <w:color w:val="auto"/>
          <w:sz w:val="24"/>
          <w:highlight w:val="none"/>
        </w:rPr>
        <w:t>1</w:t>
      </w:r>
      <w:r>
        <w:rPr>
          <w:rFonts w:hint="eastAsia" w:ascii="宋体" w:hAnsi="宋体"/>
          <w:b/>
          <w:color w:val="auto"/>
          <w:sz w:val="24"/>
          <w:highlight w:val="none"/>
          <w:lang w:val="en-US" w:eastAsia="zh-CN"/>
        </w:rPr>
        <w:t>9</w:t>
      </w:r>
      <w:r>
        <w:rPr>
          <w:rFonts w:hint="eastAsia" w:ascii="宋体" w:hAnsi="宋体"/>
          <w:b/>
          <w:color w:val="auto"/>
          <w:sz w:val="24"/>
          <w:highlight w:val="none"/>
        </w:rPr>
        <w:fldChar w:fldCharType="end"/>
      </w:r>
    </w:p>
    <w:p>
      <w:pPr>
        <w:pStyle w:val="31"/>
        <w:tabs>
          <w:tab w:val="right" w:leader="dot" w:pos="8296"/>
        </w:tabs>
        <w:spacing w:line="440" w:lineRule="exact"/>
        <w:rPr>
          <w:rFonts w:hint="eastAsia" w:ascii="宋体" w:hAnsi="宋体" w:eastAsia="宋体"/>
          <w:b/>
          <w:color w:val="auto"/>
          <w:sz w:val="24"/>
          <w:highlight w:val="none"/>
          <w:lang w:val="en-US" w:eastAsia="zh-CN"/>
        </w:rPr>
      </w:pPr>
      <w:r>
        <w:rPr>
          <w:color w:val="auto"/>
          <w:highlight w:val="none"/>
        </w:rPr>
        <w:fldChar w:fldCharType="begin"/>
      </w:r>
      <w:r>
        <w:rPr>
          <w:color w:val="auto"/>
          <w:highlight w:val="none"/>
        </w:rPr>
        <w:instrText xml:space="preserve"> HYPERLINK \l "_Toc58430329" </w:instrText>
      </w:r>
      <w:r>
        <w:rPr>
          <w:color w:val="auto"/>
          <w:highlight w:val="none"/>
        </w:rPr>
        <w:fldChar w:fldCharType="separate"/>
      </w:r>
      <w:r>
        <w:rPr>
          <w:rStyle w:val="61"/>
          <w:rFonts w:hint="eastAsia" w:ascii="宋体" w:hAnsi="宋体"/>
          <w:b/>
          <w:color w:val="auto"/>
          <w:sz w:val="24"/>
          <w:highlight w:val="none"/>
        </w:rPr>
        <w:t>第五章</w:t>
      </w:r>
      <w:r>
        <w:rPr>
          <w:rStyle w:val="61"/>
          <w:rFonts w:ascii="宋体" w:hAnsi="宋体"/>
          <w:b/>
          <w:color w:val="auto"/>
          <w:sz w:val="24"/>
          <w:highlight w:val="none"/>
        </w:rPr>
        <w:t xml:space="preserve"> </w:t>
      </w:r>
      <w:r>
        <w:rPr>
          <w:rStyle w:val="61"/>
          <w:rFonts w:hint="eastAsia" w:ascii="宋体" w:hAnsi="宋体"/>
          <w:b/>
          <w:color w:val="auto"/>
          <w:sz w:val="24"/>
          <w:highlight w:val="none"/>
        </w:rPr>
        <w:t>合同条款及格式</w:t>
      </w:r>
      <w:r>
        <w:rPr>
          <w:rFonts w:ascii="宋体" w:hAnsi="宋体"/>
          <w:b/>
          <w:color w:val="auto"/>
          <w:sz w:val="24"/>
          <w:highlight w:val="none"/>
        </w:rPr>
        <w:tab/>
      </w:r>
      <w:r>
        <w:rPr>
          <w:rFonts w:hint="eastAsia" w:ascii="宋体" w:hAnsi="宋体"/>
          <w:b/>
          <w:color w:val="auto"/>
          <w:sz w:val="24"/>
          <w:highlight w:val="none"/>
          <w:lang w:val="en-US" w:eastAsia="zh-CN"/>
        </w:rPr>
        <w:t>2</w:t>
      </w:r>
      <w:r>
        <w:rPr>
          <w:rFonts w:hint="eastAsia" w:ascii="宋体" w:hAnsi="宋体"/>
          <w:b/>
          <w:color w:val="auto"/>
          <w:sz w:val="24"/>
          <w:highlight w:val="none"/>
        </w:rPr>
        <w:fldChar w:fldCharType="end"/>
      </w:r>
      <w:r>
        <w:rPr>
          <w:rFonts w:hint="eastAsia" w:ascii="宋体" w:hAnsi="宋体"/>
          <w:b/>
          <w:color w:val="auto"/>
          <w:sz w:val="24"/>
          <w:highlight w:val="none"/>
          <w:lang w:val="en-US" w:eastAsia="zh-CN"/>
        </w:rPr>
        <w:t>1</w:t>
      </w:r>
    </w:p>
    <w:p>
      <w:pPr>
        <w:pStyle w:val="31"/>
        <w:tabs>
          <w:tab w:val="right" w:leader="dot" w:pos="8296"/>
        </w:tabs>
        <w:spacing w:line="440" w:lineRule="exact"/>
        <w:rPr>
          <w:rFonts w:hint="eastAsia" w:ascii="宋体" w:hAnsi="宋体" w:eastAsia="宋体"/>
          <w:b/>
          <w:color w:val="auto"/>
          <w:sz w:val="24"/>
          <w:highlight w:val="none"/>
          <w:lang w:eastAsia="zh-CN"/>
        </w:rPr>
      </w:pPr>
      <w:r>
        <w:rPr>
          <w:color w:val="auto"/>
          <w:highlight w:val="none"/>
        </w:rPr>
        <w:fldChar w:fldCharType="begin"/>
      </w:r>
      <w:r>
        <w:rPr>
          <w:color w:val="auto"/>
          <w:highlight w:val="none"/>
        </w:rPr>
        <w:instrText xml:space="preserve"> HYPERLINK \l "_Toc58430332" </w:instrText>
      </w:r>
      <w:r>
        <w:rPr>
          <w:color w:val="auto"/>
          <w:highlight w:val="none"/>
        </w:rPr>
        <w:fldChar w:fldCharType="separate"/>
      </w:r>
      <w:r>
        <w:rPr>
          <w:rStyle w:val="61"/>
          <w:rFonts w:hint="eastAsia" w:ascii="宋体" w:hAnsi="宋体"/>
          <w:b/>
          <w:color w:val="auto"/>
          <w:sz w:val="24"/>
          <w:highlight w:val="none"/>
        </w:rPr>
        <w:t>第六章</w:t>
      </w:r>
      <w:r>
        <w:rPr>
          <w:rStyle w:val="61"/>
          <w:rFonts w:ascii="宋体" w:hAnsi="宋体"/>
          <w:b/>
          <w:color w:val="auto"/>
          <w:sz w:val="24"/>
          <w:highlight w:val="none"/>
        </w:rPr>
        <w:t xml:space="preserve"> </w:t>
      </w:r>
      <w:r>
        <w:rPr>
          <w:rStyle w:val="61"/>
          <w:rFonts w:hint="eastAsia" w:ascii="宋体" w:hAnsi="宋体"/>
          <w:b/>
          <w:color w:val="auto"/>
          <w:sz w:val="24"/>
          <w:highlight w:val="none"/>
        </w:rPr>
        <w:t>投标文件格式</w:t>
      </w:r>
      <w:r>
        <w:rPr>
          <w:rFonts w:ascii="宋体" w:hAnsi="宋体"/>
          <w:b/>
          <w:color w:val="auto"/>
          <w:sz w:val="24"/>
          <w:highlight w:val="none"/>
        </w:rPr>
        <w:tab/>
      </w:r>
      <w:r>
        <w:rPr>
          <w:rFonts w:hint="eastAsia" w:ascii="宋体" w:hAnsi="宋体"/>
          <w:b/>
          <w:color w:val="auto"/>
          <w:sz w:val="24"/>
          <w:highlight w:val="none"/>
          <w:lang w:val="en-US" w:eastAsia="zh-CN"/>
        </w:rPr>
        <w:t>2</w:t>
      </w:r>
      <w:r>
        <w:rPr>
          <w:rFonts w:hint="eastAsia" w:ascii="宋体" w:hAnsi="宋体"/>
          <w:b/>
          <w:color w:val="auto"/>
          <w:sz w:val="24"/>
          <w:highlight w:val="none"/>
        </w:rPr>
        <w:fldChar w:fldCharType="end"/>
      </w:r>
      <w:r>
        <w:rPr>
          <w:rFonts w:hint="eastAsia" w:ascii="宋体" w:hAnsi="宋体"/>
          <w:b/>
          <w:color w:val="auto"/>
          <w:sz w:val="24"/>
          <w:highlight w:val="none"/>
          <w:lang w:val="en-US" w:eastAsia="zh-CN"/>
        </w:rPr>
        <w:t>8</w:t>
      </w:r>
    </w:p>
    <w:p>
      <w:pPr>
        <w:pStyle w:val="31"/>
        <w:tabs>
          <w:tab w:val="right" w:leader="dot" w:pos="8296"/>
        </w:tabs>
        <w:spacing w:line="440" w:lineRule="exact"/>
        <w:rPr>
          <w:rStyle w:val="61"/>
          <w:rFonts w:hint="default" w:ascii="宋体" w:hAnsi="宋体" w:eastAsia="宋体"/>
          <w:b/>
          <w:color w:val="auto"/>
          <w:sz w:val="24"/>
          <w:highlight w:val="none"/>
          <w:lang w:val="en-US" w:eastAsia="zh-CN"/>
        </w:rPr>
      </w:pPr>
      <w:r>
        <w:rPr>
          <w:rStyle w:val="61"/>
          <w:rFonts w:hint="eastAsia" w:hAnsi="宋体"/>
          <w:b/>
          <w:color w:val="auto"/>
          <w:sz w:val="24"/>
          <w:highlight w:val="none"/>
        </w:rPr>
        <w:t>第七章 采购人、采购代理机构对本招标文件的确认</w:t>
      </w:r>
      <w:r>
        <w:rPr>
          <w:rFonts w:ascii="宋体" w:hAnsi="宋体"/>
          <w:b/>
          <w:color w:val="auto"/>
          <w:sz w:val="24"/>
          <w:highlight w:val="none"/>
        </w:rPr>
        <w:tab/>
      </w:r>
      <w:r>
        <w:rPr>
          <w:rStyle w:val="61"/>
          <w:rFonts w:hint="eastAsia" w:hAnsi="宋体"/>
          <w:b/>
          <w:color w:val="auto"/>
          <w:sz w:val="24"/>
          <w:highlight w:val="none"/>
          <w:lang w:val="en-US" w:eastAsia="zh-CN"/>
        </w:rPr>
        <w:t>40</w:t>
      </w:r>
    </w:p>
    <w:p>
      <w:pPr>
        <w:rPr>
          <w:rFonts w:ascii="宋体" w:hAnsi="宋体" w:cs="宋体"/>
          <w:bCs/>
          <w:color w:val="auto"/>
          <w:spacing w:val="20"/>
          <w:sz w:val="24"/>
          <w:highlight w:val="none"/>
        </w:rPr>
      </w:pPr>
      <w:r>
        <w:rPr>
          <w:rFonts w:hint="eastAsia" w:ascii="宋体" w:hAnsi="宋体" w:cs="宋体"/>
          <w:color w:val="auto"/>
          <w:sz w:val="24"/>
          <w:highlight w:val="none"/>
        </w:rPr>
        <w:fldChar w:fldCharType="end"/>
      </w:r>
    </w:p>
    <w:p>
      <w:pPr>
        <w:rPr>
          <w:rFonts w:ascii="宋体" w:hAnsi="宋体" w:cs="宋体"/>
          <w:bCs/>
          <w:color w:val="auto"/>
          <w:sz w:val="24"/>
          <w:highlight w:val="none"/>
        </w:rPr>
      </w:pPr>
    </w:p>
    <w:p>
      <w:pPr>
        <w:rPr>
          <w:rFonts w:ascii="宋体" w:hAnsi="宋体" w:cs="宋体"/>
          <w:bCs/>
          <w:color w:val="auto"/>
          <w:sz w:val="24"/>
          <w:highlight w:val="none"/>
        </w:rPr>
      </w:pPr>
    </w:p>
    <w:p>
      <w:pPr>
        <w:pStyle w:val="31"/>
        <w:tabs>
          <w:tab w:val="right" w:leader="dot" w:pos="9071"/>
        </w:tabs>
        <w:spacing w:line="360" w:lineRule="auto"/>
        <w:rPr>
          <w:rFonts w:ascii="宋体" w:hAnsi="宋体" w:cs="宋体"/>
          <w:b w:val="0"/>
          <w:color w:val="auto"/>
          <w:szCs w:val="24"/>
          <w:highlight w:val="none"/>
        </w:rPr>
      </w:pPr>
    </w:p>
    <w:p>
      <w:pPr>
        <w:rPr>
          <w:rFonts w:ascii="宋体" w:hAnsi="宋体" w:cs="宋体"/>
          <w:bCs/>
          <w:color w:val="auto"/>
          <w:sz w:val="24"/>
          <w:highlight w:val="none"/>
        </w:rPr>
      </w:pPr>
    </w:p>
    <w:p>
      <w:pPr>
        <w:spacing w:before="156" w:beforeLines="50" w:after="156" w:afterLines="50"/>
        <w:jc w:val="center"/>
        <w:rPr>
          <w:rFonts w:ascii="宋体" w:hAnsi="宋体" w:cs="宋体"/>
          <w:b/>
          <w:color w:val="auto"/>
          <w:sz w:val="32"/>
          <w:szCs w:val="32"/>
          <w:highlight w:val="none"/>
        </w:rPr>
        <w:sectPr>
          <w:footerReference r:id="rId5" w:type="first"/>
          <w:headerReference r:id="rId3" w:type="default"/>
          <w:footerReference r:id="rId4" w:type="default"/>
          <w:pgSz w:w="11907" w:h="16840"/>
          <w:pgMar w:top="1440" w:right="1800" w:bottom="1440" w:left="1800" w:header="680" w:footer="680" w:gutter="0"/>
          <w:cols w:space="720" w:num="1"/>
          <w:titlePg/>
          <w:docGrid w:type="lines" w:linePitch="312" w:charSpace="0"/>
        </w:sectPr>
      </w:pPr>
      <w:bookmarkStart w:id="4" w:name="_Toc20534"/>
      <w:r>
        <w:rPr>
          <w:rFonts w:hint="eastAsia" w:ascii="宋体"/>
          <w:b/>
          <w:color w:val="auto"/>
          <w:sz w:val="28"/>
          <w:szCs w:val="28"/>
          <w:highlight w:val="none"/>
        </w:rPr>
        <w:br w:type="page"/>
      </w:r>
    </w:p>
    <w:p>
      <w:pPr>
        <w:spacing w:before="156" w:beforeLines="50" w:after="156" w:afterLines="50" w:line="560" w:lineRule="exact"/>
        <w:jc w:val="center"/>
        <w:outlineLvl w:val="0"/>
        <w:rPr>
          <w:rFonts w:ascii="宋体" w:hAnsi="宋体" w:cs="宋体"/>
          <w:color w:val="auto"/>
          <w:sz w:val="32"/>
          <w:szCs w:val="32"/>
          <w:highlight w:val="none"/>
        </w:rPr>
      </w:pPr>
      <w:bookmarkStart w:id="5" w:name="_Toc58430304"/>
      <w:bookmarkStart w:id="6" w:name="_Toc16307"/>
      <w:bookmarkStart w:id="7" w:name="_Toc32457"/>
      <w:r>
        <w:rPr>
          <w:rFonts w:hint="eastAsia" w:ascii="宋体" w:hAnsi="宋体" w:cs="宋体"/>
          <w:b/>
          <w:bCs/>
          <w:color w:val="auto"/>
          <w:kern w:val="44"/>
          <w:sz w:val="32"/>
          <w:szCs w:val="32"/>
          <w:highlight w:val="none"/>
        </w:rPr>
        <w:t>第一章</w:t>
      </w:r>
      <w:r>
        <w:rPr>
          <w:rFonts w:hint="eastAsia" w:ascii="宋体" w:hAnsi="宋体" w:cs="宋体"/>
          <w:b/>
          <w:color w:val="auto"/>
          <w:sz w:val="32"/>
          <w:szCs w:val="32"/>
          <w:highlight w:val="none"/>
        </w:rPr>
        <w:t xml:space="preserve">  </w:t>
      </w:r>
      <w:r>
        <w:rPr>
          <w:rFonts w:hint="eastAsia" w:ascii="宋体" w:hAnsi="宋体" w:cs="宋体"/>
          <w:b/>
          <w:bCs/>
          <w:color w:val="auto"/>
          <w:kern w:val="44"/>
          <w:sz w:val="32"/>
          <w:szCs w:val="32"/>
          <w:highlight w:val="none"/>
          <w:lang w:eastAsia="zh-CN"/>
        </w:rPr>
        <w:t>滁州市第二人民医院病人生活用品供应商采购项目</w:t>
      </w:r>
      <w:r>
        <w:rPr>
          <w:rFonts w:hint="eastAsia" w:ascii="宋体" w:hAnsi="宋体" w:cs="宋体"/>
          <w:b/>
          <w:bCs/>
          <w:color w:val="auto"/>
          <w:kern w:val="44"/>
          <w:sz w:val="32"/>
          <w:szCs w:val="32"/>
          <w:highlight w:val="none"/>
        </w:rPr>
        <w:t>招标公告</w:t>
      </w:r>
      <w:bookmarkEnd w:id="5"/>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宋体"/>
          <w:b/>
          <w:bCs/>
          <w:color w:val="auto"/>
          <w:sz w:val="24"/>
          <w:highlight w:val="none"/>
        </w:rPr>
      </w:pPr>
      <w:bookmarkStart w:id="8" w:name="_Toc28359079"/>
      <w:bookmarkStart w:id="9" w:name="_Toc35393621"/>
      <w:bookmarkStart w:id="10" w:name="_Toc35393790"/>
      <w:bookmarkStart w:id="11" w:name="_Toc58430305"/>
      <w:bookmarkStart w:id="12" w:name="_Toc28359002"/>
      <w:bookmarkStart w:id="13" w:name="_Hlk24379207"/>
      <w:r>
        <w:rPr>
          <w:rFonts w:hint="eastAsia" w:ascii="宋体" w:hAnsi="宋体" w:cs="宋体"/>
          <w:b/>
          <w:bCs/>
          <w:color w:val="auto"/>
          <w:sz w:val="24"/>
          <w:highlight w:val="none"/>
        </w:rPr>
        <w:t>一、项目基本情况</w:t>
      </w:r>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滁州市第二人民医院病人生活用品供应商采购项目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CZEY-2024023</w:t>
      </w:r>
    </w:p>
    <w:bookmarkEnd w:id="1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预算金额：</w:t>
      </w:r>
      <w:r>
        <w:rPr>
          <w:rFonts w:hint="eastAsia" w:ascii="宋体" w:hAnsi="宋体" w:cs="宋体"/>
          <w:color w:val="auto"/>
          <w:sz w:val="24"/>
          <w:highlight w:val="none"/>
          <w:lang w:val="en-US" w:eastAsia="zh-CN"/>
        </w:rPr>
        <w:t>16万元/年，48万元/三年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最高限价：</w:t>
      </w:r>
      <w:r>
        <w:rPr>
          <w:rFonts w:hint="eastAsia" w:ascii="宋体" w:hAnsi="宋体" w:cs="宋体"/>
          <w:color w:val="auto"/>
          <w:sz w:val="24"/>
          <w:highlight w:val="none"/>
          <w:lang w:val="en-US" w:eastAsia="zh-CN"/>
        </w:rPr>
        <w:t>16万元/年，48万元/三年</w:t>
      </w:r>
      <w:r>
        <w:rPr>
          <w:rFonts w:hint="eastAsia" w:ascii="宋体" w:hAnsi="宋体" w:cs="宋体"/>
          <w:color w:val="auto"/>
          <w:sz w:val="24"/>
          <w:highlight w:val="none"/>
        </w:rPr>
        <w:t>，投标人报价高于此限价的，其投标文件按无效标处理（小于等于此报价的为有效报价）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采购需求：详见采购需求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服务期限</w:t>
      </w:r>
      <w:r>
        <w:rPr>
          <w:rFonts w:hint="eastAsia" w:ascii="宋体" w:hAnsi="宋体" w:cs="宋体"/>
          <w:color w:val="auto"/>
          <w:sz w:val="24"/>
          <w:highlight w:val="none"/>
        </w:rPr>
        <w:t>：</w:t>
      </w:r>
      <w:r>
        <w:rPr>
          <w:rFonts w:hint="eastAsia" w:ascii="宋体" w:hAnsi="宋体" w:cs="宋体"/>
          <w:color w:val="auto"/>
          <w:sz w:val="24"/>
          <w:highlight w:val="none"/>
          <w:lang w:eastAsia="zh-CN"/>
        </w:rPr>
        <w:t xml:space="preserve"> 三年（合同一年一签）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交货时间：</w:t>
      </w:r>
      <w:r>
        <w:rPr>
          <w:rFonts w:hint="eastAsia" w:ascii="宋体" w:hAnsi="宋体" w:cs="宋体"/>
          <w:color w:val="auto"/>
          <w:sz w:val="24"/>
          <w:highlight w:val="none"/>
        </w:rPr>
        <w:t>合同签订后，根据采购人的需求，随时送货上门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本项目不接受联合体投标。</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宋体"/>
          <w:b/>
          <w:bCs/>
          <w:color w:val="auto"/>
          <w:sz w:val="24"/>
          <w:highlight w:val="none"/>
        </w:rPr>
      </w:pPr>
      <w:bookmarkStart w:id="14" w:name="_Toc35393791"/>
      <w:bookmarkStart w:id="15" w:name="_Toc28359003"/>
      <w:bookmarkStart w:id="16" w:name="_Toc28359080"/>
      <w:bookmarkStart w:id="17" w:name="_Toc58430306"/>
      <w:bookmarkStart w:id="18" w:name="_Toc35393622"/>
      <w:r>
        <w:rPr>
          <w:rFonts w:hint="eastAsia" w:ascii="宋体" w:hAnsi="宋体" w:cs="宋体"/>
          <w:b/>
          <w:bCs/>
          <w:color w:val="auto"/>
          <w:sz w:val="24"/>
          <w:highlight w:val="none"/>
        </w:rPr>
        <w:t>二、申请人的资格要求</w:t>
      </w:r>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highlight w:val="none"/>
        </w:rPr>
      </w:pPr>
      <w:bookmarkStart w:id="19" w:name="_Toc28359004"/>
      <w:bookmarkStart w:id="20" w:name="_Toc28359081"/>
      <w:r>
        <w:rPr>
          <w:rFonts w:hint="eastAsia" w:ascii="宋体" w:hAnsi="宋体" w:cs="宋体"/>
          <w:color w:val="auto"/>
          <w:sz w:val="24"/>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3.本项目的特定资格要求：</w:t>
      </w:r>
      <w:r>
        <w:rPr>
          <w:rFonts w:hint="eastAsia" w:ascii="宋体" w:hAnsi="宋体" w:eastAsia="宋体" w:cs="宋体"/>
          <w:color w:val="auto"/>
          <w:sz w:val="24"/>
          <w:highlight w:val="none"/>
          <w:lang w:val="en-US" w:eastAsia="zh-CN"/>
        </w:rPr>
        <w:t>具有合法有效的营业执照、组织机构代码证、税务登记证（或三证合一有效证书），且具有相应的服务内容；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.信誉</w:t>
      </w:r>
      <w:r>
        <w:rPr>
          <w:rFonts w:hint="eastAsia" w:ascii="宋体" w:hAnsi="宋体" w:cs="宋体"/>
          <w:color w:val="auto"/>
          <w:sz w:val="24"/>
          <w:highlight w:val="none"/>
        </w:rPr>
        <w:t>要求：投标人不得存在以下情形：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①投标人被人民法院列入失信被执行人的；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②投标人或其法定代表人或拟派项目负责人前三年有行贿犯罪行为的；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③投标人被市场监督管理部门列入经营异常名录或者严重违法企业名单的；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④投标人被税务部门列入重大税收违法案件当事人的；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⑤在“信用中国”网站上披露仍在公示期的严重失信行为的。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.投标人所属分公司、办事处等分支机构存在第4款信誉要求①-⑤项情形之一的，接受投标人参加本项目。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备注：第</w:t>
      </w:r>
      <w:r>
        <w:rPr>
          <w:rFonts w:hint="eastAsia" w:ascii="宋体" w:hAnsi="宋体" w:cs="宋体"/>
          <w:color w:val="auto"/>
          <w:sz w:val="24"/>
          <w:highlight w:val="none"/>
          <w:lang w:val="en-US" w:eastAsia="zh-CN"/>
        </w:rPr>
        <w:t>3、4</w:t>
      </w:r>
      <w:r>
        <w:rPr>
          <w:rFonts w:hint="eastAsia" w:ascii="宋体" w:hAnsi="宋体" w:cs="宋体"/>
          <w:color w:val="auto"/>
          <w:sz w:val="24"/>
          <w:highlight w:val="none"/>
        </w:rPr>
        <w:t>条自行查询或承诺。</w:t>
      </w:r>
    </w:p>
    <w:bookmarkEnd w:id="19"/>
    <w:bookmarkEnd w:id="20"/>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宋体"/>
          <w:b/>
          <w:bCs/>
          <w:color w:val="auto"/>
          <w:sz w:val="24"/>
          <w:highlight w:val="none"/>
        </w:rPr>
      </w:pPr>
      <w:bookmarkStart w:id="21" w:name="_Toc28359007"/>
      <w:bookmarkStart w:id="22" w:name="_Toc28359084"/>
      <w:bookmarkStart w:id="23" w:name="_Toc58430309"/>
      <w:bookmarkStart w:id="24" w:name="_Toc35393625"/>
      <w:bookmarkStart w:id="25" w:name="_Toc35393794"/>
      <w:r>
        <w:rPr>
          <w:rFonts w:hint="eastAsia" w:ascii="宋体" w:hAnsi="宋体" w:cs="宋体"/>
          <w:b/>
          <w:bCs/>
          <w:color w:val="auto"/>
          <w:sz w:val="24"/>
          <w:highlight w:val="none"/>
        </w:rPr>
        <w:t>三、招标公告发布时间及文件领取方式：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发布时间：2024年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时后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领取方式：滁州市第二人民医院官网，自行下载</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宋体"/>
          <w:b/>
          <w:bCs/>
          <w:color w:val="auto"/>
          <w:sz w:val="24"/>
          <w:highlight w:val="none"/>
        </w:rPr>
      </w:pPr>
      <w:bookmarkStart w:id="26" w:name="_Toc28359005"/>
      <w:bookmarkStart w:id="27" w:name="_Toc28359082"/>
      <w:bookmarkStart w:id="28" w:name="_Toc35393793"/>
      <w:bookmarkStart w:id="29" w:name="_Toc35393624"/>
      <w:bookmarkStart w:id="30" w:name="_Toc58430308"/>
      <w:r>
        <w:rPr>
          <w:rFonts w:hint="eastAsia" w:ascii="宋体" w:hAnsi="宋体" w:cs="宋体"/>
          <w:b/>
          <w:bCs/>
          <w:color w:val="auto"/>
          <w:sz w:val="24"/>
          <w:highlight w:val="none"/>
        </w:rPr>
        <w:t>四、投标文件递交</w:t>
      </w:r>
      <w:bookmarkEnd w:id="26"/>
      <w:bookmarkEnd w:id="27"/>
      <w:r>
        <w:rPr>
          <w:rFonts w:hint="eastAsia" w:ascii="宋体" w:hAnsi="宋体" w:cs="宋体"/>
          <w:b/>
          <w:bCs/>
          <w:color w:val="auto"/>
          <w:sz w:val="24"/>
          <w:highlight w:val="none"/>
        </w:rPr>
        <w:t>截止时间、开标时间和地点</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截止时间：</w:t>
      </w:r>
      <w:r>
        <w:rPr>
          <w:rFonts w:hint="eastAsia" w:ascii="宋体" w:hAnsi="宋体" w:eastAsia="宋体" w:cs="宋体"/>
          <w:b/>
          <w:bCs/>
          <w:color w:val="auto"/>
          <w:sz w:val="24"/>
          <w:szCs w:val="24"/>
          <w:highlight w:val="none"/>
          <w:lang w:eastAsia="zh-CN"/>
        </w:rPr>
        <w:t>2024年</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月</w:t>
      </w:r>
      <w:r>
        <w:rPr>
          <w:rFonts w:hint="eastAsia" w:ascii="宋体" w:hAnsi="宋体" w:cs="宋体"/>
          <w:b/>
          <w:bCs/>
          <w:color w:val="auto"/>
          <w:sz w:val="24"/>
          <w:szCs w:val="24"/>
          <w:highlight w:val="none"/>
          <w:lang w:val="en-US" w:eastAsia="zh-CN"/>
        </w:rPr>
        <w:t>23</w:t>
      </w:r>
      <w:r>
        <w:rPr>
          <w:rFonts w:hint="eastAsia" w:ascii="宋体" w:hAnsi="宋体" w:eastAsia="宋体" w:cs="宋体"/>
          <w:b/>
          <w:bCs/>
          <w:color w:val="auto"/>
          <w:sz w:val="24"/>
          <w:szCs w:val="24"/>
          <w:highlight w:val="none"/>
          <w:lang w:eastAsia="zh-CN"/>
        </w:rPr>
        <w:t>日</w:t>
      </w:r>
      <w:r>
        <w:rPr>
          <w:rFonts w:hint="eastAsia" w:ascii="宋体" w:hAnsi="宋体" w:eastAsia="宋体" w:cs="宋体"/>
          <w:b/>
          <w:bCs/>
          <w:color w:val="auto"/>
          <w:sz w:val="24"/>
          <w:szCs w:val="24"/>
          <w:highlight w:val="none"/>
          <w:lang w:val="en-US" w:eastAsia="zh-CN"/>
        </w:rPr>
        <w:t>1</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时</w:t>
      </w: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lang w:eastAsia="zh-CN"/>
        </w:rPr>
        <w:t>分</w:t>
      </w:r>
      <w:r>
        <w:rPr>
          <w:rFonts w:hint="eastAsia" w:ascii="宋体" w:hAnsi="宋体" w:eastAsia="宋体" w:cs="宋体"/>
          <w:b/>
          <w:bCs/>
          <w:color w:val="auto"/>
          <w:sz w:val="24"/>
          <w:szCs w:val="24"/>
          <w:highlight w:val="none"/>
          <w:lang w:val="en-US" w:eastAsia="zh-CN"/>
        </w:rPr>
        <w:t>前</w:t>
      </w:r>
      <w:r>
        <w:rPr>
          <w:rFonts w:hint="eastAsia" w:ascii="宋体" w:hAnsi="宋体" w:eastAsia="宋体" w:cs="宋体"/>
          <w:b/>
          <w:bCs/>
          <w:color w:val="auto"/>
          <w:sz w:val="24"/>
          <w:szCs w:val="24"/>
          <w:highlight w:val="none"/>
          <w:lang w:eastAsia="zh-CN"/>
        </w:rPr>
        <w:t>(北京时间)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注：各投标人可以采用直接送达或邮寄的方式，递交时间以直接送达或快递送达的时间为准，逾期不予接收。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w:t>
      </w:r>
      <w:r>
        <w:rPr>
          <w:rFonts w:hint="eastAsia" w:ascii="宋体" w:hAnsi="宋体" w:eastAsia="宋体" w:cs="宋体"/>
          <w:color w:val="auto"/>
          <w:sz w:val="24"/>
          <w:szCs w:val="24"/>
          <w:highlight w:val="none"/>
          <w:lang w:val="en-US" w:eastAsia="zh-CN"/>
        </w:rPr>
        <w:t>滁州市第二人民医院西区至善楼三楼第三会议室</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1"/>
      <w:bookmarkEnd w:id="22"/>
      <w:bookmarkEnd w:id="23"/>
      <w:bookmarkEnd w:id="24"/>
      <w:bookmarkEnd w:id="2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六、投标保证金金额及缴纳账户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auto"/>
          <w:sz w:val="24"/>
          <w:highlight w:val="none"/>
          <w:lang w:val="en-US" w:eastAsia="zh-CN"/>
        </w:rPr>
      </w:pPr>
      <w:bookmarkStart w:id="31" w:name="_Toc58430312"/>
      <w:r>
        <w:rPr>
          <w:rFonts w:hint="eastAsia" w:ascii="宋体" w:hAnsi="宋体" w:cs="宋体"/>
          <w:color w:val="auto"/>
          <w:sz w:val="24"/>
          <w:highlight w:val="none"/>
          <w:lang w:val="en-US" w:eastAsia="zh-CN"/>
        </w:rPr>
        <w:t>不要求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3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1.采购人信息</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称：滁州市第二人民医院（市传染病医院、市精神病医院）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    址：滁州市清流中路1401号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联系方式：</w:t>
      </w:r>
      <w:bookmarkStart w:id="32" w:name="_Toc28359009"/>
      <w:bookmarkStart w:id="33" w:name="_Toc28359086"/>
      <w:r>
        <w:rPr>
          <w:rFonts w:hint="eastAsia" w:ascii="宋体" w:hAnsi="宋体" w:cs="宋体"/>
          <w:color w:val="auto"/>
          <w:sz w:val="24"/>
          <w:highlight w:val="none"/>
          <w:lang w:eastAsia="zh-CN"/>
        </w:rPr>
        <w:t>招标办</w:t>
      </w:r>
      <w:r>
        <w:rPr>
          <w:rFonts w:hint="eastAsia" w:ascii="宋体" w:hAnsi="宋体" w:cs="宋体"/>
          <w:color w:val="auto"/>
          <w:sz w:val="24"/>
          <w:highlight w:val="none"/>
        </w:rPr>
        <w:t xml:space="preserve">0550-3523822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2.采购代理机构信息</w:t>
      </w:r>
      <w:bookmarkEnd w:id="32"/>
      <w:bookmarkEnd w:id="33"/>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名    称：江苏川页工程项目管理有限公司</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地  　址：滁州市世贸大厦A座18楼1818室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联系方式：</w:t>
      </w:r>
      <w:bookmarkStart w:id="34" w:name="_Toc28359010"/>
      <w:bookmarkStart w:id="35" w:name="_Toc28359087"/>
      <w:r>
        <w:rPr>
          <w:rFonts w:hint="eastAsia" w:ascii="宋体" w:hAnsi="宋体" w:cs="宋体"/>
          <w:color w:val="auto"/>
          <w:sz w:val="24"/>
          <w:highlight w:val="none"/>
        </w:rPr>
        <w:t>赵建飞18755018236</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3.项目联系方式</w:t>
      </w:r>
      <w:bookmarkEnd w:id="34"/>
      <w:bookmarkEnd w:id="3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项目联系人：</w:t>
      </w:r>
      <w:r>
        <w:rPr>
          <w:rFonts w:hint="eastAsia" w:ascii="宋体" w:hAnsi="宋体" w:cs="宋体"/>
          <w:color w:val="auto"/>
          <w:sz w:val="24"/>
          <w:highlight w:val="none"/>
          <w:lang w:eastAsia="zh-CN"/>
        </w:rPr>
        <w:t>招标办</w:t>
      </w:r>
      <w:r>
        <w:rPr>
          <w:rFonts w:hint="eastAsia" w:ascii="宋体" w:hAnsi="宋体" w:cs="宋体"/>
          <w:color w:val="auto"/>
          <w:sz w:val="24"/>
          <w:highlight w:val="none"/>
        </w:rPr>
        <w:t>、赵建飞</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电　  话：0550-3523822、18755018236</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p>
      <w:pPr>
        <w:spacing w:line="440" w:lineRule="exact"/>
        <w:rPr>
          <w:rFonts w:ascii="宋体" w:hAnsi="宋体" w:cs="宋体"/>
          <w:color w:val="auto"/>
          <w:sz w:val="24"/>
          <w:highlight w:val="none"/>
        </w:rPr>
      </w:pPr>
    </w:p>
    <w:p>
      <w:pPr>
        <w:spacing w:before="156" w:beforeLines="50" w:after="156" w:afterLines="50"/>
        <w:jc w:val="center"/>
        <w:outlineLvl w:val="0"/>
        <w:rPr>
          <w:rFonts w:hint="eastAsia" w:ascii="宋体"/>
          <w:b/>
          <w:color w:val="auto"/>
          <w:sz w:val="32"/>
          <w:szCs w:val="32"/>
          <w:highlight w:val="none"/>
        </w:rPr>
      </w:pPr>
      <w:bookmarkStart w:id="36" w:name="_Toc58430313"/>
    </w:p>
    <w:p>
      <w:pPr>
        <w:spacing w:before="156" w:beforeLines="50" w:after="156" w:afterLines="50"/>
        <w:jc w:val="center"/>
        <w:outlineLvl w:val="0"/>
        <w:rPr>
          <w:rFonts w:ascii="宋体"/>
          <w:b/>
          <w:color w:val="auto"/>
          <w:sz w:val="32"/>
          <w:szCs w:val="32"/>
          <w:highlight w:val="none"/>
        </w:rPr>
      </w:pPr>
      <w:r>
        <w:rPr>
          <w:rFonts w:hint="eastAsia" w:ascii="宋体"/>
          <w:b/>
          <w:color w:val="auto"/>
          <w:sz w:val="32"/>
          <w:szCs w:val="32"/>
          <w:highlight w:val="none"/>
        </w:rPr>
        <w:t>第二章 投标人须知</w:t>
      </w:r>
      <w:bookmarkEnd w:id="36"/>
    </w:p>
    <w:p>
      <w:pPr>
        <w:snapToGrid w:val="0"/>
        <w:spacing w:line="500" w:lineRule="exact"/>
        <w:jc w:val="center"/>
        <w:outlineLvl w:val="1"/>
        <w:rPr>
          <w:rFonts w:ascii="宋体"/>
          <w:b/>
          <w:color w:val="auto"/>
          <w:sz w:val="28"/>
          <w:szCs w:val="28"/>
          <w:highlight w:val="none"/>
        </w:rPr>
      </w:pPr>
      <w:bookmarkStart w:id="37" w:name="_Toc449028865"/>
      <w:bookmarkStart w:id="38" w:name="_Toc58430314"/>
      <w:r>
        <w:rPr>
          <w:rFonts w:hint="eastAsia" w:ascii="宋体"/>
          <w:b/>
          <w:color w:val="auto"/>
          <w:sz w:val="32"/>
          <w:szCs w:val="32"/>
          <w:highlight w:val="none"/>
        </w:rPr>
        <w:t>一、</w:t>
      </w:r>
      <w:r>
        <w:rPr>
          <w:rFonts w:hint="eastAsia" w:ascii="宋体"/>
          <w:b/>
          <w:color w:val="auto"/>
          <w:sz w:val="28"/>
          <w:szCs w:val="28"/>
          <w:highlight w:val="none"/>
        </w:rPr>
        <w:t>投标人须知前附表</w:t>
      </w:r>
      <w:bookmarkEnd w:id="37"/>
      <w:bookmarkEnd w:id="38"/>
    </w:p>
    <w:tbl>
      <w:tblPr>
        <w:tblStyle w:val="50"/>
        <w:tblW w:w="10197"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70"/>
        <w:gridCol w:w="2400"/>
        <w:gridCol w:w="712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jc w:val="center"/>
        </w:trPr>
        <w:tc>
          <w:tcPr>
            <w:tcW w:w="670" w:type="dxa"/>
            <w:vAlign w:val="center"/>
          </w:tcPr>
          <w:p>
            <w:pPr>
              <w:pStyle w:val="24"/>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400" w:type="dxa"/>
            <w:vAlign w:val="center"/>
          </w:tcPr>
          <w:p>
            <w:pPr>
              <w:pStyle w:val="24"/>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7127" w:type="dxa"/>
            <w:vAlign w:val="center"/>
          </w:tcPr>
          <w:p>
            <w:pPr>
              <w:pStyle w:val="24"/>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color w:val="auto"/>
                <w:szCs w:val="21"/>
                <w:highlight w:val="none"/>
              </w:rPr>
              <w:t>项目名称</w:t>
            </w:r>
          </w:p>
        </w:tc>
        <w:tc>
          <w:tcPr>
            <w:tcW w:w="7127" w:type="dxa"/>
            <w:vAlign w:val="center"/>
          </w:tcPr>
          <w:p>
            <w:pPr>
              <w:pStyle w:val="24"/>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滁州市第二人民医院病人生活用品供应商采购项目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jc w:val="center"/>
        </w:trPr>
        <w:tc>
          <w:tcPr>
            <w:tcW w:w="670" w:type="dxa"/>
            <w:vAlign w:val="center"/>
          </w:tcPr>
          <w:p>
            <w:pPr>
              <w:pStyle w:val="24"/>
              <w:numPr>
                <w:ilvl w:val="0"/>
                <w:numId w:val="1"/>
              </w:numPr>
              <w:spacing w:line="360" w:lineRule="exact"/>
              <w:jc w:val="center"/>
              <w:rPr>
                <w:rFonts w:ascii="宋体" w:hAnsi="宋体" w:cs="宋体"/>
                <w:b/>
                <w:bCs/>
                <w:color w:val="auto"/>
                <w:szCs w:val="21"/>
                <w:highlight w:val="none"/>
              </w:rPr>
            </w:pPr>
          </w:p>
        </w:tc>
        <w:tc>
          <w:tcPr>
            <w:tcW w:w="2400" w:type="dxa"/>
            <w:vAlign w:val="center"/>
          </w:tcPr>
          <w:p>
            <w:pPr>
              <w:pStyle w:val="24"/>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服务期</w:t>
            </w:r>
          </w:p>
        </w:tc>
        <w:tc>
          <w:tcPr>
            <w:tcW w:w="7127" w:type="dxa"/>
            <w:vAlign w:val="center"/>
          </w:tcPr>
          <w:p>
            <w:pPr>
              <w:pStyle w:val="24"/>
              <w:spacing w:line="360" w:lineRule="exact"/>
              <w:rPr>
                <w:rFonts w:ascii="宋体" w:hAnsi="宋体" w:cs="宋体"/>
                <w:b/>
                <w:bCs/>
                <w:color w:val="auto"/>
                <w:szCs w:val="21"/>
                <w:highlight w:val="none"/>
              </w:rPr>
            </w:pPr>
            <w:r>
              <w:rPr>
                <w:rFonts w:hint="eastAsia" w:ascii="宋体" w:hAnsi="宋体" w:cs="宋体"/>
                <w:b/>
                <w:bCs/>
                <w:color w:val="auto"/>
                <w:szCs w:val="21"/>
                <w:highlight w:val="none"/>
                <w:lang w:eastAsia="zh-CN"/>
              </w:rPr>
              <w:t xml:space="preserve"> 三年（合同一年一签）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交货</w:t>
            </w:r>
            <w:r>
              <w:rPr>
                <w:rFonts w:hint="eastAsia" w:ascii="宋体" w:hAnsi="宋体" w:cs="宋体"/>
                <w:color w:val="auto"/>
                <w:szCs w:val="21"/>
                <w:highlight w:val="none"/>
              </w:rPr>
              <w:t>地点</w:t>
            </w:r>
          </w:p>
        </w:tc>
        <w:tc>
          <w:tcPr>
            <w:tcW w:w="7127" w:type="dxa"/>
            <w:vAlign w:val="center"/>
          </w:tcPr>
          <w:p>
            <w:pPr>
              <w:pStyle w:val="24"/>
              <w:spacing w:line="360" w:lineRule="exact"/>
              <w:rPr>
                <w:rFonts w:ascii="宋体" w:hAnsi="宋体" w:cs="宋体"/>
                <w:color w:val="auto"/>
                <w:szCs w:val="21"/>
                <w:highlight w:val="none"/>
              </w:rPr>
            </w:pPr>
            <w:r>
              <w:rPr>
                <w:rFonts w:hint="eastAsia"/>
                <w:highlight w:val="none"/>
              </w:rPr>
              <w:t>滁州市第二人民医院总务科库房</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color w:val="auto"/>
                <w:szCs w:val="21"/>
                <w:highlight w:val="none"/>
              </w:rPr>
              <w:t>采购人联系人及电话</w:t>
            </w:r>
          </w:p>
        </w:tc>
        <w:tc>
          <w:tcPr>
            <w:tcW w:w="7127" w:type="dxa"/>
            <w:vAlign w:val="center"/>
          </w:tcPr>
          <w:p>
            <w:pPr>
              <w:pStyle w:val="24"/>
              <w:spacing w:line="360" w:lineRule="exact"/>
              <w:rPr>
                <w:rFonts w:ascii="宋体" w:hAnsi="宋体" w:cs="宋体"/>
                <w:color w:val="auto"/>
                <w:szCs w:val="21"/>
                <w:highlight w:val="none"/>
              </w:rPr>
            </w:pPr>
            <w:r>
              <w:rPr>
                <w:rFonts w:hint="eastAsia" w:ascii="宋体" w:hAnsi="宋体" w:cs="宋体"/>
                <w:color w:val="auto"/>
                <w:szCs w:val="21"/>
                <w:highlight w:val="none"/>
                <w:lang w:eastAsia="zh-CN"/>
              </w:rPr>
              <w:t>招标办</w:t>
            </w:r>
            <w:r>
              <w:rPr>
                <w:rFonts w:hint="eastAsia" w:ascii="宋体" w:hAnsi="宋体" w:cs="宋体"/>
                <w:color w:val="auto"/>
                <w:szCs w:val="21"/>
                <w:highlight w:val="none"/>
              </w:rPr>
              <w:t xml:space="preserve"> 0550-3523822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color w:val="auto"/>
                <w:szCs w:val="21"/>
                <w:highlight w:val="none"/>
              </w:rPr>
              <w:t>采购代理机构联系人及电话</w:t>
            </w:r>
          </w:p>
        </w:tc>
        <w:tc>
          <w:tcPr>
            <w:tcW w:w="7127" w:type="dxa"/>
            <w:vAlign w:val="center"/>
          </w:tcPr>
          <w:p>
            <w:pPr>
              <w:pStyle w:val="24"/>
              <w:spacing w:line="360" w:lineRule="exact"/>
              <w:rPr>
                <w:rFonts w:ascii="宋体" w:hAnsi="宋体" w:cs="宋体"/>
                <w:color w:val="auto"/>
                <w:szCs w:val="21"/>
                <w:highlight w:val="none"/>
              </w:rPr>
            </w:pPr>
            <w:r>
              <w:rPr>
                <w:rFonts w:hint="eastAsia" w:ascii="宋体" w:hAnsi="宋体" w:cs="宋体"/>
                <w:color w:val="auto"/>
                <w:szCs w:val="21"/>
                <w:highlight w:val="none"/>
              </w:rPr>
              <w:t>赵建飞 18755018236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color w:val="auto"/>
                <w:szCs w:val="21"/>
                <w:highlight w:val="none"/>
              </w:rPr>
              <w:t xml:space="preserve">资金来源                                                                                                                                                                 </w:t>
            </w:r>
          </w:p>
        </w:tc>
        <w:tc>
          <w:tcPr>
            <w:tcW w:w="7127" w:type="dxa"/>
            <w:vAlign w:val="center"/>
          </w:tcPr>
          <w:p>
            <w:pPr>
              <w:pStyle w:val="24"/>
              <w:spacing w:line="360" w:lineRule="exact"/>
              <w:rPr>
                <w:rFonts w:ascii="宋体" w:hAnsi="宋体" w:cs="宋体"/>
                <w:color w:val="auto"/>
                <w:szCs w:val="21"/>
                <w:highlight w:val="none"/>
              </w:rPr>
            </w:pPr>
            <w:r>
              <w:rPr>
                <w:rFonts w:hint="eastAsia" w:ascii="宋体" w:hAnsi="宋体" w:cs="宋体"/>
                <w:color w:val="auto"/>
                <w:szCs w:val="21"/>
                <w:highlight w:val="none"/>
              </w:rPr>
              <w:t>财政资金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rPr>
                <w:rFonts w:ascii="宋体" w:hAnsi="宋体" w:cs="宋体"/>
                <w:color w:val="auto"/>
                <w:szCs w:val="21"/>
                <w:highlight w:val="none"/>
              </w:rPr>
            </w:pPr>
            <w:r>
              <w:rPr>
                <w:rFonts w:hint="eastAsia" w:ascii="宋体" w:hAnsi="宋体" w:cs="宋体"/>
                <w:color w:val="auto"/>
                <w:szCs w:val="21"/>
                <w:highlight w:val="none"/>
              </w:rPr>
              <w:t>采购预算</w:t>
            </w:r>
          </w:p>
        </w:tc>
        <w:tc>
          <w:tcPr>
            <w:tcW w:w="7127" w:type="dxa"/>
            <w:vAlign w:val="center"/>
          </w:tcPr>
          <w:p>
            <w:pPr>
              <w:pStyle w:val="24"/>
              <w:spacing w:line="360" w:lineRule="exact"/>
              <w:rPr>
                <w:rFonts w:ascii="宋体" w:hAnsi="宋体" w:cs="宋体"/>
                <w:color w:val="auto"/>
                <w:szCs w:val="21"/>
                <w:highlight w:val="none"/>
              </w:rPr>
            </w:pPr>
            <w:r>
              <w:rPr>
                <w:rFonts w:hint="eastAsia" w:ascii="宋体" w:hAnsi="宋体" w:cs="宋体"/>
                <w:b/>
                <w:color w:val="auto"/>
                <w:kern w:val="0"/>
                <w:szCs w:val="21"/>
                <w:highlight w:val="none"/>
                <w:lang w:val="en-US" w:eastAsia="zh-CN"/>
              </w:rPr>
              <w:t>16万元/年，48万元/三年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jc w:val="center"/>
        </w:trPr>
        <w:tc>
          <w:tcPr>
            <w:tcW w:w="670" w:type="dxa"/>
            <w:vAlign w:val="center"/>
          </w:tcPr>
          <w:p>
            <w:pPr>
              <w:pStyle w:val="24"/>
              <w:numPr>
                <w:ilvl w:val="0"/>
                <w:numId w:val="1"/>
              </w:numPr>
              <w:spacing w:line="360" w:lineRule="exact"/>
              <w:jc w:val="center"/>
              <w:rPr>
                <w:rFonts w:ascii="宋体" w:hAnsi="宋体" w:cs="宋体"/>
                <w:b/>
                <w:bCs/>
                <w:color w:val="auto"/>
                <w:szCs w:val="21"/>
                <w:highlight w:val="none"/>
              </w:rPr>
            </w:pPr>
          </w:p>
        </w:tc>
        <w:tc>
          <w:tcPr>
            <w:tcW w:w="2400" w:type="dxa"/>
            <w:vAlign w:val="center"/>
          </w:tcPr>
          <w:p>
            <w:pPr>
              <w:pStyle w:val="24"/>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最高限价</w:t>
            </w:r>
          </w:p>
        </w:tc>
        <w:tc>
          <w:tcPr>
            <w:tcW w:w="7127" w:type="dxa"/>
            <w:vAlign w:val="center"/>
          </w:tcPr>
          <w:p>
            <w:pPr>
              <w:pStyle w:val="49"/>
              <w:spacing w:after="0" w:line="360" w:lineRule="exact"/>
              <w:ind w:left="0" w:leftChars="0" w:firstLine="0" w:firstLineChars="0"/>
              <w:rPr>
                <w:rFonts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16万元/年，48万元/三年</w:t>
            </w:r>
            <w:r>
              <w:rPr>
                <w:rFonts w:hint="eastAsia" w:ascii="宋体" w:hAnsi="宋体" w:cs="宋体"/>
                <w:b/>
                <w:bCs/>
                <w:color w:val="auto"/>
                <w:kern w:val="0"/>
                <w:szCs w:val="21"/>
                <w:highlight w:val="none"/>
              </w:rPr>
              <w:t>，各单位投标总报价不得高于最高限价，否则其投标文件按无效标处理。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color w:val="auto"/>
                <w:szCs w:val="21"/>
                <w:highlight w:val="none"/>
              </w:rPr>
              <w:t>采购内容</w:t>
            </w:r>
          </w:p>
        </w:tc>
        <w:tc>
          <w:tcPr>
            <w:tcW w:w="7127" w:type="dxa"/>
            <w:vAlign w:val="center"/>
          </w:tcPr>
          <w:p>
            <w:pPr>
              <w:pStyle w:val="24"/>
              <w:spacing w:line="360" w:lineRule="exact"/>
              <w:rPr>
                <w:rFonts w:ascii="宋体" w:hAnsi="宋体" w:cs="宋体"/>
                <w:color w:val="auto"/>
                <w:szCs w:val="21"/>
                <w:highlight w:val="none"/>
              </w:rPr>
            </w:pPr>
            <w:r>
              <w:rPr>
                <w:rFonts w:hint="eastAsia" w:ascii="宋体" w:hAnsi="宋体" w:cs="宋体"/>
                <w:color w:val="auto"/>
                <w:szCs w:val="21"/>
                <w:highlight w:val="none"/>
              </w:rPr>
              <w:t>本项目采购内容包括：详见《采购需求》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color w:val="auto"/>
                <w:szCs w:val="21"/>
                <w:highlight w:val="none"/>
              </w:rPr>
              <w:t>标包划分</w:t>
            </w:r>
          </w:p>
        </w:tc>
        <w:tc>
          <w:tcPr>
            <w:tcW w:w="7127" w:type="dxa"/>
            <w:vAlign w:val="center"/>
          </w:tcPr>
          <w:p>
            <w:pPr>
              <w:pStyle w:val="24"/>
              <w:spacing w:line="360" w:lineRule="exact"/>
              <w:rPr>
                <w:rFonts w:ascii="宋体" w:hAnsi="宋体" w:cs="宋体"/>
                <w:color w:val="auto"/>
                <w:szCs w:val="21"/>
                <w:highlight w:val="none"/>
              </w:rPr>
            </w:pPr>
            <w:r>
              <w:rPr>
                <w:rFonts w:hint="eastAsia" w:ascii="宋体" w:hAnsi="宋体" w:cs="宋体"/>
                <w:color w:val="auto"/>
                <w:szCs w:val="21"/>
                <w:highlight w:val="none"/>
              </w:rPr>
              <w:t>本项目划分为</w:t>
            </w:r>
            <w:r>
              <w:rPr>
                <w:rFonts w:hint="eastAsia" w:ascii="宋体" w:hAnsi="宋体" w:cs="宋体"/>
                <w:color w:val="auto"/>
                <w:szCs w:val="21"/>
                <w:highlight w:val="none"/>
                <w:u w:val="single"/>
              </w:rPr>
              <w:t>壹</w:t>
            </w:r>
            <w:r>
              <w:rPr>
                <w:rFonts w:hint="eastAsia" w:ascii="宋体" w:hAnsi="宋体" w:cs="宋体"/>
                <w:color w:val="auto"/>
                <w:szCs w:val="21"/>
                <w:highlight w:val="none"/>
              </w:rPr>
              <w:t>个标包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color w:val="auto"/>
                <w:szCs w:val="21"/>
                <w:highlight w:val="none"/>
              </w:rPr>
              <w:t>招标方式</w:t>
            </w:r>
          </w:p>
        </w:tc>
        <w:tc>
          <w:tcPr>
            <w:tcW w:w="7127" w:type="dxa"/>
            <w:vAlign w:val="center"/>
          </w:tcPr>
          <w:p>
            <w:pPr>
              <w:pStyle w:val="24"/>
              <w:spacing w:line="360" w:lineRule="exact"/>
              <w:rPr>
                <w:rFonts w:ascii="宋体" w:hAnsi="宋体" w:cs="宋体"/>
                <w:color w:val="auto"/>
                <w:szCs w:val="21"/>
                <w:highlight w:val="none"/>
              </w:rPr>
            </w:pPr>
            <w:r>
              <w:rPr>
                <w:rFonts w:hint="eastAsia" w:ascii="宋体" w:hAnsi="宋体" w:cs="宋体"/>
                <w:color w:val="auto"/>
                <w:szCs w:val="21"/>
                <w:highlight w:val="none"/>
              </w:rPr>
              <w:t>公开招标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5"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投标人资格条件及其他要求</w:t>
            </w:r>
          </w:p>
        </w:tc>
        <w:tc>
          <w:tcPr>
            <w:tcW w:w="7127" w:type="dxa"/>
            <w:vAlign w:val="center"/>
          </w:tcPr>
          <w:p>
            <w:pPr>
              <w:spacing w:line="360" w:lineRule="exact"/>
              <w:jc w:val="left"/>
              <w:rPr>
                <w:rFonts w:ascii="宋体" w:hAnsi="宋体" w:cs="宋体"/>
                <w:color w:val="auto"/>
                <w:szCs w:val="21"/>
                <w:highlight w:val="none"/>
              </w:rPr>
            </w:pPr>
            <w:r>
              <w:rPr>
                <w:rFonts w:hint="eastAsia" w:ascii="宋体" w:hAnsi="宋体" w:cs="宋体"/>
                <w:bCs/>
                <w:color w:val="auto"/>
                <w:szCs w:val="21"/>
                <w:highlight w:val="none"/>
                <w:lang w:bidi="ar"/>
              </w:rPr>
              <w:t>详见招标公告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color w:val="auto"/>
                <w:szCs w:val="21"/>
                <w:highlight w:val="none"/>
              </w:rPr>
              <w:t>踏勘现场</w:t>
            </w:r>
          </w:p>
        </w:tc>
        <w:tc>
          <w:tcPr>
            <w:tcW w:w="7127" w:type="dxa"/>
            <w:vAlign w:val="center"/>
          </w:tcPr>
          <w:p>
            <w:pPr>
              <w:pStyle w:val="24"/>
              <w:spacing w:line="360" w:lineRule="exact"/>
              <w:rPr>
                <w:rFonts w:ascii="宋体" w:hAnsi="宋体" w:cs="宋体"/>
                <w:color w:val="auto"/>
                <w:szCs w:val="21"/>
                <w:highlight w:val="none"/>
              </w:rPr>
            </w:pPr>
            <w:r>
              <w:rPr>
                <w:rFonts w:hint="eastAsia" w:ascii="宋体" w:hAnsi="宋体" w:cs="宋体"/>
                <w:color w:val="auto"/>
                <w:szCs w:val="21"/>
                <w:highlight w:val="none"/>
              </w:rPr>
              <w:t>不组织,投标人自行踏勘现场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投标预备会</w:t>
            </w:r>
          </w:p>
        </w:tc>
        <w:tc>
          <w:tcPr>
            <w:tcW w:w="7127" w:type="dxa"/>
            <w:vAlign w:val="center"/>
          </w:tcPr>
          <w:p>
            <w:pPr>
              <w:pStyle w:val="24"/>
              <w:spacing w:line="360" w:lineRule="exact"/>
              <w:rPr>
                <w:rFonts w:ascii="宋体" w:hAnsi="宋体" w:cs="宋体"/>
                <w:color w:val="auto"/>
                <w:szCs w:val="21"/>
                <w:highlight w:val="none"/>
              </w:rPr>
            </w:pPr>
            <w:r>
              <w:rPr>
                <w:rFonts w:hint="eastAsia" w:ascii="宋体" w:hAnsi="宋体" w:cs="宋体"/>
                <w:color w:val="auto"/>
                <w:szCs w:val="21"/>
                <w:highlight w:val="none"/>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投标人提出</w:t>
            </w:r>
            <w:r>
              <w:rPr>
                <w:rFonts w:hint="eastAsia" w:ascii="宋体" w:hAnsi="宋体" w:cs="宋体"/>
                <w:color w:val="auto"/>
                <w:szCs w:val="21"/>
                <w:highlight w:val="none"/>
                <w:u w:val="single"/>
              </w:rPr>
              <w:t>质疑</w:t>
            </w:r>
            <w:r>
              <w:rPr>
                <w:rFonts w:hint="eastAsia" w:ascii="宋体" w:hAnsi="宋体" w:cs="宋体"/>
                <w:color w:val="auto"/>
                <w:szCs w:val="21"/>
                <w:highlight w:val="none"/>
              </w:rPr>
              <w:t>的截止时间及方式</w:t>
            </w:r>
          </w:p>
        </w:tc>
        <w:tc>
          <w:tcPr>
            <w:tcW w:w="7127"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如投标人对招标文件有疑问，请于 2024年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20 </w:t>
            </w:r>
            <w:r>
              <w:rPr>
                <w:rFonts w:hint="eastAsia" w:ascii="宋体" w:hAnsi="宋体" w:cs="宋体"/>
                <w:color w:val="auto"/>
                <w:szCs w:val="21"/>
                <w:highlight w:val="none"/>
              </w:rPr>
              <w:t>日17时前以邮件的形式发送到招标代理公司邮箱：290407638@qq.com</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color w:val="auto"/>
                <w:szCs w:val="21"/>
                <w:highlight w:val="none"/>
              </w:rPr>
              <w:t>采购人澄清的时间及方式</w:t>
            </w:r>
          </w:p>
        </w:tc>
        <w:tc>
          <w:tcPr>
            <w:tcW w:w="7127" w:type="dxa"/>
            <w:vAlign w:val="center"/>
          </w:tcPr>
          <w:p>
            <w:pPr>
              <w:spacing w:line="360" w:lineRule="exact"/>
              <w:rPr>
                <w:rFonts w:ascii="宋体" w:hAnsi="宋体" w:cs="宋体"/>
                <w:color w:val="auto"/>
                <w:szCs w:val="21"/>
                <w:highlight w:val="none"/>
              </w:rPr>
            </w:pPr>
            <w:r>
              <w:rPr>
                <w:rFonts w:hint="eastAsia" w:ascii="宋体" w:hAnsi="宋体" w:cs="宋体"/>
                <w:bCs/>
                <w:color w:val="auto"/>
                <w:szCs w:val="21"/>
                <w:highlight w:val="none"/>
              </w:rPr>
              <w:t>2024年</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21</w:t>
            </w:r>
            <w:r>
              <w:rPr>
                <w:rFonts w:hint="eastAsia" w:ascii="宋体" w:hAnsi="宋体" w:cs="宋体"/>
                <w:bCs/>
                <w:color w:val="auto"/>
                <w:szCs w:val="21"/>
                <w:highlight w:val="none"/>
              </w:rPr>
              <w:t>日17时</w:t>
            </w:r>
            <w:r>
              <w:rPr>
                <w:rFonts w:hint="eastAsia" w:ascii="宋体" w:hAnsi="宋体" w:cs="宋体"/>
                <w:color w:val="auto"/>
                <w:szCs w:val="21"/>
                <w:highlight w:val="none"/>
              </w:rPr>
              <w:t>前，以澄清公告形式在滁州市第二人民医院官网予以公告</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5"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color w:val="auto"/>
                <w:szCs w:val="21"/>
                <w:highlight w:val="none"/>
              </w:rPr>
              <w:t>联合体投标</w:t>
            </w:r>
          </w:p>
        </w:tc>
        <w:tc>
          <w:tcPr>
            <w:tcW w:w="7127" w:type="dxa"/>
            <w:vAlign w:val="center"/>
          </w:tcPr>
          <w:p>
            <w:pPr>
              <w:pStyle w:val="24"/>
              <w:spacing w:line="360" w:lineRule="exact"/>
              <w:rPr>
                <w:rFonts w:ascii="宋体" w:hAnsi="宋体" w:cs="宋体"/>
                <w:color w:val="auto"/>
                <w:szCs w:val="21"/>
                <w:highlight w:val="none"/>
              </w:rPr>
            </w:pPr>
            <w:r>
              <w:rPr>
                <w:rFonts w:hint="eastAsia" w:ascii="宋体" w:hAnsi="宋体" w:cs="宋体"/>
                <w:color w:val="auto"/>
                <w:szCs w:val="21"/>
                <w:highlight w:val="none"/>
              </w:rPr>
              <w:t>本次招标☑</w:t>
            </w:r>
            <w:r>
              <w:rPr>
                <w:rFonts w:hint="eastAsia" w:ascii="宋体" w:hAnsi="宋体" w:cs="宋体"/>
                <w:color w:val="auto"/>
                <w:szCs w:val="21"/>
                <w:highlight w:val="none"/>
                <w:u w:val="single"/>
              </w:rPr>
              <w:t>不接受</w:t>
            </w:r>
            <w:r>
              <w:rPr>
                <w:rFonts w:hint="eastAsia" w:ascii="宋体" w:hAnsi="宋体" w:cs="宋体"/>
                <w:color w:val="auto"/>
                <w:szCs w:val="21"/>
                <w:highlight w:val="none"/>
              </w:rPr>
              <w:t>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jc w:val="center"/>
        </w:trPr>
        <w:tc>
          <w:tcPr>
            <w:tcW w:w="670" w:type="dxa"/>
            <w:vAlign w:val="center"/>
          </w:tcPr>
          <w:p>
            <w:pPr>
              <w:numPr>
                <w:ilvl w:val="0"/>
                <w:numId w:val="1"/>
              </w:numPr>
              <w:spacing w:line="360" w:lineRule="exact"/>
              <w:jc w:val="center"/>
              <w:rPr>
                <w:rFonts w:ascii="宋体" w:hAnsi="宋体" w:cs="宋体"/>
                <w:color w:val="auto"/>
                <w:szCs w:val="21"/>
                <w:highlight w:val="none"/>
              </w:rPr>
            </w:pPr>
          </w:p>
        </w:tc>
        <w:tc>
          <w:tcPr>
            <w:tcW w:w="2400"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招标代理费</w:t>
            </w:r>
          </w:p>
        </w:tc>
        <w:tc>
          <w:tcPr>
            <w:tcW w:w="7127" w:type="dxa"/>
            <w:vAlign w:val="center"/>
          </w:tcPr>
          <w:p>
            <w:pPr>
              <w:spacing w:line="360" w:lineRule="exact"/>
              <w:jc w:val="left"/>
              <w:rPr>
                <w:rFonts w:ascii="宋体" w:hAnsi="宋体" w:cs="宋体"/>
                <w:color w:val="auto"/>
                <w:kern w:val="0"/>
                <w:szCs w:val="21"/>
                <w:highlight w:val="none"/>
              </w:rPr>
            </w:pPr>
            <w:r>
              <w:rPr>
                <w:rFonts w:hint="eastAsia" w:ascii="宋体" w:hAnsi="宋体" w:cs="宋体"/>
                <w:color w:val="auto"/>
                <w:szCs w:val="21"/>
                <w:highlight w:val="none"/>
              </w:rPr>
              <w:t>代理服务费：</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000元（专家评审费另计，以实际支付为准）。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代理服务费及专家评审费支付主体：中标人，由中标人在领取中标通知书时，一次性支付给代理公司。</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numPr>
                <w:ilvl w:val="0"/>
                <w:numId w:val="1"/>
              </w:numPr>
              <w:spacing w:line="360" w:lineRule="exact"/>
              <w:jc w:val="center"/>
              <w:rPr>
                <w:rFonts w:ascii="宋体" w:hAnsi="宋体" w:cs="宋体"/>
                <w:color w:val="auto"/>
                <w:szCs w:val="21"/>
                <w:highlight w:val="none"/>
              </w:rPr>
            </w:pPr>
          </w:p>
        </w:tc>
        <w:tc>
          <w:tcPr>
            <w:tcW w:w="2400" w:type="dxa"/>
            <w:vAlign w:val="center"/>
          </w:tcPr>
          <w:p>
            <w:pPr>
              <w:spacing w:line="360" w:lineRule="exact"/>
              <w:ind w:right="-27" w:rightChars="-13"/>
              <w:jc w:val="left"/>
              <w:rPr>
                <w:rFonts w:ascii="宋体" w:hAnsi="宋体" w:cs="宋体"/>
                <w:color w:val="auto"/>
                <w:szCs w:val="21"/>
                <w:highlight w:val="none"/>
              </w:rPr>
            </w:pPr>
            <w:r>
              <w:rPr>
                <w:rFonts w:hint="eastAsia" w:ascii="宋体" w:hAnsi="宋体" w:cs="宋体"/>
                <w:color w:val="auto"/>
                <w:szCs w:val="21"/>
                <w:highlight w:val="none"/>
              </w:rPr>
              <w:t>投标人要求澄清招标文件的截止时间及方式</w:t>
            </w:r>
          </w:p>
        </w:tc>
        <w:tc>
          <w:tcPr>
            <w:tcW w:w="7127"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同表</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投标有效期</w:t>
            </w:r>
          </w:p>
        </w:tc>
        <w:tc>
          <w:tcPr>
            <w:tcW w:w="7127" w:type="dxa"/>
            <w:vAlign w:val="center"/>
          </w:tcPr>
          <w:p>
            <w:pPr>
              <w:pStyle w:val="24"/>
              <w:spacing w:line="360" w:lineRule="exact"/>
              <w:rPr>
                <w:rFonts w:ascii="宋体" w:hAnsi="宋体" w:cs="宋体"/>
                <w:color w:val="auto"/>
                <w:szCs w:val="21"/>
                <w:highlight w:val="none"/>
              </w:rPr>
            </w:pPr>
            <w:r>
              <w:rPr>
                <w:rFonts w:hint="eastAsia" w:ascii="宋体" w:hAnsi="宋体" w:cs="宋体"/>
                <w:color w:val="auto"/>
                <w:szCs w:val="21"/>
                <w:highlight w:val="none"/>
              </w:rPr>
              <w:t>投标有效期为</w:t>
            </w:r>
            <w:r>
              <w:rPr>
                <w:rFonts w:hint="eastAsia" w:ascii="宋体" w:hAnsi="宋体" w:cs="宋体"/>
                <w:color w:val="auto"/>
                <w:szCs w:val="21"/>
                <w:highlight w:val="none"/>
                <w:u w:val="single"/>
              </w:rPr>
              <w:t xml:space="preserve">30 </w:t>
            </w:r>
            <w:r>
              <w:rPr>
                <w:rFonts w:hint="eastAsia" w:ascii="宋体" w:hAnsi="宋体" w:cs="宋体"/>
                <w:color w:val="auto"/>
                <w:szCs w:val="21"/>
                <w:highlight w:val="none"/>
              </w:rPr>
              <w:t>日历天（从投标截止之日算起）。在此期限内，凡符合本招标文件要求的投标文件均保持有效。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5" w:hRule="atLeast"/>
          <w:jc w:val="center"/>
        </w:trPr>
        <w:tc>
          <w:tcPr>
            <w:tcW w:w="670" w:type="dxa"/>
            <w:vAlign w:val="center"/>
          </w:tcPr>
          <w:p>
            <w:pPr>
              <w:pStyle w:val="24"/>
              <w:numPr>
                <w:ilvl w:val="0"/>
                <w:numId w:val="1"/>
              </w:numPr>
              <w:spacing w:line="360" w:lineRule="exact"/>
              <w:jc w:val="center"/>
              <w:rPr>
                <w:rFonts w:ascii="宋体" w:hAnsi="宋体" w:cs="宋体"/>
                <w:b/>
                <w:bCs/>
                <w:color w:val="auto"/>
                <w:szCs w:val="21"/>
                <w:highlight w:val="none"/>
              </w:rPr>
            </w:pPr>
          </w:p>
        </w:tc>
        <w:tc>
          <w:tcPr>
            <w:tcW w:w="2400" w:type="dxa"/>
            <w:vAlign w:val="center"/>
          </w:tcPr>
          <w:p>
            <w:pPr>
              <w:pStyle w:val="24"/>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投标文件数量</w:t>
            </w:r>
          </w:p>
        </w:tc>
        <w:tc>
          <w:tcPr>
            <w:tcW w:w="7127" w:type="dxa"/>
            <w:vAlign w:val="center"/>
          </w:tcPr>
          <w:p>
            <w:pPr>
              <w:widowControl/>
              <w:spacing w:line="360" w:lineRule="exact"/>
              <w:ind w:firstLine="89" w:firstLineChars="42"/>
              <w:jc w:val="left"/>
              <w:rPr>
                <w:rFonts w:ascii="宋体" w:hAnsi="宋体" w:cs="宋体"/>
                <w:b/>
                <w:bCs/>
                <w:color w:val="auto"/>
                <w:szCs w:val="21"/>
                <w:highlight w:val="none"/>
              </w:rPr>
            </w:pPr>
            <w:r>
              <w:rPr>
                <w:rFonts w:hint="eastAsia" w:ascii="宋体" w:hAnsi="宋体" w:cs="宋体"/>
                <w:b/>
                <w:color w:val="auto"/>
                <w:kern w:val="0"/>
                <w:szCs w:val="21"/>
                <w:highlight w:val="none"/>
              </w:rPr>
              <w:t>正本</w:t>
            </w:r>
            <w:r>
              <w:rPr>
                <w:rFonts w:hint="eastAsia" w:ascii="宋体" w:hAnsi="宋体" w:cs="宋体"/>
                <w:b/>
                <w:color w:val="auto"/>
                <w:kern w:val="0"/>
                <w:szCs w:val="21"/>
                <w:highlight w:val="none"/>
                <w:u w:val="single"/>
              </w:rPr>
              <w:t xml:space="preserve"> 1 </w:t>
            </w:r>
            <w:r>
              <w:rPr>
                <w:rFonts w:hint="eastAsia" w:ascii="宋体" w:hAnsi="宋体" w:cs="宋体"/>
                <w:b/>
                <w:color w:val="auto"/>
                <w:kern w:val="0"/>
                <w:szCs w:val="21"/>
                <w:highlight w:val="none"/>
              </w:rPr>
              <w:t>份，副本</w:t>
            </w:r>
            <w:r>
              <w:rPr>
                <w:rFonts w:hint="eastAsia" w:ascii="宋体" w:hAnsi="宋体" w:cs="宋体"/>
                <w:b/>
                <w:color w:val="auto"/>
                <w:kern w:val="0"/>
                <w:szCs w:val="21"/>
                <w:highlight w:val="none"/>
                <w:u w:val="single"/>
              </w:rPr>
              <w:t xml:space="preserve"> 2 </w:t>
            </w:r>
            <w:r>
              <w:rPr>
                <w:rFonts w:hint="eastAsia" w:ascii="宋体" w:hAnsi="宋体" w:cs="宋体"/>
                <w:b/>
                <w:color w:val="auto"/>
                <w:kern w:val="0"/>
                <w:szCs w:val="21"/>
                <w:highlight w:val="none"/>
              </w:rPr>
              <w:t>份，正副本不一致时，以正本为准。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670" w:type="dxa"/>
            <w:vAlign w:val="center"/>
          </w:tcPr>
          <w:p>
            <w:pPr>
              <w:numPr>
                <w:ilvl w:val="0"/>
                <w:numId w:val="1"/>
              </w:numPr>
              <w:spacing w:line="360" w:lineRule="exact"/>
              <w:jc w:val="center"/>
              <w:rPr>
                <w:rFonts w:ascii="宋体" w:hAnsi="宋体" w:cs="宋体"/>
                <w:color w:val="auto"/>
                <w:szCs w:val="21"/>
                <w:highlight w:val="none"/>
              </w:rPr>
            </w:pPr>
          </w:p>
        </w:tc>
        <w:tc>
          <w:tcPr>
            <w:tcW w:w="2400"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签字或盖章及密封要求</w:t>
            </w:r>
          </w:p>
        </w:tc>
        <w:tc>
          <w:tcPr>
            <w:tcW w:w="7127" w:type="dxa"/>
            <w:vAlign w:val="center"/>
          </w:tcPr>
          <w:p>
            <w:pPr>
              <w:spacing w:line="360" w:lineRule="exact"/>
              <w:rPr>
                <w:rFonts w:ascii="宋体" w:hAnsi="宋体" w:cs="宋体"/>
                <w:b/>
                <w:color w:val="auto"/>
                <w:kern w:val="0"/>
                <w:szCs w:val="21"/>
                <w:highlight w:val="none"/>
              </w:rPr>
            </w:pPr>
            <w:r>
              <w:rPr>
                <w:rFonts w:hint="eastAsia" w:ascii="宋体" w:hAnsi="宋体" w:cs="宋体"/>
                <w:b/>
                <w:color w:val="auto"/>
                <w:spacing w:val="-4"/>
                <w:kern w:val="0"/>
                <w:szCs w:val="21"/>
                <w:highlight w:val="none"/>
              </w:rPr>
              <w:t>一正两副装订成册，密封</w:t>
            </w:r>
            <w:r>
              <w:rPr>
                <w:rFonts w:hint="eastAsia" w:ascii="宋体" w:hAnsi="宋体" w:cs="宋体"/>
                <w:b/>
                <w:color w:val="auto"/>
                <w:spacing w:val="-4"/>
                <w:kern w:val="0"/>
                <w:szCs w:val="21"/>
                <w:highlight w:val="none"/>
                <w:lang w:val="en-US" w:eastAsia="zh-CN"/>
              </w:rPr>
              <w:t>于</w:t>
            </w:r>
            <w:r>
              <w:rPr>
                <w:rFonts w:hint="eastAsia" w:ascii="宋体" w:hAnsi="宋体" w:cs="宋体"/>
                <w:b/>
                <w:color w:val="auto"/>
                <w:spacing w:val="-4"/>
                <w:kern w:val="0"/>
                <w:szCs w:val="21"/>
                <w:highlight w:val="none"/>
              </w:rPr>
              <w:t>档案袋中，各部分档案袋封面注明项目名称、单位、联系人及联系方式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1" w:hRule="atLeast"/>
          <w:jc w:val="center"/>
        </w:trPr>
        <w:tc>
          <w:tcPr>
            <w:tcW w:w="670" w:type="dxa"/>
            <w:vAlign w:val="center"/>
          </w:tcPr>
          <w:p>
            <w:pPr>
              <w:numPr>
                <w:ilvl w:val="0"/>
                <w:numId w:val="1"/>
              </w:numPr>
              <w:spacing w:line="360" w:lineRule="exact"/>
              <w:jc w:val="center"/>
              <w:rPr>
                <w:rFonts w:ascii="宋体" w:hAnsi="宋体" w:cs="宋体"/>
                <w:b/>
                <w:bCs/>
                <w:color w:val="auto"/>
                <w:szCs w:val="21"/>
                <w:highlight w:val="none"/>
              </w:rPr>
            </w:pPr>
          </w:p>
        </w:tc>
        <w:tc>
          <w:tcPr>
            <w:tcW w:w="2400" w:type="dxa"/>
            <w:vAlign w:val="center"/>
          </w:tcPr>
          <w:p>
            <w:pPr>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投标文件提交截止时间</w:t>
            </w:r>
          </w:p>
        </w:tc>
        <w:tc>
          <w:tcPr>
            <w:tcW w:w="7127" w:type="dxa"/>
            <w:vAlign w:val="center"/>
          </w:tcPr>
          <w:p>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递交投标文件截止时间：</w:t>
            </w:r>
            <w:r>
              <w:rPr>
                <w:rFonts w:hint="eastAsia" w:ascii="宋体" w:hAnsi="宋体" w:cs="宋体"/>
                <w:b/>
                <w:bCs/>
                <w:color w:val="auto"/>
                <w:szCs w:val="21"/>
                <w:highlight w:val="none"/>
                <w:lang w:eastAsia="zh-CN"/>
              </w:rPr>
              <w:t>2024年</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lang w:eastAsia="zh-CN"/>
              </w:rPr>
              <w:t>月</w:t>
            </w:r>
            <w:r>
              <w:rPr>
                <w:rFonts w:hint="eastAsia" w:ascii="宋体" w:hAnsi="宋体" w:cs="宋体"/>
                <w:b/>
                <w:bCs/>
                <w:color w:val="auto"/>
                <w:szCs w:val="21"/>
                <w:highlight w:val="none"/>
                <w:lang w:val="en-US" w:eastAsia="zh-CN"/>
              </w:rPr>
              <w:t>23</w:t>
            </w:r>
            <w:r>
              <w:rPr>
                <w:rFonts w:hint="eastAsia" w:ascii="宋体" w:hAnsi="宋体" w:cs="宋体"/>
                <w:b/>
                <w:bCs/>
                <w:color w:val="auto"/>
                <w:szCs w:val="21"/>
                <w:highlight w:val="none"/>
                <w:lang w:eastAsia="zh-CN"/>
              </w:rPr>
              <w:t>日</w:t>
            </w:r>
            <w:r>
              <w:rPr>
                <w:rFonts w:hint="eastAsia" w:ascii="宋体" w:hAnsi="宋体" w:cs="宋体"/>
                <w:b/>
                <w:bCs/>
                <w:color w:val="auto"/>
                <w:szCs w:val="21"/>
                <w:highlight w:val="none"/>
                <w:lang w:val="en-US" w:eastAsia="zh-CN"/>
              </w:rPr>
              <w:t>11</w:t>
            </w:r>
            <w:r>
              <w:rPr>
                <w:rFonts w:hint="eastAsia" w:ascii="宋体" w:hAnsi="宋体" w:cs="宋体"/>
                <w:b/>
                <w:bCs/>
                <w:color w:val="auto"/>
                <w:szCs w:val="21"/>
                <w:highlight w:val="none"/>
                <w:lang w:eastAsia="zh-CN"/>
              </w:rPr>
              <w:t>时</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lang w:eastAsia="zh-CN"/>
              </w:rPr>
              <w:t>分</w:t>
            </w:r>
            <w:r>
              <w:rPr>
                <w:rFonts w:hint="eastAsia" w:ascii="宋体" w:hAnsi="宋体" w:cs="宋体"/>
                <w:b/>
                <w:bCs/>
                <w:color w:val="auto"/>
                <w:szCs w:val="21"/>
                <w:highlight w:val="none"/>
                <w:lang w:val="en-US" w:eastAsia="zh-CN"/>
              </w:rPr>
              <w:t>前</w:t>
            </w:r>
            <w:r>
              <w:rPr>
                <w:rFonts w:hint="eastAsia" w:ascii="宋体" w:hAnsi="宋体" w:cs="宋体"/>
                <w:b/>
                <w:bCs/>
                <w:color w:val="auto"/>
                <w:szCs w:val="21"/>
                <w:highlight w:val="none"/>
              </w:rPr>
              <w:t>（北京时间）</w:t>
            </w:r>
          </w:p>
          <w:p>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注：以投标人在投标截止时间前递交的投标文件为准，逾期提交的，投标文件将被拒绝。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jc w:val="center"/>
        </w:trPr>
        <w:tc>
          <w:tcPr>
            <w:tcW w:w="670" w:type="dxa"/>
            <w:vAlign w:val="center"/>
          </w:tcPr>
          <w:p>
            <w:pPr>
              <w:numPr>
                <w:ilvl w:val="0"/>
                <w:numId w:val="1"/>
              </w:numPr>
              <w:spacing w:line="360" w:lineRule="exact"/>
              <w:jc w:val="center"/>
              <w:rPr>
                <w:rFonts w:ascii="宋体" w:hAnsi="宋体" w:cs="宋体"/>
                <w:color w:val="auto"/>
                <w:szCs w:val="21"/>
                <w:highlight w:val="none"/>
              </w:rPr>
            </w:pPr>
          </w:p>
        </w:tc>
        <w:tc>
          <w:tcPr>
            <w:tcW w:w="2400"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是否退还投标文件</w:t>
            </w:r>
          </w:p>
        </w:tc>
        <w:tc>
          <w:tcPr>
            <w:tcW w:w="7127"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jc w:val="center"/>
        </w:trPr>
        <w:tc>
          <w:tcPr>
            <w:tcW w:w="670" w:type="dxa"/>
            <w:vAlign w:val="center"/>
          </w:tcPr>
          <w:p>
            <w:pPr>
              <w:numPr>
                <w:ilvl w:val="0"/>
                <w:numId w:val="1"/>
              </w:numPr>
              <w:spacing w:line="360" w:lineRule="exact"/>
              <w:jc w:val="center"/>
              <w:rPr>
                <w:rFonts w:ascii="宋体" w:hAnsi="宋体" w:cs="宋体"/>
                <w:color w:val="auto"/>
                <w:szCs w:val="21"/>
                <w:highlight w:val="none"/>
              </w:rPr>
            </w:pPr>
          </w:p>
        </w:tc>
        <w:tc>
          <w:tcPr>
            <w:tcW w:w="2400"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开标程序</w:t>
            </w:r>
          </w:p>
        </w:tc>
        <w:tc>
          <w:tcPr>
            <w:tcW w:w="7127"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开标顺序：投标文件启封后，由评审委员会评审。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color w:val="auto"/>
                <w:szCs w:val="21"/>
                <w:highlight w:val="none"/>
              </w:rPr>
              <w:t>评标委员会的组建</w:t>
            </w:r>
          </w:p>
        </w:tc>
        <w:tc>
          <w:tcPr>
            <w:tcW w:w="7127" w:type="dxa"/>
          </w:tcPr>
          <w:p>
            <w:pPr>
              <w:pStyle w:val="24"/>
              <w:spacing w:line="360" w:lineRule="exact"/>
              <w:rPr>
                <w:rFonts w:ascii="宋体" w:hAnsi="宋体" w:cs="宋体"/>
                <w:color w:val="auto"/>
                <w:szCs w:val="21"/>
                <w:highlight w:val="none"/>
              </w:rPr>
            </w:pPr>
            <w:r>
              <w:rPr>
                <w:rFonts w:hint="eastAsia" w:ascii="宋体" w:hAnsi="宋体" w:cs="宋体"/>
                <w:color w:val="auto"/>
                <w:szCs w:val="21"/>
                <w:highlight w:val="none"/>
              </w:rPr>
              <w:t>依法组建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color w:val="auto"/>
                <w:szCs w:val="21"/>
                <w:highlight w:val="none"/>
              </w:rPr>
              <w:t>是否授权评标委员会确定中标候选人</w:t>
            </w:r>
          </w:p>
        </w:tc>
        <w:tc>
          <w:tcPr>
            <w:tcW w:w="7127" w:type="dxa"/>
            <w:vAlign w:val="center"/>
          </w:tcPr>
          <w:p>
            <w:pPr>
              <w:pStyle w:val="24"/>
              <w:spacing w:line="360" w:lineRule="exact"/>
              <w:rPr>
                <w:rFonts w:ascii="宋体" w:hAnsi="宋体" w:cs="宋体"/>
                <w:color w:val="auto"/>
                <w:szCs w:val="21"/>
                <w:highlight w:val="none"/>
              </w:rPr>
            </w:pPr>
            <w:r>
              <w:rPr>
                <w:rFonts w:hint="eastAsia" w:ascii="宋体" w:hAnsi="宋体" w:cs="宋体"/>
                <w:color w:val="auto"/>
                <w:szCs w:val="21"/>
                <w:highlight w:val="none"/>
              </w:rPr>
              <w:t>是，评标委员会推荐</w:t>
            </w:r>
            <w:r>
              <w:rPr>
                <w:rFonts w:hint="eastAsia" w:ascii="宋体" w:hAnsi="宋体" w:cs="宋体"/>
                <w:color w:val="auto"/>
                <w:szCs w:val="21"/>
                <w:highlight w:val="none"/>
                <w:u w:val="single"/>
              </w:rPr>
              <w:t>3</w:t>
            </w:r>
            <w:r>
              <w:rPr>
                <w:rFonts w:hint="eastAsia" w:ascii="宋体" w:hAnsi="宋体" w:cs="宋体"/>
                <w:color w:val="auto"/>
                <w:szCs w:val="21"/>
                <w:highlight w:val="none"/>
              </w:rPr>
              <w:t>名中标候选人。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bCs/>
                <w:color w:val="auto"/>
                <w:szCs w:val="21"/>
                <w:highlight w:val="none"/>
                <w:u w:color="000000"/>
              </w:rPr>
              <w:t>中标结果公告媒介</w:t>
            </w:r>
          </w:p>
        </w:tc>
        <w:tc>
          <w:tcPr>
            <w:tcW w:w="7127" w:type="dxa"/>
            <w:vAlign w:val="center"/>
          </w:tcPr>
          <w:p>
            <w:pPr>
              <w:pStyle w:val="24"/>
              <w:spacing w:line="360" w:lineRule="exact"/>
              <w:rPr>
                <w:rFonts w:ascii="宋体" w:hAnsi="宋体" w:cs="宋体"/>
                <w:color w:val="auto"/>
                <w:szCs w:val="21"/>
                <w:highlight w:val="none"/>
              </w:rPr>
            </w:pPr>
            <w:r>
              <w:rPr>
                <w:rFonts w:hint="eastAsia" w:ascii="宋体" w:hAnsi="宋体" w:cs="宋体"/>
                <w:bCs/>
                <w:color w:val="auto"/>
                <w:szCs w:val="21"/>
                <w:highlight w:val="none"/>
              </w:rPr>
              <w:t>滁州市第二人民医院官网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jc w:val="center"/>
        </w:trPr>
        <w:tc>
          <w:tcPr>
            <w:tcW w:w="670" w:type="dxa"/>
            <w:vAlign w:val="center"/>
          </w:tcPr>
          <w:p>
            <w:pPr>
              <w:pStyle w:val="24"/>
              <w:numPr>
                <w:ilvl w:val="0"/>
                <w:numId w:val="1"/>
              </w:numPr>
              <w:spacing w:line="360" w:lineRule="exact"/>
              <w:jc w:val="center"/>
              <w:rPr>
                <w:rFonts w:ascii="宋体" w:hAnsi="宋体" w:cs="宋体"/>
                <w:color w:val="auto"/>
                <w:szCs w:val="21"/>
                <w:highlight w:val="none"/>
              </w:rPr>
            </w:pPr>
          </w:p>
        </w:tc>
        <w:tc>
          <w:tcPr>
            <w:tcW w:w="2400" w:type="dxa"/>
            <w:vAlign w:val="center"/>
          </w:tcPr>
          <w:p>
            <w:pPr>
              <w:pStyle w:val="24"/>
              <w:spacing w:line="360" w:lineRule="exact"/>
              <w:jc w:val="left"/>
              <w:rPr>
                <w:rFonts w:ascii="宋体" w:hAnsi="宋体" w:cs="宋体"/>
                <w:color w:val="auto"/>
                <w:szCs w:val="21"/>
                <w:highlight w:val="none"/>
              </w:rPr>
            </w:pPr>
            <w:r>
              <w:rPr>
                <w:rFonts w:hint="eastAsia" w:ascii="宋体" w:hAnsi="宋体" w:cs="宋体"/>
                <w:bCs/>
                <w:color w:val="auto"/>
                <w:szCs w:val="21"/>
                <w:highlight w:val="none"/>
                <w:u w:color="000000"/>
              </w:rPr>
              <w:t>中标结果公告期限</w:t>
            </w:r>
          </w:p>
        </w:tc>
        <w:tc>
          <w:tcPr>
            <w:tcW w:w="7127" w:type="dxa"/>
            <w:vAlign w:val="center"/>
          </w:tcPr>
          <w:p>
            <w:pPr>
              <w:pStyle w:val="24"/>
              <w:spacing w:line="360" w:lineRule="exact"/>
              <w:rPr>
                <w:rFonts w:ascii="宋体" w:hAnsi="宋体" w:cs="宋体"/>
                <w:bCs/>
                <w:color w:val="auto"/>
                <w:szCs w:val="21"/>
                <w:highlight w:val="none"/>
              </w:rPr>
            </w:pPr>
            <w:r>
              <w:rPr>
                <w:rFonts w:hint="eastAsia" w:ascii="宋体" w:hAnsi="宋体" w:cs="宋体"/>
                <w:bCs/>
                <w:color w:val="auto"/>
                <w:szCs w:val="21"/>
                <w:highlight w:val="none"/>
              </w:rPr>
              <w:t>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jc w:val="center"/>
        </w:trPr>
        <w:tc>
          <w:tcPr>
            <w:tcW w:w="670" w:type="dxa"/>
            <w:vAlign w:val="center"/>
          </w:tcPr>
          <w:p>
            <w:pPr>
              <w:numPr>
                <w:ilvl w:val="0"/>
                <w:numId w:val="1"/>
              </w:numPr>
              <w:spacing w:line="360" w:lineRule="exact"/>
              <w:jc w:val="center"/>
              <w:rPr>
                <w:rFonts w:ascii="宋体" w:hAnsi="宋体" w:cs="宋体"/>
                <w:color w:val="auto"/>
                <w:szCs w:val="21"/>
                <w:highlight w:val="none"/>
              </w:rPr>
            </w:pPr>
          </w:p>
        </w:tc>
        <w:tc>
          <w:tcPr>
            <w:tcW w:w="2400"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中标通知书</w:t>
            </w:r>
          </w:p>
        </w:tc>
        <w:tc>
          <w:tcPr>
            <w:tcW w:w="7127"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中标通知书须加盖采购人及代理机构公章后方可发出。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17" w:hRule="atLeast"/>
          <w:jc w:val="center"/>
        </w:trPr>
        <w:tc>
          <w:tcPr>
            <w:tcW w:w="670" w:type="dxa"/>
            <w:vAlign w:val="center"/>
          </w:tcPr>
          <w:p>
            <w:pPr>
              <w:numPr>
                <w:ilvl w:val="0"/>
                <w:numId w:val="1"/>
              </w:numPr>
              <w:spacing w:line="360" w:lineRule="exact"/>
              <w:jc w:val="center"/>
              <w:rPr>
                <w:rFonts w:ascii="宋体" w:hAnsi="宋体" w:cs="宋体"/>
                <w:color w:val="auto"/>
                <w:szCs w:val="21"/>
                <w:highlight w:val="none"/>
              </w:rPr>
            </w:pPr>
          </w:p>
        </w:tc>
        <w:tc>
          <w:tcPr>
            <w:tcW w:w="2400" w:type="dxa"/>
            <w:vAlign w:val="center"/>
          </w:tcPr>
          <w:p>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中标通知书发放形式</w:t>
            </w:r>
          </w:p>
        </w:tc>
        <w:tc>
          <w:tcPr>
            <w:tcW w:w="7127"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纸质版通知书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jc w:val="center"/>
        </w:trPr>
        <w:tc>
          <w:tcPr>
            <w:tcW w:w="3070" w:type="dxa"/>
            <w:gridSpan w:val="2"/>
            <w:vAlign w:val="center"/>
          </w:tcPr>
          <w:p>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付款方式、时间、条件</w:t>
            </w:r>
          </w:p>
        </w:tc>
        <w:tc>
          <w:tcPr>
            <w:tcW w:w="7127" w:type="dxa"/>
            <w:vAlign w:val="center"/>
          </w:tcPr>
          <w:p>
            <w:pPr>
              <w:spacing w:line="360" w:lineRule="exact"/>
              <w:jc w:val="left"/>
              <w:rPr>
                <w:rFonts w:hint="eastAsia" w:ascii="宋体" w:hAnsi="宋体" w:eastAsia="宋体" w:cs="宋体"/>
                <w:b/>
                <w:bCs/>
                <w:color w:val="auto"/>
                <w:szCs w:val="21"/>
                <w:highlight w:val="none"/>
                <w:lang w:val="en-US" w:eastAsia="zh-CN"/>
              </w:rPr>
            </w:pPr>
            <w:r>
              <w:rPr>
                <w:rFonts w:hint="eastAsia"/>
                <w:b/>
                <w:bCs/>
                <w:highlight w:val="none"/>
                <w:lang w:val="en-US" w:eastAsia="zh-CN"/>
              </w:rPr>
              <w:t>按月支付（甲方每月汇总结付一次，如乙方提供票据迟于当月20日，则延至次月结付，乙方出具的发票应为国家规定的正规发票，费用由甲方直接转入乙方账户）。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jc w:val="center"/>
        </w:trPr>
        <w:tc>
          <w:tcPr>
            <w:tcW w:w="3070" w:type="dxa"/>
            <w:gridSpan w:val="2"/>
            <w:vAlign w:val="center"/>
          </w:tcPr>
          <w:p>
            <w:pPr>
              <w:spacing w:line="360" w:lineRule="exact"/>
              <w:jc w:val="center"/>
              <w:rPr>
                <w:rFonts w:hint="default" w:ascii="宋体" w:hAnsi="宋体" w:eastAsia="宋体" w:cs="宋体"/>
                <w:b/>
                <w:bCs/>
                <w:color w:val="auto"/>
                <w:szCs w:val="21"/>
                <w:highlight w:val="none"/>
                <w:lang w:val="en-US" w:eastAsia="zh-CN"/>
              </w:rPr>
            </w:pPr>
            <w:bookmarkStart w:id="39" w:name="_Toc8242"/>
            <w:bookmarkStart w:id="40" w:name="_Toc13234"/>
            <w:bookmarkStart w:id="41" w:name="_Toc20532"/>
            <w:bookmarkStart w:id="42" w:name="_Toc26342"/>
            <w:bookmarkStart w:id="43" w:name="_Toc15058846"/>
            <w:bookmarkStart w:id="44" w:name="_Toc35425053"/>
            <w:bookmarkStart w:id="45" w:name="_Toc35947170"/>
            <w:bookmarkStart w:id="46" w:name="_Toc35424887"/>
            <w:bookmarkStart w:id="47" w:name="_Toc531771949"/>
            <w:bookmarkStart w:id="48" w:name="_Toc8218_WPSOffice_Level1"/>
            <w:r>
              <w:rPr>
                <w:rFonts w:hint="eastAsia" w:ascii="宋体" w:hAnsi="宋体" w:cs="宋体"/>
                <w:b/>
                <w:bCs/>
                <w:color w:val="auto"/>
                <w:szCs w:val="21"/>
                <w:highlight w:val="none"/>
                <w:lang w:val="en-US" w:eastAsia="zh-CN"/>
              </w:rPr>
              <w:t>其他重要说明</w:t>
            </w:r>
          </w:p>
        </w:tc>
        <w:tc>
          <w:tcPr>
            <w:tcW w:w="7127" w:type="dxa"/>
            <w:vAlign w:val="center"/>
          </w:tcPr>
          <w:p>
            <w:pPr>
              <w:spacing w:line="360" w:lineRule="exact"/>
              <w:jc w:val="left"/>
              <w:rPr>
                <w:rFonts w:hint="eastAsia"/>
                <w:b/>
                <w:bCs/>
                <w:highlight w:val="none"/>
                <w:lang w:val="en-US" w:eastAsia="zh-CN"/>
              </w:rPr>
            </w:pPr>
            <w:r>
              <w:rPr>
                <w:rFonts w:hint="eastAsia"/>
                <w:b/>
                <w:bCs/>
                <w:highlight w:val="none"/>
                <w:lang w:val="en-US" w:eastAsia="zh-CN"/>
              </w:rPr>
              <w:t>因此次采购物资是为住院患者生活供应，努力做到零库存，故交货时间不固定，按照需求数量大部分应在接到通知后当天内及时供货（上午通知下午送，下午通知第二天上午送），节假日期间正常响应，特殊情况需提前说明。所供物品经相关科室使用后，如反映质量有问题的，须限期立即撤换整改，整改后仍无法达到质量使用要求的将终止合同没收履约保证金，并在一年内禁止参加我院的采购活动，造成的相关损失及法律责任由供货方自行承担。</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jc w:val="center"/>
        </w:trPr>
        <w:tc>
          <w:tcPr>
            <w:tcW w:w="3070" w:type="dxa"/>
            <w:gridSpan w:val="2"/>
            <w:vAlign w:val="center"/>
          </w:tcPr>
          <w:p>
            <w:pPr>
              <w:spacing w:line="36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质量要求</w:t>
            </w:r>
          </w:p>
        </w:tc>
        <w:tc>
          <w:tcPr>
            <w:tcW w:w="7127" w:type="dxa"/>
            <w:vAlign w:val="center"/>
          </w:tcPr>
          <w:p>
            <w:pPr>
              <w:spacing w:line="360" w:lineRule="exact"/>
              <w:jc w:val="left"/>
              <w:rPr>
                <w:rFonts w:hint="eastAsia"/>
                <w:b/>
                <w:bCs/>
                <w:highlight w:val="none"/>
                <w:lang w:val="en-US" w:eastAsia="zh-CN"/>
              </w:rPr>
            </w:pPr>
            <w:r>
              <w:rPr>
                <w:rFonts w:hint="eastAsia"/>
                <w:b/>
                <w:bCs/>
                <w:highlight w:val="none"/>
                <w:lang w:val="en-US" w:eastAsia="zh-CN"/>
              </w:rPr>
              <w:t>投标人所投产品应是全新正品，完全符合国家规定的质量标准。报价清单中对品牌有明确要求的须按照推荐品牌进行报价并注明规格型号，无品牌型号的（国产优质品牌）投标时需注明相应的品牌、规格型号，否则按无效标处理。</w:t>
            </w:r>
          </w:p>
        </w:tc>
      </w:tr>
      <w:bookmarkEnd w:id="0"/>
      <w:bookmarkEnd w:id="1"/>
      <w:bookmarkEnd w:id="2"/>
      <w:bookmarkEnd w:id="3"/>
      <w:bookmarkEnd w:id="4"/>
      <w:bookmarkEnd w:id="6"/>
      <w:bookmarkEnd w:id="7"/>
    </w:tbl>
    <w:p>
      <w:pPr>
        <w:pStyle w:val="2"/>
        <w:rPr>
          <w:rFonts w:hint="eastAsia"/>
          <w:color w:val="auto"/>
          <w:highlight w:val="none"/>
          <w:lang w:eastAsia="zh-CN"/>
        </w:rPr>
      </w:pPr>
    </w:p>
    <w:p>
      <w:pPr>
        <w:rPr>
          <w:rFonts w:hint="eastAsia"/>
          <w:color w:val="auto"/>
          <w:highlight w:val="none"/>
          <w:lang w:eastAsia="zh-CN"/>
        </w:rPr>
      </w:pPr>
    </w:p>
    <w:p>
      <w:pPr>
        <w:pStyle w:val="49"/>
        <w:rPr>
          <w:rFonts w:hint="eastAsia"/>
          <w:color w:val="auto"/>
          <w:highlight w:val="none"/>
          <w:lang w:eastAsia="zh-CN"/>
        </w:rPr>
      </w:pPr>
    </w:p>
    <w:p>
      <w:pPr>
        <w:pStyle w:val="21"/>
        <w:rPr>
          <w:rFonts w:hint="eastAsia"/>
          <w:color w:val="auto"/>
          <w:highlight w:val="none"/>
          <w:lang w:eastAsia="zh-CN"/>
        </w:rPr>
      </w:pPr>
    </w:p>
    <w:p>
      <w:pPr>
        <w:pStyle w:val="17"/>
        <w:rPr>
          <w:rFonts w:hint="eastAsia"/>
          <w:color w:val="auto"/>
          <w:highlight w:val="none"/>
          <w:lang w:eastAsia="zh-CN"/>
        </w:rPr>
      </w:pPr>
    </w:p>
    <w:p>
      <w:pPr>
        <w:rPr>
          <w:rFonts w:hint="eastAsia"/>
          <w:color w:val="auto"/>
          <w:highlight w:val="none"/>
          <w:lang w:eastAsia="zh-CN"/>
        </w:rPr>
      </w:pPr>
    </w:p>
    <w:p>
      <w:pPr>
        <w:pStyle w:val="49"/>
        <w:rPr>
          <w:rFonts w:hint="eastAsia"/>
          <w:color w:val="auto"/>
          <w:highlight w:val="none"/>
          <w:lang w:eastAsia="zh-CN"/>
        </w:rPr>
      </w:pPr>
    </w:p>
    <w:p>
      <w:pPr>
        <w:rPr>
          <w:rFonts w:hint="eastAsia"/>
          <w:color w:val="auto"/>
          <w:highlight w:val="none"/>
          <w:lang w:eastAsia="zh-CN"/>
        </w:rPr>
      </w:pPr>
    </w:p>
    <w:p>
      <w:pPr>
        <w:pStyle w:val="2"/>
        <w:rPr>
          <w:color w:val="auto"/>
          <w:highlight w:val="none"/>
        </w:rPr>
      </w:pPr>
      <w:r>
        <w:rPr>
          <w:rFonts w:hint="eastAsia"/>
          <w:color w:val="auto"/>
          <w:highlight w:val="none"/>
        </w:rPr>
        <w:t>1. 总则</w:t>
      </w:r>
      <w:bookmarkEnd w:id="39"/>
      <w:bookmarkEnd w:id="40"/>
      <w:bookmarkEnd w:id="41"/>
      <w:bookmarkEnd w:id="42"/>
      <w:bookmarkEnd w:id="43"/>
      <w:bookmarkEnd w:id="44"/>
      <w:bookmarkEnd w:id="45"/>
      <w:bookmarkEnd w:id="46"/>
    </w:p>
    <w:p>
      <w:pPr>
        <w:snapToGrid w:val="0"/>
        <w:spacing w:line="440" w:lineRule="exact"/>
        <w:ind w:firstLine="422" w:firstLineChars="200"/>
        <w:rPr>
          <w:rFonts w:ascii="宋体"/>
          <w:b/>
          <w:color w:val="auto"/>
          <w:szCs w:val="21"/>
          <w:highlight w:val="none"/>
        </w:rPr>
      </w:pPr>
      <w:bookmarkStart w:id="49" w:name="_Toc152042318"/>
      <w:bookmarkStart w:id="50" w:name="_Toc246996187"/>
      <w:bookmarkStart w:id="51" w:name="_Toc15058858"/>
      <w:bookmarkStart w:id="52" w:name="_Toc506107281"/>
      <w:bookmarkStart w:id="53" w:name="_Toc246996930"/>
      <w:bookmarkStart w:id="54" w:name="_Toc35424899"/>
      <w:bookmarkStart w:id="55" w:name="_Toc35425065"/>
      <w:bookmarkStart w:id="56" w:name="_Toc324404827"/>
      <w:bookmarkStart w:id="57" w:name="_Toc152045542"/>
      <w:bookmarkStart w:id="58" w:name="_Toc179632560"/>
      <w:bookmarkStart w:id="59" w:name="_Toc35947182"/>
      <w:bookmarkStart w:id="60" w:name="_Toc247085701"/>
      <w:bookmarkStart w:id="61" w:name="_Toc144974510"/>
      <w:bookmarkStart w:id="62" w:name="_Toc32316"/>
      <w:bookmarkStart w:id="63" w:name="_Toc11696"/>
      <w:bookmarkStart w:id="64" w:name="_Toc24080"/>
      <w:bookmarkStart w:id="65" w:name="_Toc26510"/>
      <w:r>
        <w:rPr>
          <w:rFonts w:hint="eastAsia" w:ascii="宋体"/>
          <w:b/>
          <w:color w:val="auto"/>
          <w:szCs w:val="21"/>
          <w:highlight w:val="none"/>
        </w:rPr>
        <w:t>1.项目概况</w:t>
      </w:r>
    </w:p>
    <w:p>
      <w:pPr>
        <w:snapToGrid w:val="0"/>
        <w:spacing w:line="440" w:lineRule="exact"/>
        <w:ind w:firstLine="420" w:firstLineChars="200"/>
        <w:rPr>
          <w:rFonts w:hint="eastAsia"/>
          <w:color w:val="auto"/>
          <w:szCs w:val="21"/>
          <w:highlight w:val="none"/>
          <w:lang w:eastAsia="zh-CN"/>
        </w:rPr>
      </w:pPr>
      <w:r>
        <w:rPr>
          <w:rFonts w:hint="eastAsia"/>
          <w:color w:val="auto"/>
          <w:szCs w:val="21"/>
          <w:highlight w:val="none"/>
        </w:rPr>
        <w:t>本次招标采购项目名称：</w:t>
      </w:r>
      <w:r>
        <w:rPr>
          <w:rFonts w:hint="eastAsia"/>
          <w:color w:val="auto"/>
          <w:szCs w:val="21"/>
          <w:highlight w:val="none"/>
          <w:lang w:eastAsia="zh-CN"/>
        </w:rPr>
        <w:t>滁州市第二人民医院病人生活用品供应商采购项目</w:t>
      </w:r>
    </w:p>
    <w:p>
      <w:pPr>
        <w:snapToGrid w:val="0"/>
        <w:spacing w:line="440" w:lineRule="exact"/>
        <w:ind w:firstLine="420" w:firstLineChars="200"/>
        <w:rPr>
          <w:color w:val="auto"/>
          <w:szCs w:val="21"/>
          <w:highlight w:val="none"/>
        </w:rPr>
      </w:pPr>
      <w:r>
        <w:rPr>
          <w:rFonts w:hint="eastAsia"/>
          <w:color w:val="auto"/>
          <w:szCs w:val="21"/>
          <w:highlight w:val="none"/>
        </w:rPr>
        <w:t>采 购 人：滁州市第二人民医院（市传染病医院、市精神病医院）</w:t>
      </w:r>
    </w:p>
    <w:p>
      <w:pPr>
        <w:snapToGrid w:val="0"/>
        <w:spacing w:line="440" w:lineRule="exact"/>
        <w:ind w:firstLine="420" w:firstLineChars="200"/>
        <w:rPr>
          <w:color w:val="auto"/>
          <w:szCs w:val="21"/>
          <w:highlight w:val="none"/>
        </w:rPr>
      </w:pPr>
      <w:r>
        <w:rPr>
          <w:rFonts w:hint="eastAsia"/>
          <w:color w:val="auto"/>
          <w:szCs w:val="21"/>
          <w:highlight w:val="none"/>
        </w:rPr>
        <w:t>服务期限：</w:t>
      </w:r>
      <w:r>
        <w:rPr>
          <w:rFonts w:hint="eastAsia"/>
          <w:color w:val="auto"/>
          <w:szCs w:val="21"/>
          <w:highlight w:val="none"/>
          <w:lang w:eastAsia="zh-CN"/>
        </w:rPr>
        <w:t xml:space="preserve"> 三年（合同一年一签）</w:t>
      </w:r>
      <w:r>
        <w:rPr>
          <w:rFonts w:hint="eastAsia"/>
          <w:color w:val="auto"/>
          <w:szCs w:val="21"/>
          <w:highlight w:val="none"/>
        </w:rPr>
        <w:t>。</w:t>
      </w:r>
    </w:p>
    <w:p>
      <w:pPr>
        <w:snapToGrid w:val="0"/>
        <w:spacing w:line="440" w:lineRule="exact"/>
        <w:ind w:firstLine="422" w:firstLineChars="200"/>
        <w:rPr>
          <w:rFonts w:ascii="宋体"/>
          <w:b/>
          <w:color w:val="auto"/>
          <w:szCs w:val="21"/>
          <w:highlight w:val="none"/>
        </w:rPr>
      </w:pPr>
      <w:r>
        <w:rPr>
          <w:rFonts w:hint="eastAsia" w:ascii="宋体"/>
          <w:b/>
          <w:color w:val="auto"/>
          <w:szCs w:val="21"/>
          <w:highlight w:val="none"/>
        </w:rPr>
        <w:t>2.招标范围：</w:t>
      </w:r>
    </w:p>
    <w:p>
      <w:pPr>
        <w:snapToGrid w:val="0"/>
        <w:spacing w:line="440" w:lineRule="exact"/>
        <w:ind w:firstLine="420" w:firstLineChars="200"/>
        <w:rPr>
          <w:rFonts w:hint="eastAsia" w:eastAsia="宋体"/>
          <w:color w:val="auto"/>
          <w:szCs w:val="21"/>
          <w:highlight w:val="none"/>
          <w:lang w:eastAsia="zh-CN"/>
        </w:rPr>
      </w:pPr>
      <w:r>
        <w:rPr>
          <w:rFonts w:hint="eastAsia" w:ascii="宋体" w:hAnsi="宋体" w:cs="宋体"/>
          <w:color w:val="auto"/>
          <w:sz w:val="21"/>
          <w:szCs w:val="21"/>
          <w:highlight w:val="none"/>
        </w:rPr>
        <w:t>本次招标主要包含擦手纸</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毛巾、晾衣架、沐浴露、洗手液等病人生活用品采购</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具体以实际采购需求为主</w:t>
      </w:r>
      <w:r>
        <w:rPr>
          <w:rFonts w:hint="eastAsia"/>
          <w:color w:val="auto"/>
          <w:szCs w:val="21"/>
          <w:highlight w:val="none"/>
          <w:lang w:eastAsia="zh-CN"/>
        </w:rPr>
        <w:t>。</w:t>
      </w:r>
    </w:p>
    <w:p>
      <w:pPr>
        <w:snapToGrid w:val="0"/>
        <w:spacing w:line="440" w:lineRule="exact"/>
        <w:ind w:firstLine="422" w:firstLineChars="200"/>
        <w:rPr>
          <w:rFonts w:ascii="宋体"/>
          <w:color w:val="auto"/>
          <w:szCs w:val="21"/>
          <w:highlight w:val="none"/>
        </w:rPr>
      </w:pPr>
      <w:r>
        <w:rPr>
          <w:rFonts w:hint="eastAsia" w:ascii="宋体"/>
          <w:b/>
          <w:color w:val="auto"/>
          <w:szCs w:val="21"/>
          <w:highlight w:val="none"/>
        </w:rPr>
        <w:t>3.标包划分：</w:t>
      </w:r>
      <w:r>
        <w:rPr>
          <w:rFonts w:hint="eastAsia" w:ascii="宋体"/>
          <w:color w:val="auto"/>
          <w:szCs w:val="21"/>
          <w:highlight w:val="none"/>
        </w:rPr>
        <w:t>一个标段。</w:t>
      </w:r>
    </w:p>
    <w:p>
      <w:pPr>
        <w:snapToGrid w:val="0"/>
        <w:spacing w:line="440" w:lineRule="exact"/>
        <w:ind w:firstLine="422" w:firstLineChars="200"/>
        <w:rPr>
          <w:rFonts w:ascii="宋体"/>
          <w:color w:val="auto"/>
          <w:szCs w:val="21"/>
          <w:highlight w:val="none"/>
        </w:rPr>
      </w:pPr>
      <w:r>
        <w:rPr>
          <w:rFonts w:hint="eastAsia" w:ascii="宋体"/>
          <w:b/>
          <w:color w:val="auto"/>
          <w:szCs w:val="21"/>
          <w:highlight w:val="none"/>
        </w:rPr>
        <w:t>4.招标方式：</w:t>
      </w:r>
      <w:r>
        <w:rPr>
          <w:rFonts w:hint="eastAsia" w:ascii="宋体"/>
          <w:color w:val="auto"/>
          <w:szCs w:val="21"/>
          <w:highlight w:val="none"/>
        </w:rPr>
        <w:t>公开招标</w:t>
      </w:r>
    </w:p>
    <w:p>
      <w:pPr>
        <w:snapToGrid w:val="0"/>
        <w:spacing w:line="440" w:lineRule="exact"/>
        <w:ind w:firstLine="422" w:firstLineChars="200"/>
        <w:rPr>
          <w:rFonts w:ascii="宋体"/>
          <w:color w:val="auto"/>
          <w:szCs w:val="21"/>
          <w:highlight w:val="none"/>
        </w:rPr>
      </w:pPr>
      <w:r>
        <w:rPr>
          <w:rFonts w:hint="eastAsia" w:ascii="宋体"/>
          <w:b/>
          <w:color w:val="auto"/>
          <w:szCs w:val="21"/>
          <w:highlight w:val="none"/>
        </w:rPr>
        <w:t>5.计价方式：</w:t>
      </w:r>
      <w:r>
        <w:rPr>
          <w:rFonts w:hint="eastAsia" w:ascii="宋体"/>
          <w:color w:val="auto"/>
          <w:szCs w:val="21"/>
          <w:highlight w:val="none"/>
        </w:rPr>
        <w:t>本次招标项目合同采用</w:t>
      </w:r>
      <w:r>
        <w:rPr>
          <w:rFonts w:hint="eastAsia" w:ascii="宋体"/>
          <w:color w:val="auto"/>
          <w:szCs w:val="21"/>
          <w:highlight w:val="none"/>
          <w:u w:val="single"/>
        </w:rPr>
        <w:t xml:space="preserve">   固定</w:t>
      </w:r>
      <w:r>
        <w:rPr>
          <w:rFonts w:hint="eastAsia" w:ascii="宋体"/>
          <w:color w:val="auto"/>
          <w:szCs w:val="21"/>
          <w:highlight w:val="none"/>
          <w:u w:val="single"/>
          <w:lang w:val="en-US" w:eastAsia="zh-CN"/>
        </w:rPr>
        <w:t>单</w:t>
      </w:r>
      <w:r>
        <w:rPr>
          <w:rFonts w:hint="eastAsia" w:ascii="宋体"/>
          <w:color w:val="auto"/>
          <w:szCs w:val="21"/>
          <w:highlight w:val="none"/>
          <w:u w:val="single"/>
        </w:rPr>
        <w:t>价</w:t>
      </w:r>
      <w:r>
        <w:rPr>
          <w:rFonts w:hint="eastAsia" w:ascii="宋体"/>
          <w:color w:val="auto"/>
          <w:szCs w:val="21"/>
          <w:highlight w:val="none"/>
          <w:u w:val="single"/>
          <w:lang w:val="en-US" w:eastAsia="zh-CN"/>
        </w:rPr>
        <w:t xml:space="preserve">  </w:t>
      </w:r>
      <w:r>
        <w:rPr>
          <w:rFonts w:hint="eastAsia" w:ascii="宋体"/>
          <w:color w:val="auto"/>
          <w:szCs w:val="21"/>
          <w:highlight w:val="none"/>
          <w:u w:val="single"/>
        </w:rPr>
        <w:t>。</w:t>
      </w:r>
    </w:p>
    <w:p>
      <w:pPr>
        <w:snapToGrid w:val="0"/>
        <w:spacing w:line="440" w:lineRule="exact"/>
        <w:ind w:firstLine="422" w:firstLineChars="200"/>
        <w:rPr>
          <w:rFonts w:ascii="宋体"/>
          <w:color w:val="auto"/>
          <w:szCs w:val="21"/>
          <w:highlight w:val="none"/>
        </w:rPr>
      </w:pPr>
      <w:r>
        <w:rPr>
          <w:rFonts w:hint="eastAsia" w:ascii="宋体"/>
          <w:b/>
          <w:color w:val="auto"/>
          <w:szCs w:val="21"/>
          <w:highlight w:val="none"/>
        </w:rPr>
        <w:t>6.评标办法：</w:t>
      </w:r>
      <w:r>
        <w:rPr>
          <w:rFonts w:hint="eastAsia" w:ascii="宋体"/>
          <w:color w:val="auto"/>
          <w:szCs w:val="21"/>
          <w:highlight w:val="none"/>
        </w:rPr>
        <w:t>本次招标评标采用</w:t>
      </w:r>
      <w:r>
        <w:rPr>
          <w:rFonts w:hint="eastAsia" w:ascii="宋体"/>
          <w:color w:val="auto"/>
          <w:szCs w:val="21"/>
          <w:highlight w:val="none"/>
          <w:u w:val="single"/>
        </w:rPr>
        <w:t xml:space="preserve"> </w:t>
      </w:r>
      <w:r>
        <w:rPr>
          <w:rFonts w:hint="eastAsia" w:ascii="宋体"/>
          <w:b/>
          <w:color w:val="auto"/>
          <w:szCs w:val="21"/>
          <w:highlight w:val="none"/>
          <w:u w:val="single"/>
        </w:rPr>
        <w:t>综合评分</w:t>
      </w:r>
      <w:r>
        <w:rPr>
          <w:rFonts w:ascii="宋体"/>
          <w:b/>
          <w:color w:val="auto"/>
          <w:szCs w:val="21"/>
          <w:highlight w:val="none"/>
          <w:u w:val="single"/>
        </w:rPr>
        <w:t>法</w:t>
      </w:r>
      <w:r>
        <w:rPr>
          <w:rFonts w:hint="eastAsia" w:ascii="宋体"/>
          <w:color w:val="auto"/>
          <w:szCs w:val="21"/>
          <w:highlight w:val="none"/>
        </w:rPr>
        <w:t>（详见第三章评标办法）</w:t>
      </w:r>
    </w:p>
    <w:p>
      <w:pPr>
        <w:snapToGrid w:val="0"/>
        <w:spacing w:line="440" w:lineRule="exact"/>
        <w:ind w:firstLine="422" w:firstLineChars="200"/>
        <w:rPr>
          <w:rFonts w:ascii="宋体"/>
          <w:b/>
          <w:color w:val="auto"/>
          <w:szCs w:val="21"/>
          <w:highlight w:val="none"/>
        </w:rPr>
      </w:pPr>
      <w:r>
        <w:rPr>
          <w:rFonts w:hint="eastAsia" w:ascii="宋体"/>
          <w:b/>
          <w:color w:val="auto"/>
          <w:szCs w:val="21"/>
          <w:highlight w:val="none"/>
        </w:rPr>
        <w:t>7.投标人资格：</w:t>
      </w:r>
      <w:r>
        <w:rPr>
          <w:rFonts w:hint="eastAsia" w:ascii="宋体"/>
          <w:color w:val="auto"/>
          <w:szCs w:val="21"/>
          <w:highlight w:val="none"/>
        </w:rPr>
        <w:t>详见第一章“招标公告”</w:t>
      </w:r>
    </w:p>
    <w:p>
      <w:pPr>
        <w:pStyle w:val="2"/>
        <w:rPr>
          <w:rFonts w:hint="eastAsia"/>
          <w:color w:val="auto"/>
          <w:highlight w:val="none"/>
        </w:rPr>
      </w:pPr>
      <w:r>
        <w:rPr>
          <w:rFonts w:hint="eastAsia"/>
          <w:color w:val="auto"/>
          <w:highlight w:val="none"/>
        </w:rPr>
        <w:t xml:space="preserve">2. </w:t>
      </w:r>
      <w:bookmarkEnd w:id="49"/>
      <w:bookmarkEnd w:id="50"/>
      <w:bookmarkEnd w:id="51"/>
      <w:bookmarkEnd w:id="52"/>
      <w:bookmarkEnd w:id="53"/>
      <w:bookmarkEnd w:id="54"/>
      <w:bookmarkEnd w:id="55"/>
      <w:bookmarkEnd w:id="56"/>
      <w:bookmarkEnd w:id="57"/>
      <w:bookmarkEnd w:id="58"/>
      <w:bookmarkEnd w:id="59"/>
      <w:bookmarkEnd w:id="60"/>
      <w:bookmarkEnd w:id="61"/>
      <w:r>
        <w:rPr>
          <w:rFonts w:hint="eastAsia"/>
          <w:color w:val="auto"/>
          <w:highlight w:val="none"/>
        </w:rPr>
        <w:t>交易文件</w:t>
      </w:r>
      <w:bookmarkEnd w:id="62"/>
      <w:bookmarkEnd w:id="63"/>
      <w:bookmarkEnd w:id="64"/>
      <w:bookmarkEnd w:id="65"/>
      <w:bookmarkStart w:id="66" w:name="_Toc15058859"/>
      <w:bookmarkStart w:id="67" w:name="_Toc179632561"/>
      <w:bookmarkStart w:id="68" w:name="_Toc324404828"/>
      <w:bookmarkStart w:id="69" w:name="_Toc152045543"/>
      <w:bookmarkStart w:id="70" w:name="_Toc35425066"/>
      <w:bookmarkStart w:id="71" w:name="_Toc247085702"/>
      <w:bookmarkStart w:id="72" w:name="_Toc506107282"/>
      <w:bookmarkStart w:id="73" w:name="_Toc35424900"/>
      <w:bookmarkStart w:id="74" w:name="_Toc296602433"/>
      <w:bookmarkStart w:id="75" w:name="_Toc152042319"/>
      <w:bookmarkStart w:id="76" w:name="_Toc246996931"/>
      <w:bookmarkStart w:id="77" w:name="_Toc246996188"/>
      <w:bookmarkStart w:id="78" w:name="_Toc3202"/>
      <w:bookmarkStart w:id="79" w:name="_Toc35947183"/>
      <w:bookmarkStart w:id="80" w:name="_Toc29501"/>
      <w:bookmarkStart w:id="81" w:name="_Toc144974511"/>
      <w:bookmarkStart w:id="82" w:name="_Toc23619"/>
    </w:p>
    <w:p>
      <w:pPr>
        <w:spacing w:line="440" w:lineRule="atLeast"/>
        <w:ind w:firstLine="422" w:firstLineChars="200"/>
        <w:outlineLvl w:val="2"/>
        <w:rPr>
          <w:rFonts w:hint="eastAsia" w:ascii="宋体" w:hAnsi="宋体" w:cs="宋体"/>
          <w:b/>
          <w:bCs/>
          <w:color w:val="auto"/>
          <w:szCs w:val="21"/>
          <w:highlight w:val="none"/>
        </w:rPr>
      </w:pPr>
      <w:r>
        <w:rPr>
          <w:rFonts w:hint="eastAsia" w:ascii="宋体" w:hAnsi="宋体" w:cs="宋体"/>
          <w:b/>
          <w:bCs/>
          <w:color w:val="auto"/>
          <w:szCs w:val="21"/>
          <w:highlight w:val="none"/>
        </w:rPr>
        <w:t>2.1 交易文件的组成</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招标公告</w:t>
      </w:r>
      <w:r>
        <w:rPr>
          <w:rFonts w:hint="eastAsia" w:ascii="宋体" w:hAnsi="宋体" w:cs="宋体"/>
          <w:color w:val="auto"/>
          <w:szCs w:val="21"/>
          <w:highlight w:val="none"/>
        </w:rPr>
        <w:t>；</w:t>
      </w:r>
    </w:p>
    <w:p>
      <w:pPr>
        <w:spacing w:line="440" w:lineRule="atLeast"/>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投标人须知前附表</w:t>
      </w:r>
      <w:r>
        <w:rPr>
          <w:rFonts w:hint="eastAsia" w:ascii="宋体" w:hAnsi="宋体" w:cs="宋体"/>
          <w:color w:val="auto"/>
          <w:szCs w:val="21"/>
          <w:highlight w:val="none"/>
        </w:rPr>
        <w:t>；</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评标办法</w:t>
      </w:r>
      <w:r>
        <w:rPr>
          <w:rFonts w:hint="eastAsia" w:ascii="宋体" w:hAnsi="宋体" w:cs="宋体"/>
          <w:color w:val="auto"/>
          <w:szCs w:val="21"/>
          <w:highlight w:val="none"/>
        </w:rPr>
        <w:t>；</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服务需求</w:t>
      </w:r>
      <w:r>
        <w:rPr>
          <w:rFonts w:hint="eastAsia" w:ascii="宋体" w:hAnsi="宋体" w:cs="宋体"/>
          <w:color w:val="auto"/>
          <w:szCs w:val="21"/>
          <w:highlight w:val="none"/>
        </w:rPr>
        <w:t>；</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合同条款及格式</w:t>
      </w:r>
      <w:r>
        <w:rPr>
          <w:rFonts w:hint="eastAsia" w:ascii="宋体" w:hAnsi="宋体" w:cs="宋体"/>
          <w:color w:val="auto"/>
          <w:szCs w:val="21"/>
          <w:highlight w:val="none"/>
        </w:rPr>
        <w:t>；</w:t>
      </w:r>
    </w:p>
    <w:p>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投标文件格式</w:t>
      </w:r>
      <w:r>
        <w:rPr>
          <w:rFonts w:hint="eastAsia" w:ascii="宋体" w:hAnsi="宋体" w:cs="宋体"/>
          <w:color w:val="auto"/>
          <w:szCs w:val="21"/>
          <w:highlight w:val="none"/>
        </w:rPr>
        <w:t>；</w:t>
      </w:r>
    </w:p>
    <w:p>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采购人、采购代理机构对本招标文件的确认</w:t>
      </w:r>
      <w:r>
        <w:rPr>
          <w:rFonts w:hint="eastAsia" w:ascii="宋体" w:hAnsi="宋体" w:cs="宋体"/>
          <w:color w:val="auto"/>
          <w:szCs w:val="21"/>
          <w:highlight w:val="none"/>
        </w:rPr>
        <w:t>。</w:t>
      </w:r>
    </w:p>
    <w:p>
      <w:pPr>
        <w:spacing w:line="440" w:lineRule="atLeast"/>
        <w:ind w:firstLine="422" w:firstLineChars="200"/>
        <w:outlineLvl w:val="2"/>
        <w:rPr>
          <w:rFonts w:ascii="宋体" w:hAnsi="宋体" w:cs="宋体"/>
          <w:b/>
          <w:bCs/>
          <w:color w:val="auto"/>
          <w:szCs w:val="21"/>
          <w:highlight w:val="none"/>
        </w:rPr>
      </w:pPr>
      <w:bookmarkStart w:id="83" w:name="_Toc25054"/>
      <w:bookmarkStart w:id="84" w:name="_Toc246996189"/>
      <w:bookmarkStart w:id="85" w:name="_Toc144974512"/>
      <w:bookmarkStart w:id="86" w:name="_Toc11806"/>
      <w:bookmarkStart w:id="87" w:name="_Toc152045544"/>
      <w:bookmarkStart w:id="88" w:name="_Toc179632562"/>
      <w:bookmarkStart w:id="89" w:name="_Toc506107283"/>
      <w:bookmarkStart w:id="90" w:name="_Toc296602434"/>
      <w:bookmarkStart w:id="91" w:name="_Toc152042320"/>
      <w:bookmarkStart w:id="92" w:name="_Toc247085703"/>
      <w:bookmarkStart w:id="93" w:name="_Toc35424901"/>
      <w:bookmarkStart w:id="94" w:name="_Toc15058860"/>
      <w:bookmarkStart w:id="95" w:name="_Toc35947184"/>
      <w:bookmarkStart w:id="96" w:name="_Toc246996932"/>
      <w:bookmarkStart w:id="97" w:name="_Toc35425067"/>
      <w:bookmarkStart w:id="98" w:name="_Toc324404829"/>
      <w:bookmarkStart w:id="99" w:name="_Toc7670"/>
      <w:r>
        <w:rPr>
          <w:rFonts w:hint="eastAsia" w:ascii="宋体" w:hAnsi="宋体" w:cs="宋体"/>
          <w:b/>
          <w:bCs/>
          <w:color w:val="auto"/>
          <w:szCs w:val="21"/>
          <w:highlight w:val="none"/>
        </w:rPr>
        <w:t>2.2 交易文件的澄清</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hint="eastAsia" w:ascii="宋体" w:hAnsi="宋体" w:cs="宋体"/>
          <w:b/>
          <w:bCs/>
          <w:color w:val="auto"/>
          <w:szCs w:val="21"/>
          <w:highlight w:val="none"/>
        </w:rPr>
        <w:t xml:space="preserve"> </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2.2.1 投标人应仔细阅读和检查交易文件的全部内容。如有疑问，应在投标人须知前附表规定的时间前以网上邮件或书面形式（包括信函、电报、传真等可以有形地表现所载内容的形式，下同），要求采购人对交易文件予以澄清。</w:t>
      </w:r>
    </w:p>
    <w:p>
      <w:pPr>
        <w:spacing w:line="440" w:lineRule="atLeast"/>
        <w:ind w:firstLine="422" w:firstLineChars="200"/>
        <w:outlineLvl w:val="2"/>
        <w:rPr>
          <w:rFonts w:ascii="宋体" w:hAnsi="宋体" w:cs="宋体"/>
          <w:b/>
          <w:bCs/>
          <w:color w:val="auto"/>
          <w:szCs w:val="21"/>
          <w:highlight w:val="none"/>
        </w:rPr>
      </w:pPr>
      <w:bookmarkStart w:id="100" w:name="_Toc35424902"/>
      <w:bookmarkStart w:id="101" w:name="_Toc179632563"/>
      <w:bookmarkStart w:id="102" w:name="_Toc324404830"/>
      <w:bookmarkStart w:id="103" w:name="_Toc296602435"/>
      <w:bookmarkStart w:id="104" w:name="_Toc15058861"/>
      <w:bookmarkStart w:id="105" w:name="_Toc152042321"/>
      <w:bookmarkStart w:id="106" w:name="_Toc30752"/>
      <w:bookmarkStart w:id="107" w:name="_Toc20350"/>
      <w:bookmarkStart w:id="108" w:name="_Toc506107284"/>
      <w:bookmarkStart w:id="109" w:name="_Toc247085704"/>
      <w:bookmarkStart w:id="110" w:name="_Toc35425068"/>
      <w:bookmarkStart w:id="111" w:name="_Toc246996190"/>
      <w:bookmarkStart w:id="112" w:name="_Toc152045545"/>
      <w:bookmarkStart w:id="113" w:name="_Toc144974513"/>
      <w:bookmarkStart w:id="114" w:name="_Toc246996933"/>
      <w:bookmarkStart w:id="115" w:name="_Toc12699"/>
      <w:bookmarkStart w:id="116" w:name="_Toc35947185"/>
      <w:r>
        <w:rPr>
          <w:rFonts w:hint="eastAsia" w:ascii="宋体" w:hAnsi="宋体" w:cs="宋体"/>
          <w:b/>
          <w:bCs/>
          <w:color w:val="auto"/>
          <w:szCs w:val="21"/>
          <w:highlight w:val="none"/>
        </w:rPr>
        <w:t>2.3 交易文件的修改</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440" w:lineRule="atLeast"/>
        <w:ind w:firstLine="420" w:firstLineChars="200"/>
        <w:rPr>
          <w:rFonts w:ascii="宋体" w:hAnsi="宋体" w:cs="宋体"/>
          <w:color w:val="auto"/>
          <w:szCs w:val="21"/>
          <w:highlight w:val="none"/>
        </w:rPr>
      </w:pPr>
      <w:bookmarkStart w:id="117" w:name="_Toc35424903"/>
      <w:bookmarkStart w:id="118" w:name="_Toc992"/>
      <w:bookmarkStart w:id="119" w:name="_Toc35947186"/>
      <w:bookmarkStart w:id="120" w:name="_Toc2312"/>
      <w:bookmarkStart w:id="121" w:name="_Toc22085"/>
      <w:bookmarkStart w:id="122" w:name="_Toc35425069"/>
      <w:bookmarkStart w:id="123" w:name="_Toc324404831"/>
      <w:bookmarkStart w:id="124" w:name="_Toc15058862"/>
      <w:r>
        <w:rPr>
          <w:rFonts w:hint="eastAsia" w:ascii="宋体" w:hAnsi="宋体" w:cs="宋体"/>
          <w:color w:val="auto"/>
          <w:szCs w:val="21"/>
          <w:highlight w:val="none"/>
        </w:rPr>
        <w:t>以澄清公告形式在滁州市第二人民医院（市传染病医院、市精神病医院）官网予以公告。如果澄清内容影响投标文件编制的，将相应延长投标截止时间。</w:t>
      </w:r>
    </w:p>
    <w:bookmarkEnd w:id="117"/>
    <w:bookmarkEnd w:id="118"/>
    <w:bookmarkEnd w:id="119"/>
    <w:bookmarkEnd w:id="120"/>
    <w:bookmarkEnd w:id="121"/>
    <w:bookmarkEnd w:id="122"/>
    <w:bookmarkEnd w:id="123"/>
    <w:bookmarkEnd w:id="124"/>
    <w:p>
      <w:pPr>
        <w:pStyle w:val="2"/>
        <w:rPr>
          <w:color w:val="auto"/>
          <w:highlight w:val="none"/>
        </w:rPr>
      </w:pPr>
      <w:bookmarkStart w:id="125" w:name="_Toc506107285"/>
      <w:bookmarkStart w:id="126" w:name="_Toc22327"/>
      <w:bookmarkStart w:id="127" w:name="_Toc24360"/>
      <w:bookmarkStart w:id="128" w:name="_Toc35947187"/>
      <w:bookmarkStart w:id="129" w:name="_Toc23986"/>
      <w:bookmarkStart w:id="130" w:name="_Toc7791"/>
      <w:bookmarkStart w:id="131" w:name="_Toc35425070"/>
      <w:bookmarkStart w:id="132" w:name="_Toc35424904"/>
      <w:bookmarkStart w:id="133" w:name="_Toc15058863"/>
      <w:r>
        <w:rPr>
          <w:rFonts w:hint="eastAsia"/>
          <w:color w:val="auto"/>
          <w:highlight w:val="none"/>
        </w:rPr>
        <w:t>3. 投标文件</w:t>
      </w:r>
      <w:bookmarkEnd w:id="125"/>
      <w:bookmarkEnd w:id="126"/>
      <w:bookmarkEnd w:id="127"/>
      <w:bookmarkEnd w:id="128"/>
      <w:bookmarkEnd w:id="129"/>
      <w:bookmarkEnd w:id="130"/>
      <w:bookmarkEnd w:id="131"/>
      <w:bookmarkEnd w:id="132"/>
      <w:bookmarkEnd w:id="133"/>
    </w:p>
    <w:p>
      <w:pPr>
        <w:spacing w:line="440" w:lineRule="atLeast"/>
        <w:ind w:firstLine="422" w:firstLineChars="200"/>
        <w:outlineLvl w:val="2"/>
        <w:rPr>
          <w:rFonts w:ascii="宋体" w:hAnsi="宋体" w:cs="宋体"/>
          <w:b/>
          <w:bCs/>
          <w:color w:val="auto"/>
          <w:szCs w:val="21"/>
          <w:highlight w:val="none"/>
        </w:rPr>
      </w:pPr>
      <w:bookmarkStart w:id="134" w:name="_Toc35424905"/>
      <w:bookmarkStart w:id="135" w:name="_Toc506107286"/>
      <w:bookmarkStart w:id="136" w:name="_Toc10744"/>
      <w:bookmarkStart w:id="137" w:name="_Toc13866"/>
      <w:bookmarkStart w:id="138" w:name="_Toc35425071"/>
      <w:bookmarkStart w:id="139" w:name="_Toc6370"/>
      <w:bookmarkStart w:id="140" w:name="_Toc35947188"/>
      <w:bookmarkStart w:id="141" w:name="_Toc15058864"/>
      <w:r>
        <w:rPr>
          <w:rFonts w:hint="eastAsia" w:ascii="宋体" w:hAnsi="宋体" w:cs="宋体"/>
          <w:b/>
          <w:bCs/>
          <w:color w:val="auto"/>
          <w:szCs w:val="21"/>
          <w:highlight w:val="none"/>
        </w:rPr>
        <w:t>3.1 投标文件的组成</w:t>
      </w:r>
      <w:bookmarkEnd w:id="134"/>
      <w:bookmarkEnd w:id="135"/>
      <w:bookmarkEnd w:id="136"/>
      <w:bookmarkEnd w:id="137"/>
      <w:bookmarkEnd w:id="138"/>
      <w:bookmarkEnd w:id="139"/>
      <w:bookmarkEnd w:id="140"/>
      <w:bookmarkEnd w:id="141"/>
    </w:p>
    <w:p>
      <w:pPr>
        <w:spacing w:line="440" w:lineRule="exact"/>
        <w:ind w:firstLine="422" w:firstLineChars="200"/>
        <w:rPr>
          <w:rFonts w:ascii="宋体" w:hAnsi="宋体"/>
          <w:b/>
          <w:bCs/>
          <w:color w:val="auto"/>
          <w:highlight w:val="none"/>
        </w:rPr>
      </w:pPr>
      <w:bookmarkStart w:id="142" w:name="_Toc246996936"/>
      <w:bookmarkStart w:id="143" w:name="_Toc35425072"/>
      <w:bookmarkStart w:id="144" w:name="_Toc324404834"/>
      <w:bookmarkStart w:id="145" w:name="_Toc6207"/>
      <w:bookmarkStart w:id="146" w:name="_Toc35424906"/>
      <w:bookmarkStart w:id="147" w:name="_Toc152045548"/>
      <w:bookmarkStart w:id="148" w:name="_Toc15058865"/>
      <w:bookmarkStart w:id="149" w:name="_Toc296602438"/>
      <w:bookmarkStart w:id="150" w:name="_Toc152042324"/>
      <w:bookmarkStart w:id="151" w:name="_Toc144974516"/>
      <w:bookmarkStart w:id="152" w:name="_Toc506107287"/>
      <w:bookmarkStart w:id="153" w:name="_Toc246996193"/>
      <w:bookmarkStart w:id="154" w:name="_Toc31424"/>
      <w:bookmarkStart w:id="155" w:name="_Toc247085707"/>
      <w:bookmarkStart w:id="156" w:name="_Toc14180"/>
      <w:bookmarkStart w:id="157" w:name="_Toc35947189"/>
      <w:bookmarkStart w:id="158" w:name="_Toc179632566"/>
      <w:r>
        <w:rPr>
          <w:rFonts w:hint="eastAsia" w:ascii="宋体" w:hAnsi="宋体"/>
          <w:b/>
          <w:bCs/>
          <w:color w:val="auto"/>
          <w:highlight w:val="none"/>
        </w:rPr>
        <w:t>投标文件由资信部分、技术部分、商务部分三部分组成，按照招标文件格式要求进行编写。</w:t>
      </w:r>
    </w:p>
    <w:p>
      <w:pPr>
        <w:spacing w:line="440" w:lineRule="atLeast"/>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3.2 投标报价</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spacing w:line="440" w:lineRule="atLeast"/>
        <w:ind w:firstLine="420" w:firstLineChars="200"/>
        <w:rPr>
          <w:rFonts w:ascii="宋体" w:hAnsi="宋体" w:cs="宋体"/>
          <w:color w:val="auto"/>
          <w:szCs w:val="21"/>
          <w:highlight w:val="none"/>
        </w:rPr>
      </w:pPr>
      <w:bookmarkStart w:id="159" w:name="_Toc152045549"/>
      <w:bookmarkStart w:id="160" w:name="_Toc35947190"/>
      <w:bookmarkStart w:id="161" w:name="_Toc15058866"/>
      <w:bookmarkStart w:id="162" w:name="_Toc152042325"/>
      <w:bookmarkStart w:id="163" w:name="_Toc35425073"/>
      <w:bookmarkStart w:id="164" w:name="_Toc179632567"/>
      <w:bookmarkStart w:id="165" w:name="_Toc506107288"/>
      <w:bookmarkStart w:id="166" w:name="_Toc35424907"/>
      <w:bookmarkStart w:id="167" w:name="_Toc24128"/>
      <w:bookmarkStart w:id="168" w:name="_Toc144974517"/>
      <w:bookmarkStart w:id="169" w:name="_Toc8930"/>
      <w:bookmarkStart w:id="170" w:name="_Toc247085708"/>
      <w:bookmarkStart w:id="171" w:name="_Toc24368"/>
      <w:bookmarkStart w:id="172" w:name="_Toc296602439"/>
      <w:bookmarkStart w:id="173" w:name="_Toc246996937"/>
      <w:bookmarkStart w:id="174" w:name="_Toc324404835"/>
      <w:bookmarkStart w:id="175" w:name="_Toc246996194"/>
      <w:r>
        <w:rPr>
          <w:rFonts w:hint="eastAsia" w:ascii="宋体" w:hAnsi="宋体" w:cs="宋体"/>
          <w:color w:val="auto"/>
          <w:szCs w:val="21"/>
          <w:highlight w:val="none"/>
        </w:rPr>
        <w:t>3.2.1投标报价文件中的单价和总价全部采用人民币表示。投标人的报价应含有服务、利润、税金、政策性文件规定及合同包含的所有风险、责任、义务等，即为完成招标文件要求的服务内容所包含的一切应有费用，采购人后期不再追加费用，投标投标人自行考虑投标风险。</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3.2.2投标人只允许有一个方案、一个报价。</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3.2.3技术要求中规定的安装、调试和培训费用应包括在投标价格中。投标文件报价为含税价，采购人不再为此次招标支付任何费用。</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3.2.4投标报价应由法定代表人或被授权人签署。</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3.2.5投标人的报价不得高于本次招标最高限价，否则将作为无效投标处理。</w:t>
      </w:r>
    </w:p>
    <w:p>
      <w:pPr>
        <w:spacing w:line="440" w:lineRule="atLeast"/>
        <w:ind w:firstLine="422" w:firstLineChars="200"/>
        <w:outlineLvl w:val="2"/>
        <w:rPr>
          <w:rFonts w:ascii="宋体" w:hAnsi="宋体" w:cs="宋体"/>
          <w:b/>
          <w:bCs/>
          <w:color w:val="auto"/>
          <w:szCs w:val="21"/>
          <w:highlight w:val="none"/>
        </w:rPr>
      </w:pPr>
      <w:r>
        <w:rPr>
          <w:rFonts w:hint="eastAsia" w:ascii="宋体" w:hAnsi="宋体" w:cs="宋体"/>
          <w:b/>
          <w:bCs/>
          <w:color w:val="auto"/>
          <w:szCs w:val="21"/>
          <w:highlight w:val="none"/>
        </w:rPr>
        <w:t>3.3 投标有效期</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spacing w:line="440" w:lineRule="exact"/>
        <w:ind w:firstLine="420" w:firstLineChars="200"/>
        <w:rPr>
          <w:rFonts w:ascii="宋体"/>
          <w:color w:val="auto"/>
          <w:szCs w:val="21"/>
          <w:highlight w:val="none"/>
        </w:rPr>
      </w:pPr>
      <w:bookmarkStart w:id="176" w:name="_Toc35947191"/>
      <w:bookmarkStart w:id="177" w:name="_Toc152045550"/>
      <w:bookmarkStart w:id="178" w:name="_Toc152042326"/>
      <w:bookmarkStart w:id="179" w:name="_Toc324404836"/>
      <w:bookmarkStart w:id="180" w:name="_Toc144974518"/>
      <w:bookmarkStart w:id="181" w:name="_Toc246996195"/>
      <w:bookmarkStart w:id="182" w:name="_Toc506107289"/>
      <w:bookmarkStart w:id="183" w:name="_Toc246996938"/>
      <w:bookmarkStart w:id="184" w:name="_Toc247085709"/>
      <w:bookmarkStart w:id="185" w:name="_Toc35424908"/>
      <w:bookmarkStart w:id="186" w:name="_Toc296602440"/>
      <w:bookmarkStart w:id="187" w:name="_Toc35425074"/>
      <w:bookmarkStart w:id="188" w:name="_Toc11832"/>
      <w:bookmarkStart w:id="189" w:name="_Toc179632568"/>
      <w:bookmarkStart w:id="190" w:name="_Toc15058867"/>
      <w:bookmarkStart w:id="191" w:name="_Toc7863"/>
      <w:bookmarkStart w:id="192" w:name="_Toc10052"/>
      <w:r>
        <w:rPr>
          <w:rFonts w:hint="eastAsia" w:ascii="宋体"/>
          <w:color w:val="auto"/>
          <w:szCs w:val="21"/>
          <w:highlight w:val="none"/>
        </w:rPr>
        <w:t>13.1 除投标人须知前附表另有规定外，投标有效期为30天。</w:t>
      </w:r>
    </w:p>
    <w:p>
      <w:pPr>
        <w:spacing w:line="440" w:lineRule="exact"/>
        <w:ind w:firstLine="420" w:firstLineChars="200"/>
        <w:rPr>
          <w:rFonts w:ascii="宋体"/>
          <w:color w:val="auto"/>
          <w:szCs w:val="21"/>
          <w:highlight w:val="none"/>
        </w:rPr>
      </w:pPr>
      <w:r>
        <w:rPr>
          <w:rFonts w:hint="eastAsia" w:ascii="宋体"/>
          <w:color w:val="auto"/>
          <w:szCs w:val="21"/>
          <w:highlight w:val="none"/>
        </w:rPr>
        <w:t>13.2在投标有效期内，投标人撤销或修改其投标文件的，应承担招标文件和法律规定的责任。</w:t>
      </w:r>
    </w:p>
    <w:p>
      <w:pPr>
        <w:spacing w:line="440" w:lineRule="exact"/>
        <w:ind w:firstLine="420" w:firstLineChars="200"/>
        <w:rPr>
          <w:rFonts w:ascii="宋体"/>
          <w:color w:val="auto"/>
          <w:szCs w:val="21"/>
          <w:highlight w:val="none"/>
        </w:rPr>
      </w:pPr>
      <w:r>
        <w:rPr>
          <w:rFonts w:hint="eastAsia" w:ascii="宋体"/>
          <w:color w:val="auto"/>
          <w:szCs w:val="21"/>
          <w:highlight w:val="none"/>
        </w:rPr>
        <w:t>13.3出现特殊情况需要延长投标有效期的，采购人以书面形式通知所有投标人延长投标有效期。</w:t>
      </w:r>
    </w:p>
    <w:p>
      <w:pPr>
        <w:spacing w:line="440" w:lineRule="atLeast"/>
        <w:ind w:firstLine="422" w:firstLineChars="200"/>
        <w:outlineLvl w:val="2"/>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3.4 投标保证金</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不要求</w:t>
      </w:r>
      <w:r>
        <w:rPr>
          <w:rFonts w:hint="eastAsia" w:ascii="宋体" w:hAnsi="宋体" w:cs="宋体"/>
          <w:b/>
          <w:bCs/>
          <w:color w:val="auto"/>
          <w:szCs w:val="21"/>
          <w:highlight w:val="none"/>
          <w:lang w:eastAsia="zh-CN"/>
        </w:rPr>
        <w:t>）</w:t>
      </w:r>
    </w:p>
    <w:bookmarkEnd w:id="191"/>
    <w:bookmarkEnd w:id="192"/>
    <w:p>
      <w:pPr>
        <w:spacing w:line="440" w:lineRule="atLeast"/>
        <w:ind w:firstLine="422" w:firstLineChars="200"/>
        <w:outlineLvl w:val="2"/>
        <w:rPr>
          <w:rFonts w:ascii="宋体" w:hAnsi="宋体" w:cs="宋体"/>
          <w:b/>
          <w:bCs/>
          <w:color w:val="auto"/>
          <w:szCs w:val="21"/>
          <w:highlight w:val="none"/>
        </w:rPr>
      </w:pPr>
      <w:bookmarkStart w:id="193" w:name="_Toc15058868"/>
      <w:bookmarkStart w:id="194" w:name="_Toc506107290"/>
      <w:bookmarkStart w:id="195" w:name="_Toc324404837"/>
      <w:bookmarkStart w:id="196" w:name="_Toc2570"/>
      <w:bookmarkStart w:id="197" w:name="_Toc18845"/>
      <w:bookmarkStart w:id="198" w:name="_Toc35424909"/>
      <w:bookmarkStart w:id="199" w:name="_Toc35947192"/>
      <w:bookmarkStart w:id="200" w:name="_Toc18536"/>
      <w:bookmarkStart w:id="201" w:name="_Toc296602442"/>
      <w:bookmarkStart w:id="202" w:name="_Toc35425075"/>
      <w:bookmarkStart w:id="203" w:name="_Toc152045553"/>
      <w:bookmarkStart w:id="204" w:name="_Toc179632571"/>
      <w:bookmarkStart w:id="205" w:name="_Toc144974521"/>
      <w:bookmarkStart w:id="206" w:name="_Toc246996197"/>
      <w:bookmarkStart w:id="207" w:name="_Toc246996940"/>
      <w:bookmarkStart w:id="208" w:name="_Toc247085711"/>
      <w:bookmarkStart w:id="209" w:name="_Toc152042329"/>
      <w:r>
        <w:rPr>
          <w:rFonts w:hint="eastAsia" w:ascii="宋体" w:hAnsi="宋体" w:cs="宋体"/>
          <w:b/>
          <w:bCs/>
          <w:color w:val="auto"/>
          <w:szCs w:val="21"/>
          <w:highlight w:val="none"/>
        </w:rPr>
        <w:t>3.5投标文件的编制</w:t>
      </w:r>
      <w:bookmarkEnd w:id="193"/>
      <w:bookmarkEnd w:id="194"/>
      <w:bookmarkEnd w:id="195"/>
      <w:bookmarkEnd w:id="196"/>
      <w:bookmarkEnd w:id="197"/>
      <w:bookmarkEnd w:id="198"/>
      <w:bookmarkEnd w:id="199"/>
      <w:bookmarkEnd w:id="200"/>
      <w:bookmarkEnd w:id="201"/>
      <w:bookmarkEnd w:id="202"/>
    </w:p>
    <w:bookmarkEnd w:id="203"/>
    <w:bookmarkEnd w:id="204"/>
    <w:bookmarkEnd w:id="205"/>
    <w:bookmarkEnd w:id="206"/>
    <w:bookmarkEnd w:id="207"/>
    <w:bookmarkEnd w:id="208"/>
    <w:bookmarkEnd w:id="209"/>
    <w:p>
      <w:pPr>
        <w:spacing w:line="440" w:lineRule="atLeast"/>
        <w:ind w:firstLine="420" w:firstLineChars="200"/>
        <w:rPr>
          <w:rFonts w:ascii="宋体" w:hAnsi="宋体" w:cs="宋体"/>
          <w:color w:val="auto"/>
          <w:szCs w:val="21"/>
          <w:highlight w:val="none"/>
        </w:rPr>
      </w:pPr>
      <w:bookmarkStart w:id="210" w:name="_Toc152042331"/>
      <w:bookmarkStart w:id="211" w:name="_Toc152045555"/>
      <w:bookmarkStart w:id="212" w:name="_Toc144974523"/>
      <w:bookmarkStart w:id="213" w:name="_Toc179632573"/>
      <w:bookmarkStart w:id="214" w:name="_Toc246996942"/>
      <w:bookmarkStart w:id="215" w:name="_Toc246996199"/>
      <w:bookmarkStart w:id="216" w:name="_Toc247085713"/>
      <w:bookmarkStart w:id="217" w:name="_Toc324404838"/>
      <w:r>
        <w:rPr>
          <w:rFonts w:hint="eastAsia" w:ascii="宋体" w:hAnsi="宋体" w:cs="宋体"/>
          <w:color w:val="auto"/>
          <w:szCs w:val="21"/>
          <w:highlight w:val="none"/>
        </w:rPr>
        <w:t>3.5.1投标文件应按“投标文件格式”进行编写，如有必要，可以增加附页，作为投标文件的组成部分。</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3.5.2 投标文件应当对交易文件有关服务期、投标有效期、质量要求、技术标准和要求、招标范围等实质性内容作出响应。</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3.5.3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3.5.4 投标文件正本、 副本份数见投标人须知前附表。正本和副本的封面上应清楚地标记“正本”或“副本”的字样。当副本和正本不一致时，以正本为准。</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3.5.5 投标文件的正本与副本应分别装订成册，具体装订要求见投标人须知前附表规定。</w:t>
      </w:r>
    </w:p>
    <w:p>
      <w:pPr>
        <w:pStyle w:val="2"/>
        <w:rPr>
          <w:color w:val="auto"/>
          <w:highlight w:val="none"/>
        </w:rPr>
      </w:pPr>
      <w:bookmarkStart w:id="218" w:name="_Toc15058869"/>
      <w:bookmarkStart w:id="219" w:name="_Toc35425076"/>
      <w:bookmarkStart w:id="220" w:name="_Toc18579"/>
      <w:bookmarkStart w:id="221" w:name="_Toc21503"/>
      <w:bookmarkStart w:id="222" w:name="_Toc35424910"/>
      <w:bookmarkStart w:id="223" w:name="_Toc8706"/>
      <w:bookmarkStart w:id="224" w:name="_Toc506107291"/>
      <w:bookmarkStart w:id="225" w:name="_Toc8633"/>
      <w:bookmarkStart w:id="226" w:name="_Toc35947193"/>
      <w:r>
        <w:rPr>
          <w:rFonts w:hint="eastAsia"/>
          <w:color w:val="auto"/>
          <w:highlight w:val="none"/>
        </w:rPr>
        <w:t>4.投标</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spacing w:line="440" w:lineRule="atLeast"/>
        <w:ind w:firstLine="361" w:firstLineChars="200"/>
        <w:outlineLvl w:val="2"/>
        <w:rPr>
          <w:rFonts w:hint="eastAsia" w:ascii="宋体" w:hAnsi="宋体" w:eastAsia="宋体" w:cs="宋体"/>
          <w:b/>
          <w:bCs/>
          <w:color w:val="auto"/>
          <w:sz w:val="18"/>
          <w:szCs w:val="18"/>
          <w:highlight w:val="none"/>
        </w:rPr>
      </w:pPr>
      <w:bookmarkStart w:id="227" w:name="_Toc152042332"/>
      <w:bookmarkStart w:id="228" w:name="_Toc1347"/>
      <w:bookmarkStart w:id="229" w:name="_Toc296602444"/>
      <w:bookmarkStart w:id="230" w:name="_Toc246996200"/>
      <w:bookmarkStart w:id="231" w:name="_Toc324404839"/>
      <w:bookmarkStart w:id="232" w:name="_Toc144974524"/>
      <w:bookmarkStart w:id="233" w:name="_Toc152045556"/>
      <w:bookmarkStart w:id="234" w:name="_Toc247085714"/>
      <w:bookmarkStart w:id="235" w:name="_Toc179632574"/>
      <w:bookmarkStart w:id="236" w:name="_Toc30189"/>
      <w:bookmarkStart w:id="237" w:name="_Toc246996943"/>
      <w:bookmarkStart w:id="238" w:name="_Toc4607"/>
      <w:bookmarkStart w:id="239" w:name="_Toc152045559"/>
      <w:bookmarkStart w:id="240" w:name="_Toc246996203"/>
      <w:bookmarkStart w:id="241" w:name="_Toc179632577"/>
      <w:bookmarkStart w:id="242" w:name="_Toc246996946"/>
      <w:bookmarkStart w:id="243" w:name="_Toc506107295"/>
      <w:bookmarkStart w:id="244" w:name="_Toc324404842"/>
      <w:bookmarkStart w:id="245" w:name="_Toc21611136"/>
      <w:bookmarkStart w:id="246" w:name="_Toc152042335"/>
      <w:bookmarkStart w:id="247" w:name="_Toc144974527"/>
      <w:bookmarkStart w:id="248" w:name="_Toc247085717"/>
      <w:bookmarkStart w:id="249" w:name="_Toc246996949"/>
      <w:bookmarkStart w:id="250" w:name="_Toc15058884"/>
      <w:bookmarkStart w:id="251" w:name="_Toc35424919"/>
      <w:bookmarkStart w:id="252" w:name="_Toc152042338"/>
      <w:bookmarkStart w:id="253" w:name="_Toc246996206"/>
      <w:bookmarkStart w:id="254" w:name="_Toc506107299"/>
      <w:bookmarkStart w:id="255" w:name="_Toc35425085"/>
      <w:bookmarkStart w:id="256" w:name="_Toc152045562"/>
      <w:bookmarkStart w:id="257" w:name="_Toc324404846"/>
      <w:bookmarkStart w:id="258" w:name="_Toc247085720"/>
      <w:bookmarkStart w:id="259" w:name="_Toc35947202"/>
      <w:bookmarkStart w:id="260" w:name="_Toc179632580"/>
      <w:bookmarkStart w:id="261" w:name="_Toc144974530"/>
      <w:r>
        <w:rPr>
          <w:rFonts w:hint="eastAsia" w:ascii="宋体" w:hAnsi="宋体" w:eastAsia="宋体" w:cs="宋体"/>
          <w:b/>
          <w:bCs/>
          <w:color w:val="auto"/>
          <w:sz w:val="18"/>
          <w:szCs w:val="18"/>
          <w:highlight w:val="none"/>
        </w:rPr>
        <w:t>4.1 投标文件的密封和标记</w:t>
      </w:r>
      <w:bookmarkEnd w:id="227"/>
      <w:bookmarkEnd w:id="228"/>
      <w:bookmarkEnd w:id="229"/>
      <w:bookmarkEnd w:id="230"/>
      <w:bookmarkEnd w:id="231"/>
      <w:bookmarkEnd w:id="232"/>
      <w:bookmarkEnd w:id="233"/>
      <w:bookmarkEnd w:id="234"/>
      <w:bookmarkEnd w:id="235"/>
      <w:bookmarkEnd w:id="236"/>
      <w:bookmarkEnd w:id="237"/>
      <w:bookmarkEnd w:id="238"/>
    </w:p>
    <w:p>
      <w:pPr>
        <w:spacing w:line="440" w:lineRule="atLeast"/>
        <w:ind w:firstLine="420" w:firstLineChars="200"/>
        <w:rPr>
          <w:rFonts w:ascii="宋体" w:hAnsi="宋体" w:cs="宋体"/>
          <w:color w:val="auto"/>
          <w:szCs w:val="21"/>
          <w:highlight w:val="none"/>
        </w:rPr>
      </w:pPr>
      <w:bookmarkStart w:id="262" w:name="_Toc179632575"/>
      <w:bookmarkStart w:id="263" w:name="_Toc152042333"/>
      <w:bookmarkStart w:id="264" w:name="_Toc152045557"/>
      <w:bookmarkStart w:id="265" w:name="_Toc144974525"/>
      <w:bookmarkStart w:id="266" w:name="_Toc247085715"/>
      <w:bookmarkStart w:id="267" w:name="_Toc246996201"/>
      <w:bookmarkStart w:id="268" w:name="_Toc246996944"/>
      <w:r>
        <w:rPr>
          <w:rFonts w:hint="eastAsia" w:ascii="宋体" w:hAnsi="宋体" w:cs="宋体"/>
          <w:color w:val="auto"/>
          <w:szCs w:val="21"/>
          <w:highlight w:val="none"/>
        </w:rPr>
        <w:t>4.1.1 投标文件应进行密封包装，并在封套上加盖投标人单位章。</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4.1.2 投标文件封套上应写明的内容及具体密封要求见投标人须知前附表。</w:t>
      </w:r>
    </w:p>
    <w:p>
      <w:pPr>
        <w:spacing w:line="440" w:lineRule="atLeast"/>
        <w:ind w:firstLine="361" w:firstLineChars="200"/>
        <w:outlineLvl w:val="2"/>
        <w:rPr>
          <w:rFonts w:hint="eastAsia" w:ascii="宋体" w:hAnsi="宋体" w:eastAsia="宋体" w:cs="宋体"/>
          <w:b/>
          <w:bCs/>
          <w:color w:val="auto"/>
          <w:sz w:val="18"/>
          <w:szCs w:val="18"/>
          <w:highlight w:val="none"/>
        </w:rPr>
      </w:pPr>
      <w:bookmarkStart w:id="269" w:name="_Toc296602445"/>
      <w:bookmarkStart w:id="270" w:name="_Toc14812"/>
      <w:bookmarkStart w:id="271" w:name="_Toc4531"/>
      <w:bookmarkStart w:id="272" w:name="_Toc28392"/>
      <w:bookmarkStart w:id="273" w:name="_Toc324404840"/>
      <w:r>
        <w:rPr>
          <w:rFonts w:hint="eastAsia" w:ascii="宋体" w:hAnsi="宋体" w:eastAsia="宋体" w:cs="宋体"/>
          <w:b/>
          <w:bCs/>
          <w:color w:val="auto"/>
          <w:sz w:val="18"/>
          <w:szCs w:val="18"/>
          <w:highlight w:val="none"/>
        </w:rPr>
        <w:t>4.2 投标文件的递交</w:t>
      </w:r>
      <w:bookmarkEnd w:id="262"/>
      <w:bookmarkEnd w:id="263"/>
      <w:bookmarkEnd w:id="264"/>
      <w:bookmarkEnd w:id="265"/>
      <w:bookmarkEnd w:id="266"/>
      <w:bookmarkEnd w:id="267"/>
      <w:bookmarkEnd w:id="268"/>
      <w:bookmarkEnd w:id="269"/>
      <w:bookmarkEnd w:id="270"/>
      <w:bookmarkEnd w:id="271"/>
      <w:bookmarkEnd w:id="272"/>
      <w:bookmarkEnd w:id="273"/>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4.2.1投标人应在投标人须知前附表规定的投标截止时间前递交投标文件。</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4.2.2 投标人递交投标文件的地点：见投标人须知前附表。</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4.2.3 除投标人须知前附表另有规定外，投标人所递交的投标文件不予退还。</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4.2.4 逾期送达的或者未送达指定地点的投标文件，采购人不予受理。</w:t>
      </w:r>
    </w:p>
    <w:p>
      <w:pPr>
        <w:spacing w:line="440" w:lineRule="atLeast"/>
        <w:ind w:firstLine="361" w:firstLineChars="200"/>
        <w:outlineLvl w:val="2"/>
        <w:rPr>
          <w:rFonts w:ascii="宋体" w:hAnsi="宋体" w:cs="宋体"/>
          <w:b/>
          <w:bCs/>
          <w:color w:val="auto"/>
          <w:sz w:val="18"/>
          <w:szCs w:val="18"/>
          <w:highlight w:val="none"/>
        </w:rPr>
      </w:pPr>
      <w:bookmarkStart w:id="274" w:name="_Toc152042334"/>
      <w:bookmarkStart w:id="275" w:name="_Toc296602446"/>
      <w:bookmarkStart w:id="276" w:name="_Toc179632576"/>
      <w:bookmarkStart w:id="277" w:name="_Toc16808"/>
      <w:bookmarkStart w:id="278" w:name="_Toc246996945"/>
      <w:bookmarkStart w:id="279" w:name="_Toc247085716"/>
      <w:bookmarkStart w:id="280" w:name="_Toc20500"/>
      <w:bookmarkStart w:id="281" w:name="_Toc246996202"/>
      <w:bookmarkStart w:id="282" w:name="_Toc324404841"/>
      <w:bookmarkStart w:id="283" w:name="_Toc152045558"/>
      <w:bookmarkStart w:id="284" w:name="_Toc144974526"/>
      <w:bookmarkStart w:id="285" w:name="_Toc25278"/>
      <w:r>
        <w:rPr>
          <w:rFonts w:hint="eastAsia" w:ascii="宋体" w:hAnsi="宋体" w:cs="宋体"/>
          <w:b/>
          <w:bCs/>
          <w:color w:val="auto"/>
          <w:sz w:val="18"/>
          <w:szCs w:val="18"/>
          <w:highlight w:val="none"/>
        </w:rPr>
        <w:t>4.3 投标文件的修改与撤回</w:t>
      </w:r>
      <w:bookmarkEnd w:id="274"/>
      <w:bookmarkEnd w:id="275"/>
      <w:bookmarkEnd w:id="276"/>
      <w:bookmarkEnd w:id="277"/>
      <w:bookmarkEnd w:id="278"/>
      <w:bookmarkEnd w:id="279"/>
      <w:bookmarkEnd w:id="280"/>
      <w:bookmarkEnd w:id="281"/>
      <w:bookmarkEnd w:id="282"/>
      <w:bookmarkEnd w:id="283"/>
      <w:bookmarkEnd w:id="284"/>
      <w:bookmarkEnd w:id="285"/>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4.3.1在投标人须知前附表规定的投标截止时间前，投标人可以修改或撤回已递交的投标文件，但应以书面形式通知采购人。</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4.3.2 投标人修改或撤回已递交投标文件的书面通知应按照本章第3.5.3项的要求签字或盖章。采购人收到书面通知后，投标人签到登记。</w:t>
      </w:r>
    </w:p>
    <w:p>
      <w:pPr>
        <w:spacing w:line="44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4.3.4 修改的内容为投标文件的组成部分。修改的投标文件应按照本章第3条、第4条规定进行编制、密封、标记和递交，并标明“修改”字样。</w:t>
      </w:r>
    </w:p>
    <w:p>
      <w:pPr>
        <w:pStyle w:val="2"/>
        <w:rPr>
          <w:color w:val="auto"/>
          <w:highlight w:val="none"/>
        </w:rPr>
      </w:pPr>
      <w:bookmarkStart w:id="286" w:name="_Toc29955"/>
      <w:bookmarkStart w:id="287" w:name="_Toc440"/>
      <w:bookmarkStart w:id="288" w:name="_Toc32525"/>
      <w:bookmarkStart w:id="289" w:name="_Toc21875"/>
      <w:r>
        <w:rPr>
          <w:rFonts w:hint="eastAsia"/>
          <w:color w:val="auto"/>
          <w:highlight w:val="none"/>
        </w:rPr>
        <w:t>5. 开标</w:t>
      </w:r>
      <w:bookmarkEnd w:id="239"/>
      <w:bookmarkEnd w:id="240"/>
      <w:bookmarkEnd w:id="241"/>
      <w:bookmarkEnd w:id="242"/>
      <w:bookmarkEnd w:id="243"/>
      <w:bookmarkEnd w:id="244"/>
      <w:bookmarkEnd w:id="245"/>
      <w:bookmarkEnd w:id="246"/>
      <w:bookmarkEnd w:id="247"/>
      <w:bookmarkEnd w:id="248"/>
      <w:bookmarkEnd w:id="286"/>
      <w:bookmarkEnd w:id="287"/>
      <w:bookmarkEnd w:id="288"/>
      <w:bookmarkEnd w:id="289"/>
    </w:p>
    <w:p>
      <w:pPr>
        <w:spacing w:line="440" w:lineRule="atLeast"/>
        <w:ind w:firstLine="420" w:firstLineChars="200"/>
        <w:rPr>
          <w:rFonts w:hint="eastAsia" w:ascii="宋体" w:hAnsi="宋体" w:eastAsia="宋体" w:cs="宋体"/>
          <w:color w:val="auto"/>
          <w:szCs w:val="21"/>
          <w:highlight w:val="none"/>
        </w:rPr>
      </w:pPr>
      <w:bookmarkStart w:id="290" w:name="_Toc12593"/>
      <w:bookmarkStart w:id="291" w:name="_Toc13541"/>
      <w:bookmarkStart w:id="292" w:name="_Toc32566"/>
      <w:bookmarkStart w:id="293" w:name="_Toc25571"/>
      <w:r>
        <w:rPr>
          <w:rFonts w:hint="eastAsia" w:ascii="宋体" w:hAnsi="宋体" w:eastAsia="宋体" w:cs="宋体"/>
          <w:color w:val="auto"/>
          <w:szCs w:val="21"/>
          <w:highlight w:val="none"/>
          <w:lang w:val="en-US" w:eastAsia="zh-CN"/>
        </w:rPr>
        <w:t>5.1</w:t>
      </w:r>
      <w:r>
        <w:rPr>
          <w:rFonts w:hint="eastAsia" w:ascii="宋体" w:hAnsi="宋体" w:eastAsia="宋体" w:cs="宋体"/>
          <w:color w:val="auto"/>
          <w:szCs w:val="21"/>
          <w:highlight w:val="none"/>
        </w:rPr>
        <w:t>招标人按本须知要求提交投标文件的截止时间和地点公开开标，并邀请相关监管部门参加。</w:t>
      </w:r>
    </w:p>
    <w:p>
      <w:pPr>
        <w:spacing w:line="44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开标程序</w:t>
      </w:r>
    </w:p>
    <w:p>
      <w:pPr>
        <w:spacing w:line="44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开标会议由采购代理机构主持。</w:t>
      </w:r>
    </w:p>
    <w:p>
      <w:pPr>
        <w:spacing w:line="44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）公布投标截止时间前，递交投标文件的投标人名称</w:t>
      </w:r>
      <w:r>
        <w:rPr>
          <w:rFonts w:hint="eastAsia" w:ascii="宋体" w:hAnsi="宋体" w:eastAsia="宋体" w:cs="宋体"/>
          <w:color w:val="auto"/>
          <w:szCs w:val="21"/>
          <w:highlight w:val="none"/>
          <w:lang w:val="en-US" w:eastAsia="zh-CN"/>
        </w:rPr>
        <w:t>及数量</w:t>
      </w:r>
      <w:r>
        <w:rPr>
          <w:rFonts w:hint="eastAsia" w:ascii="宋体" w:hAnsi="宋体" w:eastAsia="宋体" w:cs="宋体"/>
          <w:color w:val="auto"/>
          <w:szCs w:val="21"/>
          <w:highlight w:val="none"/>
        </w:rPr>
        <w:t xml:space="preserve">； </w:t>
      </w:r>
    </w:p>
    <w:p>
      <w:pPr>
        <w:spacing w:line="44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）投标人在投标截止时间后，拆分标书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报评委处评审</w:t>
      </w:r>
      <w:r>
        <w:rPr>
          <w:rFonts w:hint="eastAsia" w:ascii="宋体" w:hAnsi="宋体" w:eastAsia="宋体" w:cs="宋体"/>
          <w:color w:val="auto"/>
          <w:szCs w:val="21"/>
          <w:highlight w:val="none"/>
        </w:rPr>
        <w:t>；</w:t>
      </w:r>
    </w:p>
    <w:p>
      <w:pPr>
        <w:spacing w:line="44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）公布投标人投标报价、</w:t>
      </w:r>
      <w:r>
        <w:rPr>
          <w:rFonts w:hint="eastAsia" w:ascii="宋体" w:hAnsi="宋体" w:eastAsia="宋体" w:cs="宋体"/>
          <w:color w:val="auto"/>
          <w:szCs w:val="21"/>
          <w:highlight w:val="none"/>
          <w:lang w:val="en-US" w:eastAsia="zh-CN"/>
        </w:rPr>
        <w:t>供货期等</w:t>
      </w:r>
      <w:r>
        <w:rPr>
          <w:rFonts w:hint="eastAsia" w:ascii="宋体" w:hAnsi="宋体" w:eastAsia="宋体" w:cs="宋体"/>
          <w:color w:val="auto"/>
          <w:szCs w:val="21"/>
          <w:highlight w:val="none"/>
        </w:rPr>
        <w:t>内容，并记录在案；</w:t>
      </w:r>
    </w:p>
    <w:p>
      <w:pPr>
        <w:spacing w:line="44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）开标结束。</w:t>
      </w:r>
    </w:p>
    <w:p>
      <w:pPr>
        <w:spacing w:line="44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多标包项目按照标包顺序按以上程序依次开标。</w:t>
      </w:r>
    </w:p>
    <w:p>
      <w:pPr>
        <w:spacing w:line="44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5.3</w:t>
      </w:r>
      <w:r>
        <w:rPr>
          <w:rFonts w:hint="eastAsia" w:ascii="宋体" w:hAnsi="宋体" w:eastAsia="宋体" w:cs="宋体"/>
          <w:color w:val="auto"/>
          <w:szCs w:val="21"/>
          <w:highlight w:val="none"/>
        </w:rPr>
        <w:t>. 开评标异常情况处理</w:t>
      </w:r>
    </w:p>
    <w:p>
      <w:pPr>
        <w:spacing w:line="44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5.3</w:t>
      </w:r>
      <w:r>
        <w:rPr>
          <w:rFonts w:hint="eastAsia" w:ascii="宋体" w:hAnsi="宋体" w:eastAsia="宋体" w:cs="宋体"/>
          <w:color w:val="auto"/>
          <w:szCs w:val="21"/>
          <w:highlight w:val="none"/>
        </w:rPr>
        <w:t xml:space="preserve">.1重新招标 </w:t>
      </w:r>
    </w:p>
    <w:p>
      <w:pPr>
        <w:spacing w:line="44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有下列情形之一的，招标人将重新招标：</w:t>
      </w:r>
    </w:p>
    <w:p>
      <w:pPr>
        <w:spacing w:line="44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(1)投标截止时间止，投标人少于三个的； </w:t>
      </w:r>
    </w:p>
    <w:p>
      <w:pPr>
        <w:spacing w:line="44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(2)经评审小组评审后否决所有投标的；</w:t>
      </w:r>
    </w:p>
    <w:p>
      <w:pPr>
        <w:spacing w:line="44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(3)出现影响采购公正的违法、违规行为的；</w:t>
      </w:r>
    </w:p>
    <w:p>
      <w:pPr>
        <w:spacing w:line="44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(4)投标人的报价均脱离实际且无充分证据的；</w:t>
      </w:r>
    </w:p>
    <w:p>
      <w:pPr>
        <w:spacing w:line="44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(5)因重大变故，采购任务取消的。</w:t>
      </w:r>
    </w:p>
    <w:p>
      <w:pPr>
        <w:spacing w:line="440" w:lineRule="atLeas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5.3.2</w:t>
      </w:r>
      <w:r>
        <w:rPr>
          <w:rFonts w:hint="eastAsia" w:ascii="宋体" w:hAnsi="宋体" w:eastAsia="宋体" w:cs="宋体"/>
          <w:color w:val="auto"/>
          <w:szCs w:val="21"/>
          <w:highlight w:val="none"/>
        </w:rPr>
        <w:t>变更采购方式</w:t>
      </w:r>
    </w:p>
    <w:p>
      <w:pPr>
        <w:spacing w:line="440" w:lineRule="atLeast"/>
        <w:ind w:firstLine="420" w:firstLineChars="200"/>
        <w:rPr>
          <w:rFonts w:hint="eastAsia" w:ascii="宋体" w:hAnsi="宋体" w:eastAsia="宋体" w:cs="宋体"/>
          <w:color w:val="auto"/>
          <w:szCs w:val="21"/>
          <w:highlight w:val="none"/>
        </w:rPr>
      </w:pPr>
      <w:bookmarkStart w:id="294" w:name="_Toc449028872"/>
      <w:r>
        <w:rPr>
          <w:rFonts w:hint="eastAsia" w:ascii="宋体" w:hAnsi="宋体" w:eastAsia="宋体" w:cs="宋体"/>
          <w:color w:val="auto"/>
          <w:szCs w:val="21"/>
          <w:highlight w:val="none"/>
        </w:rPr>
        <w:t>按照滁州市公管局和财政局相关规定执行。</w:t>
      </w:r>
      <w:bookmarkEnd w:id="294"/>
    </w:p>
    <w:p>
      <w:pPr>
        <w:pStyle w:val="2"/>
        <w:rPr>
          <w:color w:val="auto"/>
          <w:highlight w:val="none"/>
        </w:rPr>
      </w:pPr>
      <w:r>
        <w:rPr>
          <w:rFonts w:hint="eastAsia"/>
          <w:color w:val="auto"/>
          <w:highlight w:val="none"/>
        </w:rPr>
        <w:t>6. 评标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90"/>
      <w:bookmarkEnd w:id="291"/>
      <w:bookmarkEnd w:id="292"/>
      <w:bookmarkEnd w:id="293"/>
    </w:p>
    <w:p>
      <w:pPr>
        <w:spacing w:line="440" w:lineRule="atLeast"/>
        <w:ind w:firstLine="422" w:firstLineChars="200"/>
        <w:outlineLvl w:val="2"/>
        <w:rPr>
          <w:rFonts w:ascii="宋体" w:hAnsi="宋体" w:cs="宋体"/>
          <w:b/>
          <w:bCs/>
          <w:color w:val="auto"/>
          <w:szCs w:val="21"/>
          <w:highlight w:val="none"/>
        </w:rPr>
      </w:pPr>
      <w:bookmarkStart w:id="295" w:name="_Toc27158"/>
      <w:bookmarkStart w:id="296" w:name="_Toc247085721"/>
      <w:bookmarkStart w:id="297" w:name="_Toc35425086"/>
      <w:bookmarkStart w:id="298" w:name="_Toc246996207"/>
      <w:bookmarkStart w:id="299" w:name="_Toc324404847"/>
      <w:bookmarkStart w:id="300" w:name="_Toc14047"/>
      <w:bookmarkStart w:id="301" w:name="_Toc506107300"/>
      <w:bookmarkStart w:id="302" w:name="_Toc296602452"/>
      <w:bookmarkStart w:id="303" w:name="_Toc152042339"/>
      <w:bookmarkStart w:id="304" w:name="_Toc35424920"/>
      <w:bookmarkStart w:id="305" w:name="_Toc23087"/>
      <w:bookmarkStart w:id="306" w:name="_Toc35947203"/>
      <w:bookmarkStart w:id="307" w:name="_Toc152045563"/>
      <w:bookmarkStart w:id="308" w:name="_Toc179632581"/>
      <w:bookmarkStart w:id="309" w:name="_Toc15058885"/>
      <w:bookmarkStart w:id="310" w:name="_Toc144974531"/>
      <w:bookmarkStart w:id="311" w:name="_Toc246996950"/>
      <w:r>
        <w:rPr>
          <w:rFonts w:hint="eastAsia" w:ascii="宋体" w:hAnsi="宋体" w:cs="宋体"/>
          <w:b/>
          <w:bCs/>
          <w:color w:val="auto"/>
          <w:szCs w:val="21"/>
          <w:highlight w:val="none"/>
        </w:rPr>
        <w:t>6.1 评标委员会</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6.1.1 评标由采购人依法组建的评标委员会负责。评标委员会由采购人或其委托的招标代理机构熟悉相关业务的代表，以及有关技术、经济等方面的专家组成。评标委员会成员人数以及技术、经济等方面专家的确定方式见投标人须知前附表。</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（1）投标人或投标人主要负责人的近亲属；</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（2）项目主管部门或者行政监督部门的人员；</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（3）与投标人有经济利益关系；</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（4）曾因在招标、评标以及其他与招标投标有关活动中从事违法行为而受过行政处罚或刑事处罚的；</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（5）与投标人有其他利害关系。</w:t>
      </w:r>
    </w:p>
    <w:p>
      <w:pPr>
        <w:spacing w:line="440" w:lineRule="atLeast"/>
        <w:ind w:firstLine="422" w:firstLineChars="200"/>
        <w:outlineLvl w:val="2"/>
        <w:rPr>
          <w:rFonts w:ascii="宋体" w:hAnsi="宋体" w:cs="宋体"/>
          <w:b/>
          <w:bCs/>
          <w:color w:val="auto"/>
          <w:szCs w:val="21"/>
          <w:highlight w:val="none"/>
        </w:rPr>
      </w:pPr>
      <w:bookmarkStart w:id="312" w:name="_Toc152045564"/>
      <w:bookmarkStart w:id="313" w:name="_Toc324404848"/>
      <w:bookmarkStart w:id="314" w:name="_Toc247085722"/>
      <w:bookmarkStart w:id="315" w:name="_Toc506107301"/>
      <w:bookmarkStart w:id="316" w:name="_Toc246996951"/>
      <w:bookmarkStart w:id="317" w:name="_Toc15058886"/>
      <w:bookmarkStart w:id="318" w:name="_Toc35424921"/>
      <w:bookmarkStart w:id="319" w:name="_Toc35947204"/>
      <w:bookmarkStart w:id="320" w:name="_Toc246996208"/>
      <w:bookmarkStart w:id="321" w:name="_Toc179632582"/>
      <w:bookmarkStart w:id="322" w:name="_Toc144974532"/>
      <w:bookmarkStart w:id="323" w:name="_Toc296602453"/>
      <w:bookmarkStart w:id="324" w:name="_Toc21925"/>
      <w:bookmarkStart w:id="325" w:name="_Toc152042340"/>
      <w:bookmarkStart w:id="326" w:name="_Toc30301"/>
      <w:bookmarkStart w:id="327" w:name="_Toc35425087"/>
      <w:bookmarkStart w:id="328" w:name="_Toc28431"/>
      <w:r>
        <w:rPr>
          <w:rFonts w:hint="eastAsia" w:ascii="宋体" w:hAnsi="宋体" w:cs="宋体"/>
          <w:b/>
          <w:bCs/>
          <w:color w:val="auto"/>
          <w:szCs w:val="21"/>
          <w:highlight w:val="none"/>
        </w:rPr>
        <w:t>6.2 评标原则</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pPr>
        <w:spacing w:line="440" w:lineRule="atLeast"/>
        <w:ind w:firstLine="422" w:firstLineChars="200"/>
        <w:outlineLvl w:val="2"/>
        <w:rPr>
          <w:rFonts w:ascii="宋体" w:hAnsi="宋体" w:cs="宋体"/>
          <w:b/>
          <w:bCs/>
          <w:color w:val="auto"/>
          <w:szCs w:val="21"/>
          <w:highlight w:val="none"/>
        </w:rPr>
      </w:pPr>
      <w:bookmarkStart w:id="329" w:name="_Toc9158"/>
      <w:bookmarkStart w:id="330" w:name="_Toc506107302"/>
      <w:bookmarkStart w:id="331" w:name="_Toc35425088"/>
      <w:bookmarkStart w:id="332" w:name="_Toc246996209"/>
      <w:bookmarkStart w:id="333" w:name="_Toc20754"/>
      <w:bookmarkStart w:id="334" w:name="_Toc247085723"/>
      <w:bookmarkStart w:id="335" w:name="_Toc152042341"/>
      <w:bookmarkStart w:id="336" w:name="_Toc15058887"/>
      <w:bookmarkStart w:id="337" w:name="_Toc296602454"/>
      <w:bookmarkStart w:id="338" w:name="_Toc324404849"/>
      <w:bookmarkStart w:id="339" w:name="_Toc152045565"/>
      <w:bookmarkStart w:id="340" w:name="_Toc35947205"/>
      <w:bookmarkStart w:id="341" w:name="_Toc246996952"/>
      <w:bookmarkStart w:id="342" w:name="_Toc35424922"/>
      <w:bookmarkStart w:id="343" w:name="_Toc9695"/>
      <w:bookmarkStart w:id="344" w:name="_Toc144974533"/>
      <w:bookmarkStart w:id="345" w:name="_Toc179632583"/>
      <w:r>
        <w:rPr>
          <w:rFonts w:hint="eastAsia" w:ascii="宋体" w:hAnsi="宋体" w:cs="宋体"/>
          <w:b/>
          <w:bCs/>
          <w:color w:val="auto"/>
          <w:szCs w:val="21"/>
          <w:highlight w:val="none"/>
        </w:rPr>
        <w:t>6.3 评标</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spacing w:line="440" w:lineRule="atLeast"/>
        <w:ind w:firstLine="420" w:firstLineChars="200"/>
        <w:rPr>
          <w:rFonts w:ascii="宋体" w:hAnsi="宋体" w:cs="宋体"/>
          <w:color w:val="auto"/>
          <w:szCs w:val="21"/>
          <w:highlight w:val="none"/>
        </w:rPr>
      </w:pPr>
      <w:bookmarkStart w:id="346" w:name="_Toc247085724"/>
      <w:bookmarkStart w:id="347" w:name="_Toc152042342"/>
      <w:bookmarkStart w:id="348" w:name="_Toc246996210"/>
      <w:bookmarkStart w:id="349" w:name="_Toc152045566"/>
      <w:bookmarkStart w:id="350" w:name="_Toc246996953"/>
      <w:bookmarkStart w:id="351" w:name="_Toc324404850"/>
      <w:bookmarkStart w:id="352" w:name="_Toc144974534"/>
      <w:bookmarkStart w:id="353" w:name="_Toc179632584"/>
      <w:r>
        <w:rPr>
          <w:rFonts w:hint="eastAsia" w:ascii="宋体" w:hAnsi="宋体" w:cs="宋体"/>
          <w:color w:val="auto"/>
          <w:szCs w:val="21"/>
          <w:highlight w:val="none"/>
        </w:rPr>
        <w:t>评标委员会按照第三章“评标办法”规定的方法、评审因素、标准和程序对投标文件进行评审。第三章“评标办法”没有规定的方法、评审因素和标准，不作为评标依据。</w:t>
      </w:r>
      <w:bookmarkStart w:id="354" w:name="_Toc15727"/>
      <w:bookmarkStart w:id="355" w:name="_Toc15058888"/>
      <w:bookmarkStart w:id="356" w:name="_Toc506107303"/>
      <w:bookmarkStart w:id="357" w:name="_Toc35425089"/>
      <w:bookmarkStart w:id="358" w:name="_Toc10567"/>
      <w:bookmarkStart w:id="359" w:name="_Toc35947206"/>
      <w:bookmarkStart w:id="360" w:name="_Toc35424923"/>
      <w:bookmarkStart w:id="361" w:name="_Toc15037"/>
      <w:bookmarkStart w:id="362" w:name="_Toc21161"/>
    </w:p>
    <w:p>
      <w:pPr>
        <w:pStyle w:val="2"/>
        <w:rPr>
          <w:color w:val="auto"/>
          <w:highlight w:val="none"/>
        </w:rPr>
      </w:pPr>
      <w:r>
        <w:rPr>
          <w:rFonts w:hint="eastAsia"/>
          <w:color w:val="auto"/>
          <w:highlight w:val="none"/>
        </w:rPr>
        <w:t>7. 合同授予</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spacing w:line="440" w:lineRule="atLeast"/>
        <w:ind w:firstLine="422" w:firstLineChars="200"/>
        <w:outlineLvl w:val="2"/>
        <w:rPr>
          <w:rFonts w:ascii="宋体" w:hAnsi="宋体" w:cs="宋体"/>
          <w:b/>
          <w:bCs/>
          <w:color w:val="auto"/>
          <w:szCs w:val="21"/>
          <w:highlight w:val="none"/>
        </w:rPr>
      </w:pPr>
      <w:bookmarkStart w:id="363" w:name="_Toc296602456"/>
      <w:bookmarkStart w:id="364" w:name="_Toc246996954"/>
      <w:bookmarkStart w:id="365" w:name="_Toc15058889"/>
      <w:bookmarkStart w:id="366" w:name="_Toc152042343"/>
      <w:bookmarkStart w:id="367" w:name="_Toc152045567"/>
      <w:bookmarkStart w:id="368" w:name="_Toc324404851"/>
      <w:bookmarkStart w:id="369" w:name="_Toc35425090"/>
      <w:bookmarkStart w:id="370" w:name="_Toc247085725"/>
      <w:bookmarkStart w:id="371" w:name="_Toc84"/>
      <w:bookmarkStart w:id="372" w:name="_Toc246996211"/>
      <w:bookmarkStart w:id="373" w:name="_Toc35424924"/>
      <w:bookmarkStart w:id="374" w:name="_Toc506107304"/>
      <w:bookmarkStart w:id="375" w:name="_Toc252"/>
      <w:bookmarkStart w:id="376" w:name="_Toc179632585"/>
      <w:bookmarkStart w:id="377" w:name="_Toc144974535"/>
      <w:bookmarkStart w:id="378" w:name="_Toc35947207"/>
      <w:bookmarkStart w:id="379" w:name="_Toc1037"/>
      <w:r>
        <w:rPr>
          <w:rFonts w:hint="eastAsia" w:ascii="宋体" w:hAnsi="宋体" w:cs="宋体"/>
          <w:b/>
          <w:bCs/>
          <w:color w:val="auto"/>
          <w:szCs w:val="21"/>
          <w:highlight w:val="none"/>
        </w:rPr>
        <w:t>7.1 定标方式</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pPr>
        <w:spacing w:line="440" w:lineRule="atLeast"/>
        <w:ind w:firstLine="420" w:firstLineChars="200"/>
        <w:rPr>
          <w:rFonts w:ascii="宋体" w:hAnsi="宋体" w:cs="宋体"/>
          <w:color w:val="auto"/>
          <w:szCs w:val="21"/>
          <w:highlight w:val="none"/>
        </w:rPr>
      </w:pPr>
      <w:bookmarkStart w:id="380" w:name="_Toc296602457"/>
      <w:bookmarkStart w:id="381" w:name="_Toc324404852"/>
      <w:r>
        <w:rPr>
          <w:rFonts w:hint="eastAsia" w:ascii="宋体" w:hAnsi="宋体" w:cs="宋体"/>
          <w:color w:val="auto"/>
          <w:szCs w:val="21"/>
          <w:highlight w:val="none"/>
        </w:rPr>
        <w:t>除投标人须知前附表规定评标委员会直接确定中标人外，采购人依据评标委员会推荐的中标候选人确定中标人，评标委员会推荐中标候选人的人数见投标人须知前附表。</w:t>
      </w:r>
    </w:p>
    <w:bookmarkEnd w:id="380"/>
    <w:bookmarkEnd w:id="381"/>
    <w:p>
      <w:pPr>
        <w:spacing w:line="440" w:lineRule="atLeast"/>
        <w:ind w:firstLine="422" w:firstLineChars="200"/>
        <w:outlineLvl w:val="2"/>
        <w:rPr>
          <w:rFonts w:ascii="宋体" w:hAnsi="宋体" w:cs="宋体"/>
          <w:b/>
          <w:bCs/>
          <w:color w:val="auto"/>
          <w:szCs w:val="21"/>
          <w:highlight w:val="none"/>
        </w:rPr>
      </w:pPr>
      <w:bookmarkStart w:id="382" w:name="_Toc296602458"/>
      <w:bookmarkStart w:id="383" w:name="_Toc506107306"/>
      <w:bookmarkStart w:id="384" w:name="_Toc18325"/>
      <w:bookmarkStart w:id="385" w:name="_Toc179632586"/>
      <w:bookmarkStart w:id="386" w:name="_Toc152045568"/>
      <w:bookmarkStart w:id="387" w:name="_Toc15058891"/>
      <w:bookmarkStart w:id="388" w:name="_Toc247085726"/>
      <w:bookmarkStart w:id="389" w:name="_Toc19428"/>
      <w:bookmarkStart w:id="390" w:name="_Toc246996212"/>
      <w:bookmarkStart w:id="391" w:name="_Toc152042344"/>
      <w:bookmarkStart w:id="392" w:name="_Toc35424927"/>
      <w:bookmarkStart w:id="393" w:name="_Toc324404853"/>
      <w:bookmarkStart w:id="394" w:name="_Toc35947210"/>
      <w:bookmarkStart w:id="395" w:name="_Toc246996955"/>
      <w:bookmarkStart w:id="396" w:name="_Toc144974536"/>
      <w:bookmarkStart w:id="397" w:name="_Toc35425093"/>
      <w:bookmarkStart w:id="398" w:name="_Toc23930"/>
      <w:r>
        <w:rPr>
          <w:rFonts w:hint="eastAsia" w:ascii="宋体" w:hAnsi="宋体" w:cs="宋体"/>
          <w:b/>
          <w:bCs/>
          <w:color w:val="auto"/>
          <w:szCs w:val="21"/>
          <w:highlight w:val="none"/>
        </w:rPr>
        <w:t>7.2 中标通知</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在本章第3.3款规定的投标有效期内，采购人以书面形式向中标人发出中标通知书，同时将中标结果通知未中标的投标人。</w:t>
      </w:r>
    </w:p>
    <w:p>
      <w:pPr>
        <w:spacing w:line="440" w:lineRule="atLeast"/>
        <w:ind w:firstLine="422" w:firstLineChars="200"/>
        <w:outlineLvl w:val="2"/>
        <w:rPr>
          <w:rFonts w:ascii="宋体" w:hAnsi="宋体" w:cs="宋体"/>
          <w:b/>
          <w:bCs/>
          <w:color w:val="auto"/>
          <w:szCs w:val="21"/>
          <w:highlight w:val="none"/>
        </w:rPr>
      </w:pPr>
      <w:bookmarkStart w:id="399" w:name="_Toc35424930"/>
      <w:bookmarkStart w:id="400" w:name="_Toc35425096"/>
      <w:bookmarkStart w:id="401" w:name="_Toc506107308"/>
      <w:bookmarkStart w:id="402" w:name="_Toc246996214"/>
      <w:bookmarkStart w:id="403" w:name="_Toc179632588"/>
      <w:bookmarkStart w:id="404" w:name="_Toc296602460"/>
      <w:bookmarkStart w:id="405" w:name="_Toc15423"/>
      <w:bookmarkStart w:id="406" w:name="_Toc152042346"/>
      <w:bookmarkStart w:id="407" w:name="_Toc15058893"/>
      <w:bookmarkStart w:id="408" w:name="_Toc144974538"/>
      <w:bookmarkStart w:id="409" w:name="_Toc324404855"/>
      <w:bookmarkStart w:id="410" w:name="_Toc246996957"/>
      <w:bookmarkStart w:id="411" w:name="_Toc247085728"/>
      <w:bookmarkStart w:id="412" w:name="_Toc14106"/>
      <w:bookmarkStart w:id="413" w:name="_Toc35947213"/>
      <w:bookmarkStart w:id="414" w:name="_Toc634"/>
      <w:bookmarkStart w:id="415" w:name="_Toc152045570"/>
      <w:r>
        <w:rPr>
          <w:rFonts w:hint="eastAsia" w:ascii="宋体" w:hAnsi="宋体" w:cs="宋体"/>
          <w:b/>
          <w:bCs/>
          <w:color w:val="auto"/>
          <w:szCs w:val="21"/>
          <w:highlight w:val="none"/>
        </w:rPr>
        <w:t>7.3 签订合同</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pPr>
        <w:wordWrap w:val="0"/>
        <w:spacing w:line="440" w:lineRule="atLeast"/>
        <w:ind w:firstLine="420" w:firstLineChars="200"/>
        <w:rPr>
          <w:rFonts w:ascii="宋体" w:hAnsi="宋体" w:cs="宋体"/>
          <w:bCs/>
          <w:color w:val="auto"/>
          <w:szCs w:val="21"/>
          <w:highlight w:val="none"/>
        </w:rPr>
      </w:pPr>
      <w:bookmarkStart w:id="416" w:name="_Toc324404856"/>
      <w:bookmarkStart w:id="417" w:name="_Toc15058894"/>
      <w:bookmarkStart w:id="418" w:name="_Toc506107309"/>
      <w:r>
        <w:rPr>
          <w:rFonts w:hint="eastAsia" w:ascii="宋体" w:hAnsi="宋体" w:cs="宋体"/>
          <w:bCs/>
          <w:color w:val="auto"/>
          <w:szCs w:val="21"/>
          <w:highlight w:val="none"/>
        </w:rPr>
        <w:t>7.3.1</w:t>
      </w:r>
      <w:r>
        <w:rPr>
          <w:rFonts w:hint="eastAsia"/>
          <w:color w:val="auto"/>
          <w:highlight w:val="none"/>
        </w:rPr>
        <w:t>中标人应在中标通知书发出之日起</w:t>
      </w:r>
      <w:r>
        <w:rPr>
          <w:rFonts w:hint="eastAsia" w:ascii="宋体" w:hAnsi="宋体" w:cs="宋体"/>
          <w:color w:val="auto"/>
          <w:highlight w:val="none"/>
        </w:rPr>
        <w:t>7个</w:t>
      </w:r>
      <w:r>
        <w:rPr>
          <w:rFonts w:hint="eastAsia"/>
          <w:color w:val="auto"/>
          <w:highlight w:val="none"/>
        </w:rPr>
        <w:t>工作日内，按照交易文件规定和采购人订立书面合同。采购人和中标人不得再行订立背离合同实质性内容的其他协议</w:t>
      </w:r>
      <w:r>
        <w:rPr>
          <w:rFonts w:hint="eastAsia" w:ascii="宋体" w:hAnsi="宋体" w:cs="宋体"/>
          <w:bCs/>
          <w:color w:val="auto"/>
          <w:szCs w:val="21"/>
          <w:highlight w:val="none"/>
        </w:rPr>
        <w:t>。中标人无正当理由拒签合同的，采购人取消其中标资格；给采购人造成的损失，采购人有权追偿。</w:t>
      </w:r>
    </w:p>
    <w:p>
      <w:pPr>
        <w:wordWrap w:val="0"/>
        <w:spacing w:line="440" w:lineRule="atLeas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7.3.2 发出中标通知书后，采购人无正当理由拒签合同的，且给中标人造成损失的，还应当赔偿损失。</w:t>
      </w:r>
    </w:p>
    <w:p>
      <w:pPr>
        <w:pStyle w:val="2"/>
        <w:rPr>
          <w:color w:val="auto"/>
          <w:highlight w:val="none"/>
        </w:rPr>
      </w:pPr>
      <w:bookmarkStart w:id="419" w:name="_Toc4635"/>
      <w:bookmarkStart w:id="420" w:name="_Toc35424931"/>
      <w:bookmarkStart w:id="421" w:name="_Toc31120"/>
      <w:bookmarkStart w:id="422" w:name="_Toc35947214"/>
      <w:bookmarkStart w:id="423" w:name="_Toc23600"/>
      <w:bookmarkStart w:id="424" w:name="_Toc35425097"/>
      <w:bookmarkStart w:id="425" w:name="_Toc9177"/>
      <w:r>
        <w:rPr>
          <w:rFonts w:hint="eastAsia"/>
          <w:color w:val="auto"/>
          <w:highlight w:val="none"/>
        </w:rPr>
        <w:t>8. 纪律和监督</w:t>
      </w:r>
      <w:bookmarkEnd w:id="416"/>
      <w:bookmarkEnd w:id="417"/>
      <w:bookmarkEnd w:id="418"/>
      <w:bookmarkEnd w:id="419"/>
      <w:bookmarkEnd w:id="420"/>
      <w:bookmarkEnd w:id="421"/>
      <w:bookmarkEnd w:id="422"/>
      <w:bookmarkEnd w:id="423"/>
      <w:bookmarkEnd w:id="424"/>
      <w:bookmarkEnd w:id="425"/>
    </w:p>
    <w:p>
      <w:pPr>
        <w:spacing w:line="440" w:lineRule="atLeast"/>
        <w:ind w:firstLine="422" w:firstLineChars="200"/>
        <w:outlineLvl w:val="2"/>
        <w:rPr>
          <w:rFonts w:ascii="宋体" w:hAnsi="宋体" w:cs="宋体"/>
          <w:b/>
          <w:bCs/>
          <w:color w:val="auto"/>
          <w:szCs w:val="21"/>
          <w:highlight w:val="none"/>
        </w:rPr>
      </w:pPr>
      <w:bookmarkStart w:id="426" w:name="_Toc35425098"/>
      <w:bookmarkStart w:id="427" w:name="_Toc144974543"/>
      <w:bookmarkStart w:id="428" w:name="_Toc35947215"/>
      <w:bookmarkStart w:id="429" w:name="_Toc15058895"/>
      <w:bookmarkStart w:id="430" w:name="_Toc152042351"/>
      <w:bookmarkStart w:id="431" w:name="_Toc13610"/>
      <w:bookmarkStart w:id="432" w:name="_Toc246996962"/>
      <w:bookmarkStart w:id="433" w:name="_Toc296590983"/>
      <w:bookmarkStart w:id="434" w:name="_Toc247085733"/>
      <w:bookmarkStart w:id="435" w:name="_Toc152045575"/>
      <w:bookmarkStart w:id="436" w:name="_Toc296602462"/>
      <w:bookmarkStart w:id="437" w:name="_Toc1964"/>
      <w:bookmarkStart w:id="438" w:name="_Toc35424932"/>
      <w:bookmarkStart w:id="439" w:name="_Toc246996219"/>
      <w:bookmarkStart w:id="440" w:name="_Toc179632593"/>
      <w:bookmarkStart w:id="441" w:name="_Toc506107310"/>
      <w:bookmarkStart w:id="442" w:name="_Toc11235"/>
      <w:bookmarkStart w:id="443" w:name="_Toc324404857"/>
      <w:r>
        <w:rPr>
          <w:rFonts w:hint="eastAsia" w:ascii="宋体" w:hAnsi="宋体" w:cs="宋体"/>
          <w:b/>
          <w:bCs/>
          <w:color w:val="auto"/>
          <w:szCs w:val="21"/>
          <w:highlight w:val="none"/>
        </w:rPr>
        <w:t>8.1 对采购人的纪律要求</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采购人不得泄漏招标投标活动中应当保密的情况和资料，不得与投标人串通损害国家利益、社会公共利益或者他人合法权益。</w:t>
      </w:r>
    </w:p>
    <w:p>
      <w:pPr>
        <w:spacing w:line="440" w:lineRule="atLeast"/>
        <w:ind w:firstLine="422" w:firstLineChars="200"/>
        <w:outlineLvl w:val="2"/>
        <w:rPr>
          <w:rFonts w:ascii="宋体" w:hAnsi="宋体" w:cs="宋体"/>
          <w:b/>
          <w:bCs/>
          <w:color w:val="auto"/>
          <w:szCs w:val="21"/>
          <w:highlight w:val="none"/>
        </w:rPr>
      </w:pPr>
      <w:bookmarkStart w:id="444" w:name="_Toc152042352"/>
      <w:bookmarkStart w:id="445" w:name="_Toc15058896"/>
      <w:bookmarkStart w:id="446" w:name="_Toc179632594"/>
      <w:bookmarkStart w:id="447" w:name="_Toc247085734"/>
      <w:bookmarkStart w:id="448" w:name="_Toc17314"/>
      <w:bookmarkStart w:id="449" w:name="_Toc324404858"/>
      <w:bookmarkStart w:id="450" w:name="_Toc35425099"/>
      <w:bookmarkStart w:id="451" w:name="_Toc296602463"/>
      <w:bookmarkStart w:id="452" w:name="_Toc35947216"/>
      <w:bookmarkStart w:id="453" w:name="_Toc246996220"/>
      <w:bookmarkStart w:id="454" w:name="_Toc246996963"/>
      <w:bookmarkStart w:id="455" w:name="_Toc152045576"/>
      <w:bookmarkStart w:id="456" w:name="_Toc35424933"/>
      <w:bookmarkStart w:id="457" w:name="_Toc19504"/>
      <w:bookmarkStart w:id="458" w:name="_Toc506107311"/>
      <w:bookmarkStart w:id="459" w:name="_Toc17475"/>
      <w:bookmarkStart w:id="460" w:name="_Toc144974544"/>
      <w:r>
        <w:rPr>
          <w:rFonts w:hint="eastAsia" w:ascii="宋体" w:hAnsi="宋体" w:cs="宋体"/>
          <w:b/>
          <w:bCs/>
          <w:color w:val="auto"/>
          <w:szCs w:val="21"/>
          <w:highlight w:val="none"/>
        </w:rPr>
        <w:t>8.2 对投标人的纪律要求</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440" w:lineRule="atLeast"/>
        <w:ind w:firstLine="422" w:firstLineChars="200"/>
        <w:outlineLvl w:val="2"/>
        <w:rPr>
          <w:rFonts w:ascii="宋体" w:hAnsi="宋体" w:cs="宋体"/>
          <w:b/>
          <w:bCs/>
          <w:color w:val="auto"/>
          <w:szCs w:val="21"/>
          <w:highlight w:val="none"/>
        </w:rPr>
      </w:pPr>
      <w:bookmarkStart w:id="461" w:name="_Toc35425100"/>
      <w:bookmarkStart w:id="462" w:name="_Toc23747"/>
      <w:bookmarkStart w:id="463" w:name="_Toc506107312"/>
      <w:bookmarkStart w:id="464" w:name="_Toc35424934"/>
      <w:bookmarkStart w:id="465" w:name="_Toc324404859"/>
      <w:bookmarkStart w:id="466" w:name="_Toc247085735"/>
      <w:bookmarkStart w:id="467" w:name="_Toc296602464"/>
      <w:bookmarkStart w:id="468" w:name="_Toc35947217"/>
      <w:bookmarkStart w:id="469" w:name="_Toc15058897"/>
      <w:bookmarkStart w:id="470" w:name="_Toc144974545"/>
      <w:bookmarkStart w:id="471" w:name="_Toc246996964"/>
      <w:bookmarkStart w:id="472" w:name="_Toc5965"/>
      <w:bookmarkStart w:id="473" w:name="_Toc179632595"/>
      <w:bookmarkStart w:id="474" w:name="_Toc152045577"/>
      <w:bookmarkStart w:id="475" w:name="_Toc246996221"/>
      <w:bookmarkStart w:id="476" w:name="_Toc152042353"/>
      <w:bookmarkStart w:id="477" w:name="_Toc15259"/>
      <w:r>
        <w:rPr>
          <w:rFonts w:hint="eastAsia" w:ascii="宋体" w:hAnsi="宋体" w:cs="宋体"/>
          <w:b/>
          <w:bCs/>
          <w:color w:val="auto"/>
          <w:szCs w:val="21"/>
          <w:highlight w:val="none"/>
        </w:rPr>
        <w:t>8.3 对评标委员会成员的纪律要求</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40" w:lineRule="atLeast"/>
        <w:ind w:firstLine="422" w:firstLineChars="200"/>
        <w:outlineLvl w:val="2"/>
        <w:rPr>
          <w:rFonts w:ascii="宋体" w:hAnsi="宋体" w:cs="宋体"/>
          <w:b/>
          <w:bCs/>
          <w:color w:val="auto"/>
          <w:szCs w:val="21"/>
          <w:highlight w:val="none"/>
        </w:rPr>
      </w:pPr>
      <w:bookmarkStart w:id="478" w:name="_Toc35424935"/>
      <w:bookmarkStart w:id="479" w:name="_Toc35425101"/>
      <w:bookmarkStart w:id="480" w:name="_Toc152042354"/>
      <w:bookmarkStart w:id="481" w:name="_Toc506107313"/>
      <w:bookmarkStart w:id="482" w:name="_Toc179632596"/>
      <w:bookmarkStart w:id="483" w:name="_Toc24693"/>
      <w:bookmarkStart w:id="484" w:name="_Toc32603"/>
      <w:bookmarkStart w:id="485" w:name="_Toc246996222"/>
      <w:bookmarkStart w:id="486" w:name="_Toc246996965"/>
      <w:bookmarkStart w:id="487" w:name="_Toc324404860"/>
      <w:bookmarkStart w:id="488" w:name="_Toc31849"/>
      <w:bookmarkStart w:id="489" w:name="_Toc15058898"/>
      <w:bookmarkStart w:id="490" w:name="_Toc152045578"/>
      <w:bookmarkStart w:id="491" w:name="_Toc35947218"/>
      <w:bookmarkStart w:id="492" w:name="_Toc296602465"/>
      <w:bookmarkStart w:id="493" w:name="_Toc247085736"/>
      <w:bookmarkStart w:id="494" w:name="_Toc144974546"/>
      <w:r>
        <w:rPr>
          <w:rFonts w:hint="eastAsia" w:ascii="宋体" w:hAnsi="宋体" w:cs="宋体"/>
          <w:b/>
          <w:bCs/>
          <w:color w:val="auto"/>
          <w:szCs w:val="21"/>
          <w:highlight w:val="none"/>
        </w:rPr>
        <w:t>8.4 对与评标活动有关的工作人员的纪律要求</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spacing w:line="440" w:lineRule="atLeast"/>
        <w:ind w:firstLine="420" w:firstLineChars="200"/>
        <w:rPr>
          <w:rFonts w:ascii="宋体" w:hAnsi="宋体" w:cs="宋体"/>
          <w:color w:val="auto"/>
          <w:szCs w:val="21"/>
          <w:highlight w:val="none"/>
        </w:rPr>
      </w:pPr>
      <w:bookmarkStart w:id="495" w:name="_Toc152042355"/>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95"/>
    </w:p>
    <w:p>
      <w:pPr>
        <w:spacing w:line="440" w:lineRule="atLeast"/>
        <w:ind w:firstLine="422" w:firstLineChars="200"/>
        <w:outlineLvl w:val="2"/>
        <w:rPr>
          <w:rFonts w:ascii="宋体" w:hAnsi="宋体" w:cs="宋体"/>
          <w:b/>
          <w:bCs/>
          <w:color w:val="auto"/>
          <w:szCs w:val="21"/>
          <w:highlight w:val="none"/>
        </w:rPr>
      </w:pPr>
      <w:bookmarkStart w:id="496" w:name="_Toc35424936"/>
      <w:bookmarkStart w:id="497" w:name="_Toc35947219"/>
      <w:bookmarkStart w:id="498" w:name="_Toc2154"/>
      <w:bookmarkStart w:id="499" w:name="_Toc324404861"/>
      <w:bookmarkStart w:id="500" w:name="_Toc15058899"/>
      <w:bookmarkStart w:id="501" w:name="_Toc152042356"/>
      <w:bookmarkStart w:id="502" w:name="_Toc506107314"/>
      <w:bookmarkStart w:id="503" w:name="_Toc12207"/>
      <w:bookmarkStart w:id="504" w:name="_Toc247085737"/>
      <w:bookmarkStart w:id="505" w:name="_Toc152045579"/>
      <w:bookmarkStart w:id="506" w:name="_Toc179632597"/>
      <w:bookmarkStart w:id="507" w:name="_Toc22416"/>
      <w:bookmarkStart w:id="508" w:name="_Toc246996966"/>
      <w:bookmarkStart w:id="509" w:name="_Toc35425102"/>
      <w:bookmarkStart w:id="510" w:name="_Toc246996223"/>
      <w:bookmarkStart w:id="511" w:name="_Toc296602466"/>
      <w:r>
        <w:rPr>
          <w:rFonts w:hint="eastAsia" w:ascii="宋体" w:hAnsi="宋体" w:cs="宋体"/>
          <w:b/>
          <w:bCs/>
          <w:color w:val="auto"/>
          <w:szCs w:val="21"/>
          <w:highlight w:val="none"/>
        </w:rPr>
        <w:t>8.5 投诉</w:t>
      </w:r>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8.5.1投标人和其他利害关系人认为本次招标活动违反法律、法规和规章规定的，有权向有关行政监督部门投诉。投诉应当有明确的请求和必要的证明材料。</w:t>
      </w:r>
    </w:p>
    <w:p>
      <w:pPr>
        <w:spacing w:line="44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8.5.2投标人和其他利害关系人对评标结果等事项投诉的，应当在开标期间或公示期间，先向采购人提出异议。</w:t>
      </w:r>
      <w:r>
        <w:rPr>
          <w:rFonts w:hint="eastAsia" w:ascii="宋体" w:hAnsi="宋体" w:cs="宋体"/>
          <w:b/>
          <w:bCs/>
          <w:color w:val="auto"/>
          <w:szCs w:val="21"/>
          <w:highlight w:val="none"/>
        </w:rPr>
        <w:t>注：一份质疑（异议）函只能针对一个项目提出质疑（异议），且针对同一招标采购程序环节的质疑（异议）应当一次性提出。</w:t>
      </w:r>
    </w:p>
    <w:p>
      <w:pPr>
        <w:spacing w:line="440" w:lineRule="atLeast"/>
        <w:ind w:firstLine="422" w:firstLineChars="200"/>
        <w:outlineLvl w:val="2"/>
        <w:rPr>
          <w:rFonts w:ascii="宋体" w:hAnsi="宋体" w:cs="宋体"/>
          <w:b/>
          <w:bCs/>
          <w:color w:val="auto"/>
          <w:szCs w:val="21"/>
          <w:highlight w:val="none"/>
        </w:rPr>
      </w:pPr>
      <w:bookmarkStart w:id="512" w:name="_Toc35424937"/>
      <w:bookmarkStart w:id="513" w:name="_Toc179632598"/>
      <w:bookmarkStart w:id="514" w:name="_Toc324404862"/>
      <w:bookmarkStart w:id="515" w:name="_Toc152042357"/>
      <w:bookmarkStart w:id="516" w:name="_Toc246996224"/>
      <w:bookmarkStart w:id="517" w:name="_Toc296"/>
      <w:bookmarkStart w:id="518" w:name="_Toc152045580"/>
      <w:bookmarkStart w:id="519" w:name="_Toc35425103"/>
      <w:bookmarkStart w:id="520" w:name="_Toc35947220"/>
      <w:bookmarkStart w:id="521" w:name="_Toc18012"/>
      <w:bookmarkStart w:id="522" w:name="_Toc247085738"/>
      <w:bookmarkStart w:id="523" w:name="_Toc15058900"/>
      <w:bookmarkStart w:id="524" w:name="_Toc506107315"/>
      <w:bookmarkStart w:id="525" w:name="_Toc144974547"/>
      <w:bookmarkStart w:id="526" w:name="_Toc246996967"/>
      <w:bookmarkStart w:id="527" w:name="_Toc24040"/>
      <w:bookmarkStart w:id="528" w:name="_Toc23899"/>
      <w:r>
        <w:rPr>
          <w:rFonts w:hint="eastAsia" w:ascii="宋体" w:hAnsi="宋体" w:cs="宋体"/>
          <w:b/>
          <w:bCs/>
          <w:color w:val="auto"/>
          <w:szCs w:val="21"/>
          <w:highlight w:val="none"/>
        </w:rPr>
        <w:t>9.需要补充的其他内容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pPr>
        <w:spacing w:line="440" w:lineRule="atLeast"/>
        <w:ind w:firstLine="420" w:firstLineChars="200"/>
        <w:rPr>
          <w:rFonts w:ascii="宋体" w:hAnsi="宋体" w:cs="宋体"/>
          <w:color w:val="auto"/>
          <w:szCs w:val="21"/>
          <w:highlight w:val="none"/>
        </w:rPr>
      </w:pPr>
      <w:bookmarkStart w:id="529" w:name="_Toc15058901"/>
      <w:r>
        <w:rPr>
          <w:rFonts w:hint="eastAsia" w:ascii="宋体" w:hAnsi="宋体" w:cs="宋体"/>
          <w:color w:val="auto"/>
          <w:szCs w:val="21"/>
          <w:highlight w:val="none"/>
        </w:rPr>
        <w:t>需要补充的其他内容：见投标人须知前附表。</w:t>
      </w:r>
      <w:bookmarkEnd w:id="529"/>
    </w:p>
    <w:p>
      <w:pPr>
        <w:pStyle w:val="3"/>
        <w:jc w:val="both"/>
        <w:rPr>
          <w:rFonts w:hint="eastAsia"/>
          <w:color w:val="auto"/>
          <w:sz w:val="28"/>
          <w:szCs w:val="28"/>
          <w:highlight w:val="none"/>
        </w:rPr>
      </w:pPr>
      <w:bookmarkStart w:id="530" w:name="_Toc27356"/>
      <w:bookmarkStart w:id="531" w:name="_Toc6133"/>
      <w:bookmarkStart w:id="532" w:name="_Toc1436"/>
      <w:bookmarkStart w:id="533" w:name="_Toc9676"/>
    </w:p>
    <w:p>
      <w:pPr>
        <w:rPr>
          <w:rFonts w:hint="eastAsia"/>
          <w:color w:val="auto"/>
          <w:sz w:val="28"/>
          <w:szCs w:val="28"/>
          <w:highlight w:val="none"/>
        </w:rPr>
      </w:pPr>
    </w:p>
    <w:p>
      <w:pPr>
        <w:pStyle w:val="49"/>
        <w:rPr>
          <w:rFonts w:hint="eastAsia"/>
          <w:color w:val="auto"/>
          <w:sz w:val="28"/>
          <w:szCs w:val="28"/>
          <w:highlight w:val="none"/>
        </w:rPr>
      </w:pPr>
    </w:p>
    <w:p>
      <w:pPr>
        <w:pStyle w:val="21"/>
        <w:rPr>
          <w:rFonts w:hint="eastAsia"/>
          <w:color w:val="auto"/>
          <w:sz w:val="28"/>
          <w:szCs w:val="28"/>
          <w:highlight w:val="none"/>
        </w:rPr>
      </w:pPr>
    </w:p>
    <w:p>
      <w:pPr>
        <w:pStyle w:val="17"/>
        <w:rPr>
          <w:rFonts w:hint="eastAsia"/>
          <w:color w:val="auto"/>
          <w:sz w:val="28"/>
          <w:szCs w:val="28"/>
          <w:highlight w:val="none"/>
        </w:rPr>
      </w:pPr>
    </w:p>
    <w:p>
      <w:pPr>
        <w:rPr>
          <w:rFonts w:hint="eastAsia"/>
          <w:color w:val="auto"/>
          <w:sz w:val="28"/>
          <w:szCs w:val="28"/>
          <w:highlight w:val="none"/>
        </w:rPr>
      </w:pPr>
    </w:p>
    <w:p>
      <w:pPr>
        <w:pStyle w:val="49"/>
        <w:rPr>
          <w:rFonts w:hint="eastAsia"/>
          <w:color w:val="auto"/>
          <w:sz w:val="28"/>
          <w:szCs w:val="28"/>
          <w:highlight w:val="none"/>
        </w:rPr>
      </w:pPr>
    </w:p>
    <w:p>
      <w:pPr>
        <w:pStyle w:val="21"/>
        <w:rPr>
          <w:rFonts w:hint="eastAsia"/>
          <w:color w:val="auto"/>
          <w:sz w:val="28"/>
          <w:szCs w:val="28"/>
          <w:highlight w:val="none"/>
        </w:rPr>
      </w:pPr>
    </w:p>
    <w:p>
      <w:pPr>
        <w:pStyle w:val="17"/>
        <w:rPr>
          <w:rFonts w:hint="eastAsia"/>
          <w:color w:val="auto"/>
          <w:sz w:val="28"/>
          <w:szCs w:val="28"/>
          <w:highlight w:val="none"/>
        </w:rPr>
      </w:pPr>
    </w:p>
    <w:p>
      <w:pPr>
        <w:rPr>
          <w:rFonts w:hint="eastAsia"/>
          <w:color w:val="auto"/>
          <w:sz w:val="28"/>
          <w:szCs w:val="28"/>
          <w:highlight w:val="none"/>
        </w:rPr>
      </w:pPr>
    </w:p>
    <w:p>
      <w:pPr>
        <w:pStyle w:val="49"/>
        <w:rPr>
          <w:rFonts w:hint="eastAsia"/>
          <w:color w:val="auto"/>
          <w:sz w:val="28"/>
          <w:szCs w:val="28"/>
          <w:highlight w:val="none"/>
        </w:rPr>
      </w:pPr>
    </w:p>
    <w:p>
      <w:pPr>
        <w:pStyle w:val="21"/>
        <w:rPr>
          <w:rFonts w:hint="eastAsia"/>
          <w:color w:val="auto"/>
          <w:sz w:val="28"/>
          <w:szCs w:val="28"/>
          <w:highlight w:val="none"/>
        </w:rPr>
      </w:pPr>
    </w:p>
    <w:p>
      <w:pPr>
        <w:pStyle w:val="17"/>
        <w:rPr>
          <w:rFonts w:hint="eastAsia"/>
          <w:color w:val="auto"/>
          <w:highlight w:val="none"/>
        </w:rPr>
      </w:pPr>
    </w:p>
    <w:p>
      <w:pPr>
        <w:pStyle w:val="49"/>
        <w:rPr>
          <w:rFonts w:hint="eastAsia"/>
          <w:color w:val="auto"/>
          <w:highlight w:val="none"/>
        </w:rPr>
      </w:pPr>
    </w:p>
    <w:p>
      <w:pPr>
        <w:pStyle w:val="21"/>
        <w:rPr>
          <w:rFonts w:hint="eastAsia"/>
          <w:color w:val="auto"/>
          <w:highlight w:val="none"/>
        </w:rPr>
      </w:pPr>
    </w:p>
    <w:p>
      <w:pPr>
        <w:pStyle w:val="17"/>
        <w:rPr>
          <w:rFonts w:hint="eastAsia"/>
          <w:color w:val="auto"/>
          <w:highlight w:val="none"/>
        </w:rPr>
      </w:pPr>
    </w:p>
    <w:p>
      <w:pPr>
        <w:rPr>
          <w:rFonts w:hint="eastAsia"/>
          <w:color w:val="auto"/>
          <w:highlight w:val="none"/>
        </w:rPr>
      </w:pPr>
    </w:p>
    <w:p>
      <w:pPr>
        <w:pStyle w:val="49"/>
        <w:rPr>
          <w:rFonts w:hint="eastAsia"/>
          <w:highlight w:val="none"/>
        </w:rPr>
      </w:pPr>
    </w:p>
    <w:p>
      <w:pPr>
        <w:pStyle w:val="3"/>
        <w:jc w:val="center"/>
        <w:rPr>
          <w:color w:val="auto"/>
          <w:sz w:val="28"/>
          <w:szCs w:val="28"/>
          <w:highlight w:val="none"/>
        </w:rPr>
      </w:pPr>
      <w:r>
        <w:rPr>
          <w:rFonts w:hint="eastAsia"/>
          <w:color w:val="auto"/>
          <w:sz w:val="28"/>
          <w:szCs w:val="28"/>
          <w:highlight w:val="none"/>
        </w:rPr>
        <w:t>第</w:t>
      </w:r>
      <w:r>
        <w:rPr>
          <w:rFonts w:hint="eastAsia"/>
          <w:color w:val="auto"/>
          <w:sz w:val="28"/>
          <w:szCs w:val="28"/>
          <w:highlight w:val="none"/>
          <w:lang w:val="en-US" w:eastAsia="zh-CN"/>
        </w:rPr>
        <w:t>三</w:t>
      </w:r>
      <w:r>
        <w:rPr>
          <w:rFonts w:hint="eastAsia"/>
          <w:color w:val="auto"/>
          <w:sz w:val="28"/>
          <w:szCs w:val="28"/>
          <w:highlight w:val="none"/>
        </w:rPr>
        <w:t>章  评标办法</w:t>
      </w:r>
      <w:bookmarkEnd w:id="530"/>
      <w:bookmarkEnd w:id="531"/>
      <w:bookmarkEnd w:id="532"/>
      <w:bookmarkEnd w:id="533"/>
    </w:p>
    <w:bookmarkEnd w:id="47"/>
    <w:p>
      <w:pPr>
        <w:spacing w:line="440" w:lineRule="exact"/>
        <w:jc w:val="center"/>
        <w:outlineLvl w:val="1"/>
        <w:rPr>
          <w:rFonts w:ascii="宋体"/>
          <w:b/>
          <w:color w:val="auto"/>
          <w:sz w:val="28"/>
          <w:szCs w:val="28"/>
          <w:highlight w:val="none"/>
        </w:rPr>
      </w:pPr>
      <w:bookmarkStart w:id="534" w:name="_Toc449028877"/>
      <w:bookmarkStart w:id="535" w:name="_Toc58430317"/>
      <w:bookmarkStart w:id="536" w:name="_Toc362983801"/>
      <w:r>
        <w:rPr>
          <w:rFonts w:hint="eastAsia" w:ascii="宋体"/>
          <w:b/>
          <w:color w:val="auto"/>
          <w:sz w:val="28"/>
          <w:szCs w:val="28"/>
          <w:highlight w:val="none"/>
        </w:rPr>
        <w:t>一、总则</w:t>
      </w:r>
      <w:bookmarkEnd w:id="534"/>
      <w:bookmarkEnd w:id="535"/>
      <w:bookmarkEnd w:id="536"/>
    </w:p>
    <w:p>
      <w:pPr>
        <w:spacing w:line="440" w:lineRule="exact"/>
        <w:ind w:firstLine="316" w:firstLineChars="150"/>
        <w:jc w:val="left"/>
        <w:rPr>
          <w:rFonts w:ascii="宋体" w:hAnsi="宋体" w:cs="宋体"/>
          <w:b/>
          <w:color w:val="auto"/>
          <w:szCs w:val="21"/>
          <w:highlight w:val="none"/>
        </w:rPr>
      </w:pPr>
      <w:r>
        <w:rPr>
          <w:rFonts w:hint="eastAsia" w:ascii="宋体" w:hAnsi="宋体" w:cs="宋体"/>
          <w:b/>
          <w:color w:val="auto"/>
          <w:szCs w:val="21"/>
          <w:highlight w:val="none"/>
        </w:rPr>
        <w:t xml:space="preserve"> 1. 本次评标采用综合评分法</w:t>
      </w:r>
    </w:p>
    <w:p>
      <w:pPr>
        <w:spacing w:line="400" w:lineRule="exact"/>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1.1综合评分法是指投标文件满足招标文件全部实质性要求且按照评审因素的量化指标评审总得分从高到低的投标人为中标候选人的评标方法。</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1.2综合评分法一般适用于较为复杂、评价指标难以量化且价格为非主要因素的非标准定制商品和非通用服务项目的项目评审。</w:t>
      </w:r>
    </w:p>
    <w:p>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2．评标程序</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2.1投标文件的初审</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2.1.1资格性检查。依据法律法规和招标文件的规定，对投标文件中的资格证明进行审查，以确定投标人是否具备投标资格。 </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2.1.2符合性检查。依据招标文件的规定，从投标文件的有效性、完整性和对招标文件的响应程度进行审查，以确定投标人是否对招标文件的实质性要求作出响应。</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2.2投标文件的澄清</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在评标过程中，评标委员会认为需要，在见证人员在场的情况下，可要求投标单位对投标文件中的有关问题进行澄清或提供补充说明及有关资料，投标单位应做出书面答复。书面答复中不得变更价格、供货期、自报质量等实质性内容。</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书面答复须经投标单位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2.2.3  采购人不接受投标单位主动提出的澄清。</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2.3比较与评价</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2．3.1按招标文件中规定的评标方法和标准，对资格性检查和符合性检查合格的投标文件进行资信、商务和技术评估，综合比较与评价。 </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2.4推荐中标候选人名单</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2.4.1中标候选人数量应当根据采购需要确定，但必须按顺序排列中标候选人。</w:t>
      </w:r>
    </w:p>
    <w:p>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2.5在投标文件的审查、澄清、评价和比较以及授予合同过程中，投标单位对招标单位和评标委员会成员施加影响的任何行为，都将导致取消其中标资格。</w:t>
      </w:r>
    </w:p>
    <w:p>
      <w:pPr>
        <w:spacing w:line="440" w:lineRule="exact"/>
        <w:ind w:firstLine="562" w:firstLineChars="200"/>
        <w:jc w:val="left"/>
        <w:rPr>
          <w:rFonts w:ascii="宋体"/>
          <w:b/>
          <w:color w:val="auto"/>
          <w:sz w:val="28"/>
          <w:szCs w:val="28"/>
          <w:highlight w:val="none"/>
        </w:rPr>
      </w:pPr>
    </w:p>
    <w:p>
      <w:pPr>
        <w:jc w:val="center"/>
        <w:outlineLvl w:val="1"/>
        <w:rPr>
          <w:rFonts w:ascii="宋体"/>
          <w:b/>
          <w:color w:val="auto"/>
          <w:sz w:val="28"/>
          <w:szCs w:val="28"/>
          <w:highlight w:val="none"/>
        </w:rPr>
      </w:pPr>
      <w:bookmarkStart w:id="537" w:name="_Toc29031"/>
      <w:bookmarkStart w:id="538" w:name="_Toc17428"/>
      <w:bookmarkStart w:id="539" w:name="_Toc31035"/>
    </w:p>
    <w:p>
      <w:pPr>
        <w:jc w:val="center"/>
        <w:outlineLvl w:val="1"/>
        <w:rPr>
          <w:rFonts w:ascii="宋体"/>
          <w:b/>
          <w:color w:val="auto"/>
          <w:sz w:val="28"/>
          <w:szCs w:val="28"/>
          <w:highlight w:val="none"/>
        </w:rPr>
      </w:pPr>
      <w:r>
        <w:rPr>
          <w:rFonts w:hint="eastAsia" w:ascii="宋体"/>
          <w:b/>
          <w:color w:val="auto"/>
          <w:sz w:val="28"/>
          <w:szCs w:val="28"/>
          <w:highlight w:val="none"/>
        </w:rPr>
        <w:t>二  投标文件初审</w:t>
      </w:r>
      <w:bookmarkEnd w:id="537"/>
      <w:bookmarkEnd w:id="538"/>
      <w:bookmarkEnd w:id="539"/>
    </w:p>
    <w:p>
      <w:pPr>
        <w:spacing w:line="400" w:lineRule="exact"/>
        <w:ind w:firstLine="310" w:firstLineChars="147"/>
        <w:rPr>
          <w:rFonts w:ascii="宋体"/>
          <w:b/>
          <w:color w:val="auto"/>
          <w:szCs w:val="21"/>
          <w:highlight w:val="none"/>
        </w:rPr>
      </w:pPr>
      <w:r>
        <w:rPr>
          <w:rFonts w:hint="eastAsia" w:ascii="宋体"/>
          <w:b/>
          <w:color w:val="auto"/>
          <w:szCs w:val="21"/>
          <w:highlight w:val="none"/>
        </w:rPr>
        <w:t>3.资格性审查:</w:t>
      </w:r>
    </w:p>
    <w:p>
      <w:pPr>
        <w:spacing w:line="400" w:lineRule="exact"/>
        <w:ind w:firstLine="308" w:firstLineChars="147"/>
        <w:rPr>
          <w:color w:val="auto"/>
          <w:szCs w:val="21"/>
          <w:highlight w:val="none"/>
        </w:rPr>
      </w:pPr>
      <w:r>
        <w:rPr>
          <w:rFonts w:hint="eastAsia" w:ascii="宋体"/>
          <w:color w:val="auto"/>
          <w:szCs w:val="21"/>
          <w:highlight w:val="none"/>
        </w:rPr>
        <w:t>3.1</w:t>
      </w:r>
      <w:r>
        <w:rPr>
          <w:rFonts w:hint="eastAsia"/>
          <w:color w:val="auto"/>
          <w:szCs w:val="21"/>
          <w:highlight w:val="none"/>
        </w:rPr>
        <w:t>评审细则</w:t>
      </w:r>
    </w:p>
    <w:tbl>
      <w:tblPr>
        <w:tblStyle w:val="50"/>
        <w:tblW w:w="9349" w:type="dxa"/>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27"/>
        <w:gridCol w:w="3008"/>
        <w:gridCol w:w="3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85"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535" w:type="dxa"/>
            <w:gridSpan w:val="2"/>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评审因素</w:t>
            </w:r>
          </w:p>
        </w:tc>
        <w:tc>
          <w:tcPr>
            <w:tcW w:w="3929" w:type="dxa"/>
            <w:vAlign w:val="center"/>
          </w:tcPr>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85" w:type="dxa"/>
            <w:vMerge w:val="restar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27" w:type="dxa"/>
            <w:vMerge w:val="restar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重要要求</w:t>
            </w:r>
          </w:p>
        </w:tc>
        <w:tc>
          <w:tcPr>
            <w:tcW w:w="3008"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3929" w:type="dxa"/>
            <w:vAlign w:val="center"/>
          </w:tcPr>
          <w:p>
            <w:pPr>
              <w:spacing w:line="320" w:lineRule="exact"/>
              <w:jc w:val="left"/>
              <w:rPr>
                <w:rFonts w:ascii="宋体" w:hAnsi="宋体" w:cs="宋体"/>
                <w:b/>
                <w:color w:val="auto"/>
                <w:szCs w:val="21"/>
                <w:highlight w:val="none"/>
              </w:rPr>
            </w:pPr>
            <w:r>
              <w:rPr>
                <w:rFonts w:hint="eastAsia" w:ascii="宋体" w:hAnsi="宋体" w:cs="宋体"/>
                <w:b/>
                <w:color w:val="auto"/>
                <w:szCs w:val="21"/>
                <w:highlight w:val="none"/>
              </w:rPr>
              <w:t>法定代表人或其委托代理人携带身份证原件至开标现场（手持或密封均视为携带）。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85" w:type="dxa"/>
            <w:vMerge w:val="continue"/>
            <w:vAlign w:val="center"/>
          </w:tcPr>
          <w:p>
            <w:pPr>
              <w:spacing w:line="320" w:lineRule="exact"/>
              <w:jc w:val="center"/>
              <w:rPr>
                <w:rFonts w:ascii="宋体" w:hAnsi="宋体" w:cs="宋体"/>
                <w:color w:val="auto"/>
                <w:szCs w:val="21"/>
                <w:highlight w:val="none"/>
              </w:rPr>
            </w:pPr>
          </w:p>
        </w:tc>
        <w:tc>
          <w:tcPr>
            <w:tcW w:w="1527" w:type="dxa"/>
            <w:vMerge w:val="continue"/>
            <w:vAlign w:val="center"/>
          </w:tcPr>
          <w:p>
            <w:pPr>
              <w:spacing w:line="320" w:lineRule="exact"/>
              <w:jc w:val="center"/>
              <w:rPr>
                <w:rFonts w:ascii="宋体" w:hAnsi="宋体" w:cs="宋体"/>
                <w:color w:val="auto"/>
                <w:szCs w:val="21"/>
                <w:highlight w:val="none"/>
              </w:rPr>
            </w:pPr>
          </w:p>
        </w:tc>
        <w:tc>
          <w:tcPr>
            <w:tcW w:w="3008"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（2）保证金缴纳情况</w:t>
            </w:r>
          </w:p>
        </w:tc>
        <w:tc>
          <w:tcPr>
            <w:tcW w:w="3929" w:type="dxa"/>
            <w:vAlign w:val="center"/>
          </w:tcPr>
          <w:p>
            <w:pPr>
              <w:spacing w:line="32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885" w:type="dxa"/>
            <w:vMerge w:val="restart"/>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527" w:type="dxa"/>
            <w:vMerge w:val="restart"/>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投标人应符合的基本资格条件</w:t>
            </w:r>
          </w:p>
        </w:tc>
        <w:tc>
          <w:tcPr>
            <w:tcW w:w="3008" w:type="dxa"/>
            <w:vAlign w:val="center"/>
          </w:tcPr>
          <w:p>
            <w:pPr>
              <w:spacing w:line="320" w:lineRule="exact"/>
              <w:rPr>
                <w:rFonts w:ascii="宋体" w:hAnsi="宋体" w:cs="宋体"/>
                <w:color w:val="auto"/>
                <w:szCs w:val="21"/>
                <w:highlight w:val="none"/>
              </w:rPr>
            </w:pPr>
            <w:r>
              <w:rPr>
                <w:rFonts w:hint="eastAsia" w:ascii="宋体" w:hAnsi="宋体" w:cs="宋体"/>
                <w:color w:val="auto"/>
                <w:szCs w:val="21"/>
                <w:highlight w:val="none"/>
              </w:rPr>
              <w:t>（3）具有独立承担民事责任的能力</w:t>
            </w:r>
          </w:p>
        </w:tc>
        <w:tc>
          <w:tcPr>
            <w:tcW w:w="3929" w:type="dxa"/>
            <w:vAlign w:val="center"/>
          </w:tcPr>
          <w:p>
            <w:pPr>
              <w:spacing w:line="320" w:lineRule="exact"/>
              <w:jc w:val="left"/>
              <w:rPr>
                <w:rFonts w:ascii="宋体" w:hAnsi="宋体" w:cs="宋体"/>
                <w:color w:val="auto"/>
                <w:szCs w:val="21"/>
                <w:highlight w:val="none"/>
              </w:rPr>
            </w:pPr>
            <w:r>
              <w:rPr>
                <w:rFonts w:hint="eastAsia" w:ascii="宋体" w:hAnsi="宋体" w:cs="宋体"/>
                <w:b/>
                <w:color w:val="auto"/>
                <w:szCs w:val="21"/>
                <w:highlight w:val="none"/>
              </w:rPr>
              <w:t>评审核验下列证书、证明材料：</w:t>
            </w:r>
          </w:p>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投标人有效的营业执照、税务登记证、组织机构码证（或“三证合一证书”）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85" w:type="dxa"/>
            <w:vMerge w:val="continue"/>
            <w:vAlign w:val="center"/>
          </w:tcPr>
          <w:p>
            <w:pPr>
              <w:spacing w:line="320" w:lineRule="exact"/>
              <w:jc w:val="center"/>
              <w:rPr>
                <w:rFonts w:ascii="宋体" w:hAnsi="宋体" w:cs="宋体"/>
                <w:color w:val="auto"/>
                <w:szCs w:val="21"/>
                <w:highlight w:val="none"/>
              </w:rPr>
            </w:pPr>
          </w:p>
        </w:tc>
        <w:tc>
          <w:tcPr>
            <w:tcW w:w="1527" w:type="dxa"/>
            <w:vMerge w:val="continue"/>
            <w:vAlign w:val="center"/>
          </w:tcPr>
          <w:p>
            <w:pPr>
              <w:spacing w:line="320" w:lineRule="exact"/>
              <w:rPr>
                <w:rFonts w:ascii="宋体" w:hAnsi="宋体" w:cs="宋体"/>
                <w:color w:val="auto"/>
                <w:szCs w:val="21"/>
                <w:highlight w:val="none"/>
              </w:rPr>
            </w:pPr>
          </w:p>
        </w:tc>
        <w:tc>
          <w:tcPr>
            <w:tcW w:w="3008" w:type="dxa"/>
          </w:tcPr>
          <w:p>
            <w:pPr>
              <w:spacing w:line="320" w:lineRule="exact"/>
              <w:rPr>
                <w:rFonts w:ascii="宋体" w:hAnsi="宋体" w:cs="宋体"/>
                <w:color w:val="auto"/>
                <w:szCs w:val="21"/>
                <w:highlight w:val="none"/>
              </w:rPr>
            </w:pPr>
            <w:r>
              <w:rPr>
                <w:rFonts w:hint="eastAsia" w:ascii="宋体" w:hAnsi="宋体" w:cs="宋体"/>
                <w:color w:val="auto"/>
                <w:szCs w:val="21"/>
                <w:highlight w:val="none"/>
              </w:rPr>
              <w:t>（4）诚信投标承诺书</w:t>
            </w:r>
          </w:p>
        </w:tc>
        <w:tc>
          <w:tcPr>
            <w:tcW w:w="3929" w:type="dxa"/>
          </w:tcPr>
          <w:p>
            <w:pPr>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格式见附件</w:t>
            </w:r>
          </w:p>
        </w:tc>
      </w:tr>
    </w:tbl>
    <w:p>
      <w:pPr>
        <w:spacing w:before="312" w:beforeLines="100" w:line="440" w:lineRule="exact"/>
        <w:ind w:firstLine="310" w:firstLineChars="147"/>
        <w:rPr>
          <w:rFonts w:ascii="宋体"/>
          <w:b/>
          <w:color w:val="auto"/>
          <w:szCs w:val="21"/>
          <w:highlight w:val="none"/>
        </w:rPr>
      </w:pPr>
      <w:r>
        <w:rPr>
          <w:rFonts w:hint="eastAsia" w:ascii="宋体"/>
          <w:b/>
          <w:color w:val="auto"/>
          <w:szCs w:val="21"/>
          <w:highlight w:val="none"/>
        </w:rPr>
        <w:t>4.符合性审查</w:t>
      </w:r>
    </w:p>
    <w:p>
      <w:pPr>
        <w:spacing w:line="440" w:lineRule="exact"/>
        <w:ind w:firstLine="315" w:firstLineChars="150"/>
        <w:rPr>
          <w:rFonts w:ascii="宋体"/>
          <w:color w:val="auto"/>
          <w:szCs w:val="21"/>
          <w:highlight w:val="none"/>
        </w:rPr>
      </w:pPr>
      <w:r>
        <w:rPr>
          <w:rFonts w:hint="eastAsia" w:ascii="宋体"/>
          <w:color w:val="auto"/>
          <w:szCs w:val="21"/>
          <w:highlight w:val="none"/>
        </w:rPr>
        <w:t>4．1评审细则</w:t>
      </w:r>
    </w:p>
    <w:tbl>
      <w:tblPr>
        <w:tblStyle w:val="50"/>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pPr>
              <w:spacing w:line="320" w:lineRule="atLeast"/>
              <w:jc w:val="center"/>
              <w:rPr>
                <w:rFonts w:ascii="黑体" w:eastAsia="黑体" w:cs="黑体"/>
                <w:b/>
                <w:bCs/>
                <w:color w:val="auto"/>
                <w:szCs w:val="21"/>
                <w:highlight w:val="none"/>
              </w:rPr>
            </w:pPr>
            <w:r>
              <w:rPr>
                <w:rFonts w:hint="eastAsia" w:ascii="黑体" w:eastAsia="黑体" w:cs="黑体"/>
                <w:b/>
                <w:bCs/>
                <w:color w:val="auto"/>
                <w:szCs w:val="21"/>
                <w:highlight w:val="none"/>
              </w:rPr>
              <w:t>序号</w:t>
            </w:r>
          </w:p>
        </w:tc>
        <w:tc>
          <w:tcPr>
            <w:tcW w:w="4135" w:type="dxa"/>
            <w:gridSpan w:val="2"/>
            <w:vAlign w:val="center"/>
          </w:tcPr>
          <w:p>
            <w:pPr>
              <w:spacing w:line="320" w:lineRule="atLeast"/>
              <w:jc w:val="center"/>
              <w:rPr>
                <w:rFonts w:ascii="黑体" w:eastAsia="黑体" w:cs="黑体"/>
                <w:b/>
                <w:bCs/>
                <w:color w:val="auto"/>
                <w:szCs w:val="21"/>
                <w:highlight w:val="none"/>
              </w:rPr>
            </w:pPr>
            <w:r>
              <w:rPr>
                <w:rFonts w:hint="eastAsia" w:ascii="黑体" w:eastAsia="黑体" w:cs="黑体"/>
                <w:b/>
                <w:bCs/>
                <w:color w:val="auto"/>
                <w:szCs w:val="21"/>
                <w:highlight w:val="none"/>
              </w:rPr>
              <w:t>审查因素</w:t>
            </w:r>
          </w:p>
        </w:tc>
        <w:tc>
          <w:tcPr>
            <w:tcW w:w="4602" w:type="dxa"/>
            <w:vAlign w:val="center"/>
          </w:tcPr>
          <w:p>
            <w:pPr>
              <w:spacing w:line="320" w:lineRule="atLeast"/>
              <w:jc w:val="center"/>
              <w:rPr>
                <w:rFonts w:ascii="黑体" w:eastAsia="黑体" w:cs="黑体"/>
                <w:b/>
                <w:bCs/>
                <w:color w:val="auto"/>
                <w:szCs w:val="21"/>
                <w:highlight w:val="none"/>
              </w:rPr>
            </w:pPr>
            <w:r>
              <w:rPr>
                <w:rFonts w:hint="eastAsia" w:ascii="黑体" w:eastAsia="黑体" w:cs="黑体"/>
                <w:b/>
                <w:bCs/>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vAlign w:val="center"/>
          </w:tcPr>
          <w:p>
            <w:pPr>
              <w:spacing w:line="320" w:lineRule="atLeast"/>
              <w:jc w:val="center"/>
              <w:rPr>
                <w:rFonts w:ascii="宋体"/>
                <w:color w:val="auto"/>
                <w:szCs w:val="21"/>
                <w:highlight w:val="none"/>
              </w:rPr>
            </w:pPr>
            <w:r>
              <w:rPr>
                <w:rFonts w:hint="eastAsia" w:ascii="宋体"/>
                <w:color w:val="auto"/>
                <w:szCs w:val="21"/>
                <w:highlight w:val="none"/>
              </w:rPr>
              <w:t>1</w:t>
            </w:r>
          </w:p>
        </w:tc>
        <w:tc>
          <w:tcPr>
            <w:tcW w:w="1204" w:type="dxa"/>
            <w:vMerge w:val="restart"/>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标书的有效 性</w:t>
            </w:r>
          </w:p>
        </w:tc>
        <w:tc>
          <w:tcPr>
            <w:tcW w:w="2931"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（1）投标文件签署</w:t>
            </w:r>
          </w:p>
        </w:tc>
        <w:tc>
          <w:tcPr>
            <w:tcW w:w="4602"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签字、盖章符合要求。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pPr>
              <w:spacing w:line="320" w:lineRule="atLeast"/>
              <w:rPr>
                <w:color w:val="auto"/>
                <w:highlight w:val="none"/>
              </w:rPr>
            </w:pPr>
          </w:p>
        </w:tc>
        <w:tc>
          <w:tcPr>
            <w:tcW w:w="1204" w:type="dxa"/>
            <w:vMerge w:val="continue"/>
            <w:vAlign w:val="center"/>
          </w:tcPr>
          <w:p>
            <w:pPr>
              <w:spacing w:line="320" w:lineRule="atLeast"/>
              <w:rPr>
                <w:color w:val="auto"/>
                <w:highlight w:val="none"/>
              </w:rPr>
            </w:pPr>
          </w:p>
        </w:tc>
        <w:tc>
          <w:tcPr>
            <w:tcW w:w="2931" w:type="dxa"/>
            <w:vAlign w:val="center"/>
          </w:tcPr>
          <w:p>
            <w:pPr>
              <w:spacing w:line="320" w:lineRule="atLeast"/>
              <w:rPr>
                <w:rFonts w:ascii="宋体" w:cs="仿宋_GB2312"/>
                <w:color w:val="auto"/>
                <w:szCs w:val="21"/>
                <w:highlight w:val="none"/>
                <w:lang w:val="zh-CN"/>
              </w:rPr>
            </w:pPr>
            <w:r>
              <w:rPr>
                <w:rFonts w:hint="eastAsia" w:ascii="宋体"/>
                <w:color w:val="auto"/>
                <w:szCs w:val="21"/>
                <w:highlight w:val="none"/>
              </w:rPr>
              <w:t>（2）报价唯一</w:t>
            </w:r>
          </w:p>
        </w:tc>
        <w:tc>
          <w:tcPr>
            <w:tcW w:w="4602" w:type="dxa"/>
            <w:vAlign w:val="center"/>
          </w:tcPr>
          <w:p>
            <w:pPr>
              <w:spacing w:line="320" w:lineRule="atLeast"/>
              <w:rPr>
                <w:rFonts w:ascii="宋体" w:cs="宋体"/>
                <w:color w:val="auto"/>
                <w:szCs w:val="21"/>
                <w:highlight w:val="none"/>
              </w:rPr>
            </w:pPr>
            <w:r>
              <w:rPr>
                <w:rFonts w:hint="eastAsia" w:ascii="宋体" w:cs="仿宋_GB2312"/>
                <w:color w:val="auto"/>
                <w:szCs w:val="21"/>
                <w:highlight w:val="none"/>
                <w:lang w:val="zh-CN"/>
              </w:rPr>
              <w:t>只能在限价范围内报价，</w:t>
            </w:r>
            <w:r>
              <w:rPr>
                <w:rFonts w:hint="eastAsia" w:ascii="宋体"/>
                <w:color w:val="auto"/>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731" w:type="dxa"/>
            <w:vMerge w:val="continue"/>
            <w:vAlign w:val="center"/>
          </w:tcPr>
          <w:p>
            <w:pPr>
              <w:spacing w:line="320" w:lineRule="atLeast"/>
              <w:rPr>
                <w:color w:val="auto"/>
                <w:highlight w:val="none"/>
              </w:rPr>
            </w:pPr>
          </w:p>
        </w:tc>
        <w:tc>
          <w:tcPr>
            <w:tcW w:w="1204" w:type="dxa"/>
            <w:vMerge w:val="continue"/>
            <w:vAlign w:val="center"/>
          </w:tcPr>
          <w:p>
            <w:pPr>
              <w:spacing w:line="320" w:lineRule="atLeast"/>
              <w:rPr>
                <w:color w:val="auto"/>
                <w:highlight w:val="none"/>
              </w:rPr>
            </w:pPr>
          </w:p>
        </w:tc>
        <w:tc>
          <w:tcPr>
            <w:tcW w:w="2931" w:type="dxa"/>
            <w:vAlign w:val="center"/>
          </w:tcPr>
          <w:p>
            <w:pPr>
              <w:spacing w:line="320" w:lineRule="atLeast"/>
              <w:rPr>
                <w:rFonts w:ascii="宋体"/>
                <w:color w:val="auto"/>
                <w:szCs w:val="21"/>
                <w:highlight w:val="none"/>
              </w:rPr>
            </w:pPr>
            <w:r>
              <w:rPr>
                <w:rFonts w:hint="eastAsia" w:ascii="宋体"/>
                <w:color w:val="auto"/>
                <w:szCs w:val="21"/>
                <w:highlight w:val="none"/>
              </w:rPr>
              <w:t xml:space="preserve"> (3) 投标文件的有效期</w:t>
            </w:r>
          </w:p>
        </w:tc>
        <w:tc>
          <w:tcPr>
            <w:tcW w:w="4602"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pPr>
              <w:spacing w:line="320" w:lineRule="atLeast"/>
              <w:jc w:val="center"/>
              <w:rPr>
                <w:rFonts w:ascii="宋体"/>
                <w:color w:val="auto"/>
                <w:szCs w:val="21"/>
                <w:highlight w:val="none"/>
              </w:rPr>
            </w:pPr>
            <w:r>
              <w:rPr>
                <w:rFonts w:hint="eastAsia" w:ascii="宋体"/>
                <w:color w:val="auto"/>
                <w:szCs w:val="21"/>
                <w:highlight w:val="none"/>
              </w:rPr>
              <w:t>2</w:t>
            </w:r>
          </w:p>
        </w:tc>
        <w:tc>
          <w:tcPr>
            <w:tcW w:w="1204" w:type="dxa"/>
            <w:vMerge w:val="restart"/>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标书的完整 性</w:t>
            </w:r>
          </w:p>
        </w:tc>
        <w:tc>
          <w:tcPr>
            <w:tcW w:w="2931" w:type="dxa"/>
            <w:vAlign w:val="center"/>
          </w:tcPr>
          <w:p>
            <w:pPr>
              <w:spacing w:line="320" w:lineRule="atLeast"/>
              <w:rPr>
                <w:rFonts w:ascii="宋体" w:cs="宋体"/>
                <w:color w:val="auto"/>
                <w:szCs w:val="21"/>
                <w:highlight w:val="none"/>
              </w:rPr>
            </w:pPr>
            <w:r>
              <w:rPr>
                <w:rFonts w:hint="eastAsia" w:ascii="宋体" w:cs="仿宋_GB2312"/>
                <w:color w:val="auto"/>
                <w:szCs w:val="21"/>
                <w:highlight w:val="none"/>
                <w:lang w:val="zh-CN"/>
              </w:rPr>
              <w:t>（</w:t>
            </w:r>
            <w:r>
              <w:rPr>
                <w:rFonts w:hint="eastAsia" w:ascii="宋体" w:cs="仿宋_GB2312"/>
                <w:color w:val="auto"/>
                <w:szCs w:val="21"/>
                <w:highlight w:val="none"/>
              </w:rPr>
              <w:t>4</w:t>
            </w:r>
            <w:r>
              <w:rPr>
                <w:rFonts w:hint="eastAsia" w:ascii="宋体" w:cs="仿宋_GB2312"/>
                <w:color w:val="auto"/>
                <w:szCs w:val="21"/>
                <w:highlight w:val="none"/>
                <w:lang w:val="zh-CN"/>
              </w:rPr>
              <w:t>）投标文件份数</w:t>
            </w:r>
          </w:p>
        </w:tc>
        <w:tc>
          <w:tcPr>
            <w:tcW w:w="4602" w:type="dxa"/>
            <w:vAlign w:val="center"/>
          </w:tcPr>
          <w:p>
            <w:pPr>
              <w:spacing w:line="320" w:lineRule="atLeast"/>
              <w:rPr>
                <w:rFonts w:ascii="宋体" w:cs="宋体"/>
                <w:color w:val="auto"/>
                <w:szCs w:val="21"/>
                <w:highlight w:val="none"/>
              </w:rPr>
            </w:pPr>
            <w:r>
              <w:rPr>
                <w:rFonts w:hint="eastAsia" w:ascii="宋体" w:hAnsi="宋体" w:cs="宋体"/>
                <w:color w:val="auto"/>
                <w:szCs w:val="21"/>
                <w:highlight w:val="none"/>
              </w:rPr>
              <w:t>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31" w:type="dxa"/>
            <w:vMerge w:val="continue"/>
            <w:vAlign w:val="center"/>
          </w:tcPr>
          <w:p>
            <w:pPr>
              <w:spacing w:line="320" w:lineRule="atLeast"/>
              <w:rPr>
                <w:color w:val="auto"/>
                <w:highlight w:val="none"/>
              </w:rPr>
            </w:pPr>
          </w:p>
        </w:tc>
        <w:tc>
          <w:tcPr>
            <w:tcW w:w="1204" w:type="dxa"/>
            <w:vMerge w:val="continue"/>
            <w:vAlign w:val="center"/>
          </w:tcPr>
          <w:p>
            <w:pPr>
              <w:spacing w:line="320" w:lineRule="atLeast"/>
              <w:rPr>
                <w:color w:val="auto"/>
                <w:highlight w:val="none"/>
              </w:rPr>
            </w:pPr>
          </w:p>
        </w:tc>
        <w:tc>
          <w:tcPr>
            <w:tcW w:w="2931"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w:t>
            </w:r>
            <w:r>
              <w:rPr>
                <w:rFonts w:hint="eastAsia" w:ascii="宋体" w:cs="仿宋_GB2312"/>
                <w:color w:val="auto"/>
                <w:szCs w:val="21"/>
                <w:highlight w:val="none"/>
              </w:rPr>
              <w:t>5</w:t>
            </w:r>
            <w:r>
              <w:rPr>
                <w:rFonts w:hint="eastAsia" w:ascii="宋体" w:cs="仿宋_GB2312"/>
                <w:color w:val="auto"/>
                <w:szCs w:val="21"/>
                <w:highlight w:val="none"/>
                <w:lang w:val="zh-CN"/>
              </w:rPr>
              <w:t>）投标文件形式内容</w:t>
            </w:r>
          </w:p>
        </w:tc>
        <w:tc>
          <w:tcPr>
            <w:tcW w:w="4602"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投标文件内容清晰、齐全无遗漏。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restart"/>
            <w:vAlign w:val="center"/>
          </w:tcPr>
          <w:p>
            <w:pPr>
              <w:spacing w:line="320" w:lineRule="atLeast"/>
              <w:jc w:val="center"/>
              <w:rPr>
                <w:rFonts w:ascii="宋体"/>
                <w:color w:val="auto"/>
                <w:szCs w:val="21"/>
                <w:highlight w:val="none"/>
              </w:rPr>
            </w:pPr>
            <w:r>
              <w:rPr>
                <w:rFonts w:hint="eastAsia" w:ascii="宋体"/>
                <w:color w:val="auto"/>
                <w:szCs w:val="21"/>
                <w:highlight w:val="none"/>
              </w:rPr>
              <w:t>3</w:t>
            </w:r>
          </w:p>
        </w:tc>
        <w:tc>
          <w:tcPr>
            <w:tcW w:w="1204" w:type="dxa"/>
            <w:vMerge w:val="restart"/>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标书的响应程度</w:t>
            </w:r>
          </w:p>
        </w:tc>
        <w:tc>
          <w:tcPr>
            <w:tcW w:w="2931"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w:t>
            </w:r>
            <w:r>
              <w:rPr>
                <w:rFonts w:hint="eastAsia" w:ascii="宋体" w:cs="仿宋_GB2312"/>
                <w:color w:val="auto"/>
                <w:szCs w:val="21"/>
                <w:highlight w:val="none"/>
              </w:rPr>
              <w:t>6</w:t>
            </w:r>
            <w:r>
              <w:rPr>
                <w:rFonts w:hint="eastAsia" w:ascii="宋体" w:cs="仿宋_GB2312"/>
                <w:color w:val="auto"/>
                <w:szCs w:val="21"/>
                <w:highlight w:val="none"/>
                <w:lang w:val="zh-CN"/>
              </w:rPr>
              <w:t>）技术参数响应程度</w:t>
            </w:r>
          </w:p>
        </w:tc>
        <w:tc>
          <w:tcPr>
            <w:tcW w:w="4602"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响应或优于交易文件要求。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pPr>
              <w:spacing w:line="320" w:lineRule="atLeast"/>
              <w:rPr>
                <w:color w:val="auto"/>
                <w:highlight w:val="none"/>
              </w:rPr>
            </w:pPr>
          </w:p>
        </w:tc>
        <w:tc>
          <w:tcPr>
            <w:tcW w:w="1204" w:type="dxa"/>
            <w:vMerge w:val="continue"/>
            <w:vAlign w:val="center"/>
          </w:tcPr>
          <w:p>
            <w:pPr>
              <w:spacing w:line="320" w:lineRule="atLeast"/>
              <w:rPr>
                <w:color w:val="auto"/>
                <w:highlight w:val="none"/>
              </w:rPr>
            </w:pPr>
          </w:p>
        </w:tc>
        <w:tc>
          <w:tcPr>
            <w:tcW w:w="2931"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w:t>
            </w:r>
            <w:r>
              <w:rPr>
                <w:rFonts w:hint="eastAsia" w:ascii="宋体" w:cs="仿宋_GB2312"/>
                <w:color w:val="auto"/>
                <w:szCs w:val="21"/>
                <w:highlight w:val="none"/>
              </w:rPr>
              <w:t>7</w:t>
            </w:r>
            <w:r>
              <w:rPr>
                <w:rFonts w:hint="eastAsia" w:ascii="宋体" w:cs="仿宋_GB2312"/>
                <w:color w:val="auto"/>
                <w:szCs w:val="21"/>
                <w:highlight w:val="none"/>
                <w:lang w:val="zh-CN"/>
              </w:rPr>
              <w:t>）商务条款响应程度（包括供货期、售后服务、技术培训等）</w:t>
            </w:r>
          </w:p>
        </w:tc>
        <w:tc>
          <w:tcPr>
            <w:tcW w:w="4602" w:type="dxa"/>
            <w:vAlign w:val="center"/>
          </w:tcPr>
          <w:p>
            <w:pPr>
              <w:spacing w:line="320" w:lineRule="atLeast"/>
              <w:rPr>
                <w:rFonts w:ascii="宋体" w:cs="仿宋_GB2312"/>
                <w:color w:val="auto"/>
                <w:szCs w:val="21"/>
                <w:highlight w:val="none"/>
                <w:lang w:val="zh-CN"/>
              </w:rPr>
            </w:pPr>
            <w:r>
              <w:rPr>
                <w:rFonts w:hint="eastAsia" w:ascii="宋体" w:cs="仿宋_GB2312"/>
                <w:color w:val="auto"/>
                <w:szCs w:val="21"/>
                <w:highlight w:val="none"/>
                <w:lang w:val="zh-CN"/>
              </w:rPr>
              <w:t>响应或优于</w:t>
            </w:r>
            <w:r>
              <w:rPr>
                <w:rFonts w:hint="eastAsia" w:ascii="宋体" w:hAnsi="宋体" w:cs="宋体"/>
                <w:color w:val="auto"/>
                <w:szCs w:val="21"/>
                <w:highlight w:val="none"/>
                <w:lang w:val="zh-CN"/>
              </w:rPr>
              <w:t>交易文件要求。</w:t>
            </w:r>
          </w:p>
        </w:tc>
      </w:tr>
    </w:tbl>
    <w:p>
      <w:pPr>
        <w:spacing w:line="400" w:lineRule="exact"/>
        <w:ind w:firstLine="506" w:firstLineChars="241"/>
        <w:rPr>
          <w:rFonts w:ascii="宋体"/>
          <w:color w:val="auto"/>
          <w:szCs w:val="21"/>
          <w:highlight w:val="none"/>
        </w:rPr>
      </w:pPr>
      <w:r>
        <w:rPr>
          <w:rFonts w:hint="eastAsia" w:ascii="宋体"/>
          <w:color w:val="auto"/>
          <w:szCs w:val="21"/>
          <w:highlight w:val="none"/>
        </w:rPr>
        <w:t>4.2评委会判定投标文件的响应性只根据投标文件本身的内容，而不寻求外部的证据，但投标有不真实不正确的内容时除外。</w:t>
      </w:r>
    </w:p>
    <w:p>
      <w:pPr>
        <w:spacing w:line="400" w:lineRule="exact"/>
        <w:ind w:firstLine="506" w:firstLineChars="241"/>
        <w:rPr>
          <w:rFonts w:ascii="宋体"/>
          <w:color w:val="auto"/>
          <w:szCs w:val="21"/>
          <w:highlight w:val="none"/>
        </w:rPr>
      </w:pPr>
      <w:r>
        <w:rPr>
          <w:rFonts w:hint="eastAsia" w:ascii="宋体"/>
          <w:color w:val="auto"/>
          <w:szCs w:val="21"/>
          <w:highlight w:val="none"/>
        </w:rPr>
        <w:t>4.3如果投标文件实质上没有响应交易文件的要求，评委会将予以拒绝，投标人不得通过修正或撤销不符合要求的偏离或保留，而使其投标成为实质上响应的投标。</w:t>
      </w:r>
    </w:p>
    <w:p>
      <w:pPr>
        <w:spacing w:line="400" w:lineRule="exact"/>
        <w:ind w:firstLine="420" w:firstLineChars="200"/>
        <w:rPr>
          <w:rFonts w:ascii="宋体"/>
          <w:color w:val="auto"/>
          <w:szCs w:val="21"/>
          <w:highlight w:val="none"/>
        </w:rPr>
      </w:pPr>
      <w:r>
        <w:rPr>
          <w:rFonts w:hint="eastAsia" w:ascii="宋体"/>
          <w:color w:val="auto"/>
          <w:szCs w:val="21"/>
          <w:highlight w:val="none"/>
        </w:rPr>
        <w:t xml:space="preserve"> 4.4投标人</w:t>
      </w:r>
      <w:r>
        <w:rPr>
          <w:rFonts w:hint="eastAsia" w:ascii="宋体"/>
          <w:color w:val="auto"/>
          <w:szCs w:val="21"/>
          <w:highlight w:val="none"/>
          <w:lang w:val="en-US" w:eastAsia="zh-CN"/>
        </w:rPr>
        <w:t>可以</w:t>
      </w:r>
      <w:r>
        <w:rPr>
          <w:rFonts w:hint="eastAsia" w:ascii="宋体"/>
          <w:color w:val="auto"/>
          <w:szCs w:val="21"/>
          <w:highlight w:val="none"/>
        </w:rPr>
        <w:t>对评标委员会的评审结论提出异议，评标委员会根据交易文件及有关规定对投标人的异议进行复议</w:t>
      </w:r>
    </w:p>
    <w:p>
      <w:pPr>
        <w:spacing w:line="400" w:lineRule="exact"/>
        <w:ind w:firstLine="525" w:firstLineChars="250"/>
        <w:rPr>
          <w:rFonts w:ascii="宋体" w:hAnsi="宋体"/>
          <w:b/>
          <w:color w:val="auto"/>
          <w:szCs w:val="21"/>
          <w:highlight w:val="none"/>
        </w:rPr>
      </w:pPr>
      <w:r>
        <w:rPr>
          <w:rFonts w:hint="eastAsia" w:ascii="宋体"/>
          <w:color w:val="auto"/>
          <w:szCs w:val="21"/>
          <w:highlight w:val="none"/>
        </w:rPr>
        <w:t>4.5只有通过初审的投标人才能进入下一步评标程序。</w:t>
      </w:r>
    </w:p>
    <w:p>
      <w:pPr>
        <w:spacing w:before="312" w:beforeLines="100" w:line="400" w:lineRule="exact"/>
        <w:jc w:val="center"/>
        <w:outlineLvl w:val="1"/>
        <w:rPr>
          <w:rFonts w:ascii="宋体"/>
          <w:b/>
          <w:color w:val="auto"/>
          <w:sz w:val="24"/>
          <w:highlight w:val="none"/>
        </w:rPr>
      </w:pPr>
      <w:bookmarkStart w:id="540" w:name="_Toc469495734"/>
      <w:bookmarkStart w:id="541" w:name="_Toc12765"/>
      <w:bookmarkStart w:id="542" w:name="_Toc362983803"/>
      <w:bookmarkStart w:id="543" w:name="_Toc6216"/>
      <w:bookmarkStart w:id="544" w:name="_Toc307"/>
      <w:r>
        <w:rPr>
          <w:rFonts w:hint="eastAsia" w:ascii="宋体"/>
          <w:b/>
          <w:color w:val="auto"/>
          <w:sz w:val="24"/>
          <w:highlight w:val="none"/>
        </w:rPr>
        <w:t>三  投标文件的澄清和补正</w:t>
      </w:r>
      <w:bookmarkEnd w:id="540"/>
      <w:bookmarkEnd w:id="541"/>
      <w:bookmarkEnd w:id="542"/>
      <w:bookmarkEnd w:id="543"/>
      <w:bookmarkEnd w:id="544"/>
    </w:p>
    <w:p>
      <w:pPr>
        <w:spacing w:line="380" w:lineRule="exact"/>
        <w:ind w:firstLine="527" w:firstLineChars="250"/>
        <w:rPr>
          <w:rFonts w:ascii="宋体"/>
          <w:color w:val="auto"/>
          <w:szCs w:val="21"/>
          <w:highlight w:val="none"/>
        </w:rPr>
      </w:pPr>
      <w:r>
        <w:rPr>
          <w:rFonts w:hint="eastAsia" w:ascii="宋体" w:hAnsi="宋体" w:cs="宋体"/>
          <w:b/>
          <w:bCs/>
          <w:color w:val="auto"/>
          <w:szCs w:val="21"/>
          <w:highlight w:val="none"/>
        </w:rPr>
        <w:t>5.1</w:t>
      </w:r>
      <w:r>
        <w:rPr>
          <w:rFonts w:hint="eastAsia" w:ascii="宋体"/>
          <w:color w:val="auto"/>
          <w:szCs w:val="21"/>
          <w:highlight w:val="none"/>
        </w:rPr>
        <w:t>评委会修正错误的原则：</w:t>
      </w:r>
    </w:p>
    <w:p>
      <w:pPr>
        <w:spacing w:line="380" w:lineRule="exact"/>
        <w:ind w:firstLine="525" w:firstLineChars="250"/>
        <w:rPr>
          <w:rFonts w:ascii="宋体"/>
          <w:color w:val="auto"/>
          <w:szCs w:val="21"/>
          <w:highlight w:val="none"/>
        </w:rPr>
      </w:pPr>
      <w:r>
        <w:rPr>
          <w:rFonts w:hint="eastAsia" w:ascii="宋体"/>
          <w:color w:val="auto"/>
          <w:szCs w:val="21"/>
          <w:highlight w:val="none"/>
        </w:rPr>
        <w:t>5.1.1如果数字表示的金额和用文字表示的金额不一致时，以文字表示的金额为准；当货物服务报价表、投标函的总报价与开标一览表不一致时，以开标一览表为准。</w:t>
      </w:r>
    </w:p>
    <w:p>
      <w:pPr>
        <w:spacing w:line="380" w:lineRule="exact"/>
        <w:ind w:firstLine="525" w:firstLineChars="250"/>
        <w:rPr>
          <w:rFonts w:ascii="宋体"/>
          <w:color w:val="auto"/>
          <w:szCs w:val="21"/>
          <w:highlight w:val="none"/>
        </w:rPr>
      </w:pPr>
      <w:r>
        <w:rPr>
          <w:rFonts w:hint="eastAsia" w:ascii="宋体"/>
          <w:color w:val="auto"/>
          <w:szCs w:val="21"/>
          <w:highlight w:val="none"/>
        </w:rPr>
        <w:t>5.1.2如果单价与数量的乘积和总价不一致，以单价为准，修正总价及开标一览表；当单价小数点有明显的错位时，评委会将以总价为准，并修正其单价。</w:t>
      </w:r>
    </w:p>
    <w:p>
      <w:pPr>
        <w:spacing w:line="380" w:lineRule="exact"/>
        <w:ind w:firstLine="403" w:firstLineChars="192"/>
        <w:rPr>
          <w:rFonts w:ascii="宋体"/>
          <w:b/>
          <w:color w:val="auto"/>
          <w:sz w:val="24"/>
          <w:highlight w:val="none"/>
        </w:rPr>
      </w:pPr>
      <w:r>
        <w:rPr>
          <w:rFonts w:hint="eastAsia" w:ascii="宋体"/>
          <w:color w:val="auto"/>
          <w:szCs w:val="21"/>
          <w:highlight w:val="none"/>
        </w:rPr>
        <w:t xml:space="preserve"> 5.2评委会将按上述修正错误的方法调整投标文件中的投标报价，调整后的价格应对投标人具有约束力。无论投标人是接受或是拒绝调整后的价格，都应当由</w:t>
      </w:r>
      <w:r>
        <w:rPr>
          <w:rFonts w:hint="eastAsia" w:ascii="宋体" w:hAnsi="宋体" w:cs="宋体"/>
          <w:b/>
          <w:bCs/>
          <w:color w:val="auto"/>
          <w:szCs w:val="21"/>
          <w:highlight w:val="none"/>
        </w:rPr>
        <w:t>投标人进行有效确认</w:t>
      </w:r>
      <w:r>
        <w:rPr>
          <w:rFonts w:hint="eastAsia" w:ascii="宋体"/>
          <w:color w:val="auto"/>
          <w:szCs w:val="21"/>
          <w:highlight w:val="none"/>
        </w:rPr>
        <w:t>。投标人拒绝对投标文件出现的错漏按上述原则进行修正、澄清、说明，评标委员会应当否决其投标。</w:t>
      </w:r>
      <w:bookmarkStart w:id="545" w:name="_Toc469495735"/>
    </w:p>
    <w:p>
      <w:pPr>
        <w:spacing w:line="380" w:lineRule="exact"/>
        <w:jc w:val="center"/>
        <w:outlineLvl w:val="1"/>
        <w:rPr>
          <w:rFonts w:ascii="宋体"/>
          <w:b/>
          <w:color w:val="auto"/>
          <w:sz w:val="24"/>
          <w:highlight w:val="none"/>
        </w:rPr>
      </w:pPr>
      <w:bookmarkStart w:id="546" w:name="_Toc18854"/>
      <w:bookmarkStart w:id="547" w:name="_Toc18354"/>
      <w:bookmarkStart w:id="548" w:name="_Toc25675"/>
      <w:r>
        <w:rPr>
          <w:rFonts w:hint="eastAsia" w:ascii="宋体"/>
          <w:b/>
          <w:color w:val="auto"/>
          <w:sz w:val="24"/>
          <w:highlight w:val="none"/>
        </w:rPr>
        <w:t>四 比较与评价</w:t>
      </w:r>
      <w:bookmarkEnd w:id="545"/>
      <w:bookmarkEnd w:id="546"/>
      <w:bookmarkEnd w:id="547"/>
      <w:bookmarkEnd w:id="548"/>
    </w:p>
    <w:p>
      <w:pPr>
        <w:spacing w:line="400" w:lineRule="exact"/>
        <w:ind w:firstLine="417" w:firstLineChars="198"/>
        <w:rPr>
          <w:rFonts w:ascii="宋体"/>
          <w:b/>
          <w:color w:val="auto"/>
          <w:szCs w:val="21"/>
          <w:highlight w:val="none"/>
        </w:rPr>
      </w:pPr>
      <w:r>
        <w:rPr>
          <w:rFonts w:hint="eastAsia" w:ascii="宋体" w:hAnsi="宋体"/>
          <w:b/>
          <w:color w:val="auto"/>
          <w:szCs w:val="21"/>
          <w:highlight w:val="none"/>
        </w:rPr>
        <w:t xml:space="preserve"> 6. </w:t>
      </w:r>
      <w:r>
        <w:rPr>
          <w:rFonts w:hint="eastAsia" w:ascii="宋体"/>
          <w:b/>
          <w:color w:val="auto"/>
          <w:szCs w:val="21"/>
          <w:highlight w:val="none"/>
        </w:rPr>
        <w:t>详细评审即按招标文件中规定的评标方法和标准，评标委员会将对通过初审的投标文件，进行资信、技术和商务部分评估、综合比较与评价。</w:t>
      </w:r>
    </w:p>
    <w:p>
      <w:pPr>
        <w:spacing w:line="400" w:lineRule="exact"/>
        <w:rPr>
          <w:rFonts w:ascii="宋体" w:hAnsi="宋体"/>
          <w:b/>
          <w:color w:val="auto"/>
          <w:sz w:val="24"/>
          <w:highlight w:val="none"/>
        </w:rPr>
      </w:pPr>
      <w:r>
        <w:rPr>
          <w:rFonts w:hint="eastAsia" w:ascii="宋体" w:hAnsi="宋体"/>
          <w:b/>
          <w:color w:val="auto"/>
          <w:sz w:val="24"/>
          <w:highlight w:val="none"/>
        </w:rPr>
        <w:t>6.1资信标评审细则（</w:t>
      </w:r>
      <w:r>
        <w:rPr>
          <w:rFonts w:hint="eastAsia" w:ascii="宋体" w:hAnsi="宋体"/>
          <w:b/>
          <w:color w:val="auto"/>
          <w:sz w:val="24"/>
          <w:highlight w:val="none"/>
          <w:lang w:val="en-US" w:eastAsia="zh-CN"/>
        </w:rPr>
        <w:t>60</w:t>
      </w:r>
      <w:r>
        <w:rPr>
          <w:rFonts w:hint="eastAsia" w:ascii="宋体" w:hAnsi="宋体"/>
          <w:b/>
          <w:color w:val="auto"/>
          <w:sz w:val="24"/>
          <w:highlight w:val="none"/>
        </w:rPr>
        <w:t>分）</w:t>
      </w:r>
    </w:p>
    <w:tbl>
      <w:tblPr>
        <w:tblStyle w:val="50"/>
        <w:tblW w:w="60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560"/>
        <w:gridCol w:w="6177"/>
        <w:gridCol w:w="889"/>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序号</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评分因素</w:t>
            </w:r>
          </w:p>
        </w:tc>
        <w:tc>
          <w:tcPr>
            <w:tcW w:w="2980"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评审标准</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分值</w:t>
            </w:r>
          </w:p>
        </w:tc>
        <w:tc>
          <w:tcPr>
            <w:tcW w:w="52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1</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业绩</w:t>
            </w:r>
          </w:p>
        </w:tc>
        <w:tc>
          <w:tcPr>
            <w:tcW w:w="29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2020年1月至今，具有医疗系统生活用品类似供货业绩且获得过采购单位好评的得5分，满分5分；</w:t>
            </w:r>
          </w:p>
          <w:p>
            <w:pPr>
              <w:pStyle w:val="13"/>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注：1.需提供合同、中标通知书及采购人评价意见，时间以合同签订时间为准，同时需附件购方联系人及联系电话以备查实；</w:t>
            </w:r>
          </w:p>
          <w:p>
            <w:pPr>
              <w:pStyle w:val="13"/>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2.业绩类型需是年度供货的，一次性供货的业绩不予认可。</w:t>
            </w:r>
          </w:p>
          <w:p>
            <w:pPr>
              <w:pStyle w:val="13"/>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3.如投标人提供的证明材料无法体现上述评审因素的，则需另行提供采购单位出具的证明材料并加盖公章。</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c>
          <w:tcPr>
            <w:tcW w:w="523" w:type="pct"/>
            <w:vMerge w:val="restart"/>
            <w:tcBorders>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检验投标文件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2</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及时响应能力</w:t>
            </w:r>
          </w:p>
        </w:tc>
        <w:tc>
          <w:tcPr>
            <w:tcW w:w="2980"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3"/>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如投标人在项目所在地辖区范围内具有实体门店或仓库，则需提供门面产权证明复印件或租赁合同复印件加盖章公章；或2.如无，则需提供及时响应承诺书（承诺书内容包含但不限于供货时限，响应时间等），提供上述材料的得5分，满分5分。</w:t>
            </w:r>
          </w:p>
          <w:p>
            <w:pPr>
              <w:pStyle w:val="13"/>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宋体" w:hAnsi="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特别说明：因采购货物使用人群的特殊性，要求中标供应商须在采购人要求的时限内供货，如上午接到供货通知不得迟于当天送达，如下午接到通知，不得迟于次日上午送达。中标后如供应商出现三次或以上违约的情形，采购人有权终止合同另行招标。</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c>
          <w:tcPr>
            <w:tcW w:w="523" w:type="pct"/>
            <w:vMerge w:val="continue"/>
            <w:tcBorders>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31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3</w:t>
            </w:r>
          </w:p>
        </w:tc>
        <w:tc>
          <w:tcPr>
            <w:tcW w:w="752"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 w:val="21"/>
                <w:szCs w:val="21"/>
                <w:highlight w:val="none"/>
                <w:vertAlign w:val="baseline"/>
                <w:lang w:val="en-US" w:eastAsia="zh-CN"/>
              </w:rPr>
            </w:pPr>
            <w:r>
              <w:rPr>
                <w:rFonts w:hint="eastAsia" w:ascii="宋体" w:hAnsi="宋体"/>
                <w:color w:val="auto"/>
                <w:sz w:val="21"/>
                <w:szCs w:val="21"/>
                <w:highlight w:val="none"/>
                <w:vertAlign w:val="baseline"/>
                <w:lang w:val="en-US" w:eastAsia="zh-CN"/>
              </w:rPr>
              <w:t>样品</w:t>
            </w:r>
          </w:p>
        </w:tc>
        <w:tc>
          <w:tcPr>
            <w:tcW w:w="2980" w:type="pct"/>
            <w:tcBorders>
              <w:top w:val="single" w:color="auto" w:sz="4" w:space="0"/>
              <w:left w:val="single" w:color="auto" w:sz="4" w:space="0"/>
              <w:bottom w:val="single" w:color="auto" w:sz="4" w:space="0"/>
              <w:right w:val="single" w:color="auto" w:sz="4" w:space="0"/>
            </w:tcBorders>
            <w:shd w:val="clear" w:color="auto" w:fill="auto"/>
            <w:vAlign w:val="top"/>
          </w:tcPr>
          <w:p>
            <w:pPr>
              <w:pStyle w:val="13"/>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评标委员会根据投标人提供的“擦手纸，短裤，棉毛衫，沐浴露，棉（单）鞋，洗发水，勺子，水杯，卫生纸，洗手液”样品的质量、手感、市场占有率、知名度、产品品质、去污程度、泡沫的绵密度等进行综合打分，每个样品满分5分，合计50分。</w:t>
            </w:r>
          </w:p>
          <w:p>
            <w:pPr>
              <w:pStyle w:val="13"/>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1.产品质量良好、手感细腻、市场占有率及知名度高的得5分；</w:t>
            </w:r>
          </w:p>
          <w:p>
            <w:pPr>
              <w:pStyle w:val="13"/>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2.产品质量较好、手感柔和、有一定的市场占有率及知名度高的得3分；</w:t>
            </w:r>
          </w:p>
          <w:p>
            <w:pPr>
              <w:pStyle w:val="13"/>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3.产品质量较差、手感粗糙、市场普及率较低的得1分；</w:t>
            </w:r>
          </w:p>
          <w:p>
            <w:pPr>
              <w:pStyle w:val="13"/>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4.不合格或未提供的不得分。</w:t>
            </w: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50分</w:t>
            </w:r>
          </w:p>
        </w:tc>
        <w:tc>
          <w:tcPr>
            <w:tcW w:w="523" w:type="pct"/>
            <w:vMerge w:val="continue"/>
            <w:tcBorders>
              <w:left w:val="single" w:color="auto" w:sz="4" w:space="0"/>
              <w:right w:val="single" w:color="auto" w:sz="4" w:space="0"/>
            </w:tcBorders>
            <w:shd w:val="clear" w:color="auto" w:fill="auto"/>
            <w:vAlign w:val="center"/>
          </w:tcPr>
          <w:p>
            <w:pPr>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 w:val="21"/>
                <w:szCs w:val="21"/>
                <w:highlight w:val="none"/>
              </w:rPr>
            </w:pPr>
          </w:p>
        </w:tc>
      </w:tr>
    </w:tbl>
    <w:p>
      <w:pPr>
        <w:spacing w:line="380" w:lineRule="exact"/>
        <w:ind w:firstLine="405" w:firstLineChars="192"/>
        <w:rPr>
          <w:rFonts w:hint="eastAsia" w:ascii="宋体" w:cs="Times New Roman"/>
          <w:b/>
          <w:bCs/>
          <w:color w:val="auto"/>
          <w:szCs w:val="21"/>
          <w:highlight w:val="none"/>
          <w:lang w:val="en-US" w:eastAsia="zh-CN"/>
        </w:rPr>
      </w:pPr>
      <w:r>
        <w:rPr>
          <w:rFonts w:hint="eastAsia" w:ascii="宋体" w:hAnsi="Times New Roman" w:eastAsia="宋体" w:cs="Times New Roman"/>
          <w:b/>
          <w:bCs/>
          <w:color w:val="auto"/>
          <w:szCs w:val="21"/>
          <w:highlight w:val="none"/>
        </w:rPr>
        <w:t>注：</w:t>
      </w:r>
      <w:r>
        <w:rPr>
          <w:rFonts w:hint="eastAsia" w:ascii="宋体" w:cs="Times New Roman"/>
          <w:b/>
          <w:bCs/>
          <w:color w:val="auto"/>
          <w:szCs w:val="21"/>
          <w:highlight w:val="none"/>
          <w:lang w:val="en-US" w:eastAsia="zh-CN"/>
        </w:rPr>
        <w:t>1.上要求的证明材料需加盖投标单位公章；</w:t>
      </w:r>
    </w:p>
    <w:p>
      <w:pPr>
        <w:spacing w:line="380" w:lineRule="exact"/>
        <w:ind w:firstLine="405" w:firstLineChars="192"/>
        <w:rPr>
          <w:rFonts w:hint="eastAsia" w:ascii="宋体" w:hAnsi="Times New Roman" w:eastAsia="宋体" w:cs="Times New Roman"/>
          <w:b/>
          <w:bCs/>
          <w:color w:val="auto"/>
          <w:szCs w:val="21"/>
          <w:highlight w:val="none"/>
          <w:lang w:val="en-US" w:eastAsia="zh-CN"/>
        </w:rPr>
      </w:pPr>
      <w:r>
        <w:rPr>
          <w:rFonts w:hint="eastAsia" w:ascii="宋体" w:cs="Times New Roman"/>
          <w:b/>
          <w:bCs/>
          <w:color w:val="auto"/>
          <w:szCs w:val="21"/>
          <w:highlight w:val="none"/>
          <w:lang w:val="en-US" w:eastAsia="zh-CN"/>
        </w:rPr>
        <w:t>2.</w:t>
      </w:r>
      <w:r>
        <w:rPr>
          <w:rFonts w:hint="eastAsia" w:ascii="宋体" w:hAnsi="Times New Roman" w:eastAsia="宋体" w:cs="Times New Roman"/>
          <w:b/>
          <w:bCs/>
          <w:color w:val="auto"/>
          <w:szCs w:val="21"/>
          <w:highlight w:val="none"/>
          <w:lang w:val="en-US" w:eastAsia="zh-CN"/>
        </w:rPr>
        <w:t>投标人提供的项目业绩只计算评标分值对应的项目数量，按照排列顺序从首个业绩开始评审至对应数量，超出部分不进行评审。对应数量内业绩不符合招标文件要求不得分的，不再补充评审超出部分业绩。如：提供</w:t>
      </w:r>
      <w:r>
        <w:rPr>
          <w:rFonts w:hint="eastAsia" w:ascii="宋体" w:cs="Times New Roman"/>
          <w:b/>
          <w:bCs/>
          <w:color w:val="auto"/>
          <w:szCs w:val="21"/>
          <w:highlight w:val="none"/>
          <w:lang w:val="en-US" w:eastAsia="zh-CN"/>
        </w:rPr>
        <w:t>1</w:t>
      </w:r>
      <w:r>
        <w:rPr>
          <w:rFonts w:hint="eastAsia" w:ascii="宋体" w:hAnsi="Times New Roman" w:eastAsia="宋体" w:cs="Times New Roman"/>
          <w:b/>
          <w:bCs/>
          <w:color w:val="auto"/>
          <w:szCs w:val="21"/>
          <w:highlight w:val="none"/>
          <w:lang w:val="en-US" w:eastAsia="zh-CN"/>
        </w:rPr>
        <w:t>个业绩即得满分的，按照投标文件排序评审第一项业绩，其余超出部分不再评审。</w:t>
      </w:r>
    </w:p>
    <w:p>
      <w:pPr>
        <w:spacing w:line="320" w:lineRule="exact"/>
        <w:ind w:firstLine="480" w:firstLineChars="200"/>
        <w:rPr>
          <w:rFonts w:ascii="宋体" w:hAnsi="宋体" w:cs="宋体"/>
          <w:color w:val="auto"/>
          <w:sz w:val="24"/>
          <w:highlight w:val="none"/>
        </w:rPr>
      </w:pPr>
    </w:p>
    <w:p>
      <w:pPr>
        <w:spacing w:line="3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6.2技术部分（</w:t>
      </w:r>
      <w:r>
        <w:rPr>
          <w:rFonts w:hint="eastAsia" w:ascii="宋体" w:hAnsi="宋体" w:cs="宋体"/>
          <w:b/>
          <w:bCs/>
          <w:color w:val="auto"/>
          <w:sz w:val="24"/>
          <w:highlight w:val="none"/>
          <w:lang w:val="en-US" w:eastAsia="zh-CN"/>
        </w:rPr>
        <w:t>30</w:t>
      </w:r>
      <w:r>
        <w:rPr>
          <w:rFonts w:hint="eastAsia" w:ascii="宋体" w:hAnsi="宋体" w:cs="宋体"/>
          <w:b/>
          <w:bCs/>
          <w:color w:val="auto"/>
          <w:sz w:val="24"/>
          <w:highlight w:val="none"/>
        </w:rPr>
        <w:t>分）</w:t>
      </w:r>
    </w:p>
    <w:tbl>
      <w:tblPr>
        <w:tblStyle w:val="50"/>
        <w:tblW w:w="61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217"/>
        <w:gridCol w:w="6342"/>
        <w:gridCol w:w="968"/>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序号</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评分因素</w:t>
            </w:r>
          </w:p>
        </w:tc>
        <w:tc>
          <w:tcPr>
            <w:tcW w:w="6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评审标准</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分值</w:t>
            </w:r>
          </w:p>
        </w:tc>
        <w:tc>
          <w:tcPr>
            <w:tcW w:w="12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1</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客户服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Cs w:val="21"/>
                <w:highlight w:val="none"/>
                <w:lang w:val="en-US" w:eastAsia="zh-CN"/>
              </w:rPr>
            </w:pPr>
            <w:r>
              <w:rPr>
                <w:rFonts w:hint="eastAsia" w:ascii="宋体" w:hAnsi="宋体"/>
                <w:color w:val="auto"/>
                <w:szCs w:val="21"/>
                <w:highlight w:val="none"/>
                <w:vertAlign w:val="baseline"/>
                <w:lang w:val="en-US" w:eastAsia="zh-CN"/>
              </w:rPr>
              <w:t>务方案</w:t>
            </w:r>
          </w:p>
        </w:tc>
        <w:tc>
          <w:tcPr>
            <w:tcW w:w="6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eastAsia="宋体"/>
                <w:color w:val="auto"/>
                <w:highlight w:val="none"/>
                <w:lang w:val="en-US" w:eastAsia="zh-CN"/>
              </w:rPr>
            </w:pPr>
            <w:r>
              <w:rPr>
                <w:rFonts w:hint="eastAsia"/>
                <w:color w:val="auto"/>
                <w:highlight w:val="none"/>
                <w:lang w:val="en-US" w:eastAsia="zh-CN"/>
              </w:rPr>
              <w:t>评审委员会根据各投标人提供的客户服务方案的针对性、可行性及合理性等进行综合打分，优的10分，良好的8分，合格的6分，差的4分，未提供的不得分。</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宋体"/>
                <w:color w:val="auto"/>
                <w:highlight w:val="none"/>
                <w:lang w:val="en-US" w:eastAsia="zh-CN"/>
              </w:rPr>
            </w:pPr>
            <w:r>
              <w:rPr>
                <w:rFonts w:hint="eastAsia"/>
                <w:color w:val="auto"/>
                <w:highlight w:val="none"/>
                <w:lang w:val="en-US" w:eastAsia="zh-CN"/>
              </w:rPr>
              <w:t>10分</w:t>
            </w:r>
          </w:p>
        </w:tc>
        <w:tc>
          <w:tcPr>
            <w:tcW w:w="1238"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eastAsia="宋体"/>
                <w:color w:val="auto"/>
                <w:highlight w:val="none"/>
                <w:lang w:val="en-US" w:eastAsia="zh-CN"/>
              </w:rPr>
            </w:pPr>
            <w:r>
              <w:rPr>
                <w:rFonts w:hint="eastAsia"/>
                <w:color w:val="auto"/>
                <w:highlight w:val="none"/>
                <w:lang w:val="en-US" w:eastAsia="zh-CN"/>
              </w:rPr>
              <w:t>检验投标文件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2</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olor w:val="auto"/>
                <w:szCs w:val="21"/>
                <w:highlight w:val="none"/>
                <w:vertAlign w:val="baseline"/>
                <w:lang w:val="en-US" w:eastAsia="zh-CN"/>
              </w:rPr>
            </w:pPr>
            <w:r>
              <w:rPr>
                <w:rFonts w:hint="eastAsia" w:ascii="宋体" w:hAnsi="宋体" w:cs="宋体"/>
                <w:color w:val="auto"/>
                <w:szCs w:val="21"/>
                <w:highlight w:val="none"/>
                <w:lang w:val="en-US" w:eastAsia="zh-CN"/>
              </w:rPr>
              <w:t>配送方案</w:t>
            </w:r>
          </w:p>
        </w:tc>
        <w:tc>
          <w:tcPr>
            <w:tcW w:w="6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lang w:val="en-US" w:eastAsia="zh-CN"/>
              </w:rPr>
            </w:pPr>
            <w:r>
              <w:rPr>
                <w:rFonts w:hint="eastAsia"/>
                <w:color w:val="auto"/>
                <w:highlight w:val="none"/>
                <w:lang w:val="en-US" w:eastAsia="zh-CN"/>
              </w:rPr>
              <w:t>评审委员会根据各投标人提供的配送方案的完善程度、及时性及合理性等进行综合打分，优的10分，良好的8分，合格的6分，差的4分，未提供的不得分。</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10分</w:t>
            </w:r>
          </w:p>
        </w:tc>
        <w:tc>
          <w:tcPr>
            <w:tcW w:w="1238" w:type="dxa"/>
            <w:vMerge w:val="continue"/>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3</w:t>
            </w:r>
          </w:p>
        </w:tc>
        <w:tc>
          <w:tcPr>
            <w:tcW w:w="12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售后服</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color w:val="auto"/>
                <w:szCs w:val="21"/>
                <w:highlight w:val="none"/>
                <w:vertAlign w:val="baseline"/>
                <w:lang w:val="en-US" w:eastAsia="zh-CN"/>
              </w:rPr>
            </w:pPr>
            <w:r>
              <w:rPr>
                <w:rFonts w:hint="eastAsia" w:ascii="宋体" w:hAnsi="宋体"/>
                <w:color w:val="auto"/>
                <w:szCs w:val="21"/>
                <w:highlight w:val="none"/>
                <w:vertAlign w:val="baseline"/>
                <w:lang w:val="en-US" w:eastAsia="zh-CN"/>
              </w:rPr>
              <w:t>务方案</w:t>
            </w:r>
          </w:p>
        </w:tc>
        <w:tc>
          <w:tcPr>
            <w:tcW w:w="6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2"/>
                <w:szCs w:val="22"/>
                <w:highlight w:val="none"/>
                <w:lang w:val="en-US" w:eastAsia="zh-CN"/>
              </w:rPr>
            </w:pPr>
            <w:r>
              <w:rPr>
                <w:rFonts w:hint="eastAsia"/>
                <w:color w:val="auto"/>
                <w:highlight w:val="none"/>
                <w:lang w:val="en-US" w:eastAsia="zh-CN"/>
              </w:rPr>
              <w:t>评审委员会根据各投标人提供的售后方案的人员安排、售后响应的及时性及制度的完善性等进行综合打分，优的10分，良好的8分，合格的6分，差的4分，未提供的不得分。</w:t>
            </w:r>
          </w:p>
        </w:tc>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10分</w:t>
            </w:r>
          </w:p>
        </w:tc>
        <w:tc>
          <w:tcPr>
            <w:tcW w:w="1238"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tc>
      </w:tr>
    </w:tbl>
    <w:p>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宋体" w:hAnsi="宋体" w:cs="宋体"/>
          <w:color w:val="auto"/>
          <w:sz w:val="24"/>
          <w:highlight w:val="none"/>
        </w:rPr>
      </w:pPr>
      <w:r>
        <w:rPr>
          <w:rFonts w:hint="eastAsia" w:ascii="宋体" w:hAnsi="宋体" w:cs="宋体"/>
          <w:b/>
          <w:bCs/>
          <w:color w:val="auto"/>
          <w:highlight w:val="none"/>
        </w:rPr>
        <w:t>注：该项由专家评委评审打分，取所有评委评分的平均值为最终得分，保留两位小数点，第三位四舍五入</w:t>
      </w:r>
    </w:p>
    <w:p>
      <w:pPr>
        <w:spacing w:line="320" w:lineRule="exact"/>
        <w:ind w:firstLine="482" w:firstLineChars="200"/>
        <w:rPr>
          <w:rFonts w:hint="eastAsia" w:ascii="宋体" w:hAnsi="宋体" w:cs="宋体"/>
          <w:b/>
          <w:bCs/>
          <w:color w:val="auto"/>
          <w:sz w:val="24"/>
          <w:highlight w:val="none"/>
        </w:rPr>
      </w:pPr>
    </w:p>
    <w:p>
      <w:pPr>
        <w:spacing w:line="32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6.3商务部分（</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分）</w:t>
      </w:r>
    </w:p>
    <w:tbl>
      <w:tblPr>
        <w:tblStyle w:val="50"/>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758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评审项目</w:t>
            </w:r>
          </w:p>
        </w:tc>
        <w:tc>
          <w:tcPr>
            <w:tcW w:w="75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评审内容</w:t>
            </w: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auto"/>
                <w:sz w:val="24"/>
                <w:highlight w:val="none"/>
              </w:rPr>
            </w:pPr>
            <w:r>
              <w:rPr>
                <w:rFonts w:hint="eastAsia" w:ascii="宋体" w:hAnsi="宋体" w:cs="宋体"/>
                <w:b/>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468" w:type="dxa"/>
            <w:tcBorders>
              <w:top w:val="single" w:color="auto" w:sz="4" w:space="0"/>
              <w:left w:val="single" w:color="auto" w:sz="4" w:space="0"/>
              <w:right w:val="single" w:color="auto" w:sz="4" w:space="0"/>
            </w:tcBorders>
            <w:vAlign w:val="center"/>
          </w:tcPr>
          <w:p>
            <w:pPr>
              <w:spacing w:line="400" w:lineRule="exact"/>
              <w:jc w:val="center"/>
              <w:textAlignment w:val="center"/>
              <w:rPr>
                <w:rFonts w:ascii="宋体" w:hAnsi="宋体"/>
                <w:b/>
                <w:bCs/>
                <w:color w:val="auto"/>
                <w:szCs w:val="21"/>
                <w:highlight w:val="none"/>
              </w:rPr>
            </w:pPr>
            <w:r>
              <w:rPr>
                <w:rFonts w:hint="eastAsia" w:ascii="宋体" w:hAnsi="宋体"/>
                <w:b/>
                <w:bCs/>
                <w:color w:val="auto"/>
                <w:szCs w:val="21"/>
                <w:highlight w:val="none"/>
              </w:rPr>
              <w:t>报  价</w:t>
            </w:r>
          </w:p>
        </w:tc>
        <w:tc>
          <w:tcPr>
            <w:tcW w:w="758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b/>
                <w:bCs/>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采购人设置投标报价最高限价（</w:t>
            </w:r>
            <w:r>
              <w:rPr>
                <w:rFonts w:hint="eastAsia" w:ascii="宋体" w:hAnsi="宋体" w:cs="宋体"/>
                <w:b/>
                <w:bCs/>
                <w:color w:val="auto"/>
                <w:szCs w:val="21"/>
                <w:highlight w:val="none"/>
                <w:lang w:val="en-US" w:eastAsia="zh-CN"/>
              </w:rPr>
              <w:t>16万元/年，48万元/三年</w:t>
            </w:r>
            <w:r>
              <w:rPr>
                <w:rFonts w:hint="eastAsia" w:ascii="宋体" w:hAnsi="宋体" w:cs="宋体"/>
                <w:b/>
                <w:bCs/>
                <w:color w:val="auto"/>
                <w:szCs w:val="21"/>
                <w:highlight w:val="none"/>
              </w:rPr>
              <w:t>），各投标人有效总报价不得高于最高限价，否则，其投标文件按无效标处理。</w:t>
            </w:r>
          </w:p>
          <w:p>
            <w:pPr>
              <w:spacing w:line="360" w:lineRule="exac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评标基准价=所有效投标人的最低报价，其得分为满分；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报价得分=评标基准价/投标报价*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分（小数点后保留两位小数，第三位四舍五入）；</w:t>
            </w:r>
          </w:p>
          <w:p>
            <w:pPr>
              <w:spacing w:line="360" w:lineRule="exact"/>
              <w:rPr>
                <w:rFonts w:hint="eastAsia" w:ascii="宋体" w:hAnsi="宋体" w:cs="宋体"/>
                <w:color w:val="auto"/>
                <w:szCs w:val="21"/>
                <w:highlight w:val="none"/>
              </w:rPr>
            </w:pPr>
            <w:r>
              <w:rPr>
                <w:rFonts w:hint="eastAsia" w:ascii="宋体" w:hAnsi="宋体" w:eastAsia="宋体" w:cs="Times New Roman"/>
                <w:b/>
                <w:bCs/>
                <w:color w:val="auto"/>
                <w:kern w:val="2"/>
                <w:sz w:val="21"/>
                <w:szCs w:val="21"/>
                <w:highlight w:val="none"/>
                <w:vertAlign w:val="baseline"/>
                <w:lang w:val="en-US" w:eastAsia="zh-CN" w:bidi="ar-SA"/>
              </w:rPr>
              <w:t>注：评标委员会认为投标人的报价明显低于其他通过符合性审查投标人的报价（投标报价低于有效投标人的评标价平均值40%时视为异常低价），有可能影响产品质量或者不能诚信履约的，应当要求其在理的时间内提供说明，并提交相关证明材料；投标人不能证明其报价合理性的，评标委员会应当将其作为无效投标处理。</w:t>
            </w: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r>
    </w:tbl>
    <w:p>
      <w:pPr>
        <w:overflowPunct w:val="0"/>
        <w:adjustRightInd w:val="0"/>
        <w:snapToGrid w:val="0"/>
        <w:spacing w:line="440" w:lineRule="exact"/>
        <w:ind w:firstLine="498" w:firstLineChars="236"/>
        <w:rPr>
          <w:rFonts w:hint="eastAsia"/>
          <w:b/>
          <w:color w:val="auto"/>
          <w:szCs w:val="21"/>
          <w:highlight w:val="none"/>
          <w:lang w:eastAsia="zh-CN"/>
        </w:rPr>
      </w:pPr>
      <w:r>
        <w:rPr>
          <w:rFonts w:hint="eastAsia"/>
          <w:b/>
          <w:color w:val="auto"/>
          <w:szCs w:val="21"/>
          <w:highlight w:val="none"/>
        </w:rPr>
        <w:t>特别说明：1.以上分值均保留二位小数，小数点后第三位四舍五入</w:t>
      </w:r>
      <w:r>
        <w:rPr>
          <w:rFonts w:hint="eastAsia"/>
          <w:b/>
          <w:color w:val="auto"/>
          <w:szCs w:val="21"/>
          <w:highlight w:val="none"/>
          <w:lang w:eastAsia="zh-CN"/>
        </w:rPr>
        <w:t>；</w:t>
      </w:r>
    </w:p>
    <w:p>
      <w:pPr>
        <w:pStyle w:val="49"/>
        <w:rPr>
          <w:rFonts w:hint="default"/>
          <w:highlight w:val="none"/>
          <w:lang w:val="en-US" w:eastAsia="zh-CN"/>
        </w:rPr>
      </w:pPr>
      <w:r>
        <w:rPr>
          <w:rFonts w:hint="eastAsia"/>
          <w:b/>
          <w:color w:val="auto"/>
          <w:szCs w:val="21"/>
          <w:highlight w:val="none"/>
          <w:lang w:val="en-US" w:eastAsia="zh-CN"/>
        </w:rPr>
        <w:t>2.报价时以三年的总报价参与评分计算。</w:t>
      </w:r>
    </w:p>
    <w:p>
      <w:pPr>
        <w:pStyle w:val="49"/>
        <w:rPr>
          <w:rFonts w:hint="eastAsia"/>
          <w:highlight w:val="none"/>
          <w:lang w:eastAsia="zh-CN"/>
        </w:rPr>
      </w:pPr>
    </w:p>
    <w:p>
      <w:pPr>
        <w:numPr>
          <w:ilvl w:val="0"/>
          <w:numId w:val="2"/>
        </w:numPr>
        <w:spacing w:line="400" w:lineRule="exact"/>
        <w:jc w:val="center"/>
        <w:outlineLvl w:val="1"/>
        <w:rPr>
          <w:rFonts w:hint="eastAsia" w:ascii="宋体"/>
          <w:b/>
          <w:color w:val="auto"/>
          <w:sz w:val="24"/>
          <w:highlight w:val="none"/>
        </w:rPr>
      </w:pPr>
      <w:bookmarkStart w:id="549" w:name="_Hlk91343611"/>
      <w:r>
        <w:rPr>
          <w:rFonts w:hint="eastAsia" w:ascii="宋体"/>
          <w:b/>
          <w:color w:val="auto"/>
          <w:sz w:val="24"/>
          <w:highlight w:val="none"/>
        </w:rPr>
        <w:t>推荐中标候选人</w:t>
      </w:r>
    </w:p>
    <w:p>
      <w:pPr>
        <w:snapToGrid w:val="0"/>
        <w:spacing w:line="440" w:lineRule="exact"/>
        <w:ind w:firstLine="570"/>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7.评审结果</w:t>
      </w:r>
    </w:p>
    <w:p>
      <w:pPr>
        <w:numPr>
          <w:ilvl w:val="0"/>
          <w:numId w:val="0"/>
        </w:numPr>
        <w:snapToGrid w:val="0"/>
        <w:spacing w:line="440" w:lineRule="exact"/>
        <w:ind w:firstLine="630" w:firstLineChars="300"/>
        <w:jc w:val="left"/>
        <w:rPr>
          <w:rFonts w:hint="eastAsia" w:ascii="宋体"/>
          <w:color w:val="auto"/>
          <w:szCs w:val="21"/>
          <w:highlight w:val="none"/>
        </w:rPr>
      </w:pPr>
      <w:r>
        <w:rPr>
          <w:rFonts w:hint="eastAsia" w:ascii="宋体"/>
          <w:color w:val="auto"/>
          <w:szCs w:val="21"/>
          <w:highlight w:val="none"/>
          <w:lang w:val="en-US" w:eastAsia="zh-CN"/>
        </w:rPr>
        <w:t>7.1</w:t>
      </w:r>
      <w:r>
        <w:rPr>
          <w:rFonts w:hint="eastAsia" w:ascii="宋体"/>
          <w:color w:val="auto"/>
          <w:szCs w:val="21"/>
          <w:highlight w:val="none"/>
        </w:rPr>
        <w:t>评标委员会对经过综合评审的投标人，按综合评审得分从高到低的顺序依次推荐1-3名中标候选人。排名第一的为首选中标侯选人，依次类推第二、第三中标侯选人。</w:t>
      </w:r>
    </w:p>
    <w:p>
      <w:pPr>
        <w:snapToGrid w:val="0"/>
        <w:spacing w:line="440" w:lineRule="exact"/>
        <w:ind w:firstLine="570"/>
        <w:jc w:val="left"/>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.2评标委员会完成评标后，应当向招标人提交书面评标报告。</w:t>
      </w:r>
    </w:p>
    <w:p>
      <w:pPr>
        <w:snapToGrid w:val="0"/>
        <w:spacing w:line="440" w:lineRule="exact"/>
        <w:ind w:firstLine="570"/>
        <w:jc w:val="left"/>
        <w:rPr>
          <w:rFonts w:hint="eastAsia" w:ascii="宋体"/>
          <w:color w:val="auto"/>
          <w:szCs w:val="21"/>
          <w:highlight w:val="none"/>
        </w:rPr>
      </w:pPr>
      <w:r>
        <w:rPr>
          <w:rFonts w:hint="eastAsia" w:ascii="宋体"/>
          <w:color w:val="auto"/>
          <w:szCs w:val="21"/>
          <w:highlight w:val="none"/>
          <w:lang w:val="en-US" w:eastAsia="zh-CN"/>
        </w:rPr>
        <w:t>7.3</w:t>
      </w:r>
      <w:r>
        <w:rPr>
          <w:rFonts w:hint="eastAsia" w:ascii="宋体"/>
          <w:color w:val="auto"/>
          <w:szCs w:val="21"/>
          <w:highlight w:val="none"/>
        </w:rPr>
        <w:t>例外情况</w:t>
      </w:r>
    </w:p>
    <w:p>
      <w:pPr>
        <w:snapToGrid w:val="0"/>
        <w:spacing w:line="440" w:lineRule="exact"/>
        <w:ind w:firstLine="570"/>
        <w:jc w:val="left"/>
        <w:rPr>
          <w:rFonts w:hint="eastAsia" w:ascii="宋体"/>
          <w:color w:val="auto"/>
          <w:szCs w:val="21"/>
          <w:highlight w:val="none"/>
        </w:rPr>
      </w:pPr>
      <w:r>
        <w:rPr>
          <w:rFonts w:hint="eastAsia" w:ascii="宋体"/>
          <w:color w:val="auto"/>
          <w:szCs w:val="21"/>
          <w:highlight w:val="none"/>
          <w:lang w:val="en-US" w:eastAsia="zh-CN"/>
        </w:rPr>
        <w:t>7.3.1</w:t>
      </w:r>
      <w:r>
        <w:rPr>
          <w:rFonts w:hint="eastAsia" w:ascii="宋体"/>
          <w:color w:val="auto"/>
          <w:szCs w:val="21"/>
          <w:highlight w:val="none"/>
        </w:rPr>
        <w:t>当出现投标人综合评审得分相等时，按下列顺序排序：“投标报价”得分高的优先；仍相同时，由评标委员会现场抽签确定顺序。</w:t>
      </w:r>
    </w:p>
    <w:p>
      <w:pPr>
        <w:snapToGrid w:val="0"/>
        <w:spacing w:line="440" w:lineRule="exact"/>
        <w:ind w:firstLine="570"/>
        <w:jc w:val="left"/>
        <w:rPr>
          <w:rFonts w:hint="eastAsia" w:ascii="宋体"/>
          <w:color w:val="auto"/>
          <w:szCs w:val="21"/>
          <w:highlight w:val="none"/>
        </w:rPr>
      </w:pPr>
      <w:r>
        <w:rPr>
          <w:rFonts w:hint="eastAsia" w:ascii="宋体"/>
          <w:color w:val="auto"/>
          <w:szCs w:val="21"/>
          <w:highlight w:val="none"/>
          <w:lang w:val="en-US" w:eastAsia="zh-CN"/>
        </w:rPr>
        <w:t>7.3.2</w:t>
      </w:r>
      <w:r>
        <w:rPr>
          <w:rFonts w:hint="eastAsia" w:ascii="宋体"/>
          <w:color w:val="auto"/>
          <w:szCs w:val="21"/>
          <w:highlight w:val="none"/>
        </w:rPr>
        <w:t>当评标委员会认为各投标报价均较高时，可以否决全部投标。</w:t>
      </w:r>
    </w:p>
    <w:p>
      <w:pPr>
        <w:snapToGrid w:val="0"/>
        <w:spacing w:line="440" w:lineRule="exact"/>
        <w:ind w:firstLine="570"/>
        <w:jc w:val="left"/>
        <w:rPr>
          <w:rFonts w:hint="eastAsia" w:ascii="宋体"/>
          <w:color w:val="auto"/>
          <w:szCs w:val="21"/>
          <w:highlight w:val="none"/>
        </w:rPr>
      </w:pPr>
      <w:r>
        <w:rPr>
          <w:rFonts w:hint="eastAsia" w:ascii="宋体"/>
          <w:color w:val="auto"/>
          <w:szCs w:val="21"/>
          <w:highlight w:val="none"/>
          <w:lang w:val="en-US" w:eastAsia="zh-CN"/>
        </w:rPr>
        <w:t>7.3.3</w:t>
      </w:r>
      <w:r>
        <w:rPr>
          <w:rFonts w:hint="eastAsia" w:ascii="宋体"/>
          <w:color w:val="auto"/>
          <w:szCs w:val="21"/>
          <w:highlight w:val="none"/>
        </w:rPr>
        <w:t>招标文件条款存在含义不清或者相互矛盾的，评标委员会应当针对相应条款作出有利于相应投标人的结论。</w:t>
      </w:r>
    </w:p>
    <w:p>
      <w:pPr>
        <w:snapToGrid w:val="0"/>
        <w:spacing w:line="440" w:lineRule="exact"/>
        <w:ind w:firstLine="570"/>
        <w:rPr>
          <w:rFonts w:ascii="宋体"/>
          <w:b/>
          <w:color w:val="auto"/>
          <w:szCs w:val="21"/>
          <w:highlight w:val="none"/>
        </w:rPr>
      </w:pPr>
      <w:r>
        <w:rPr>
          <w:rFonts w:hint="eastAsia" w:ascii="宋体"/>
          <w:b/>
          <w:color w:val="auto"/>
          <w:szCs w:val="21"/>
          <w:highlight w:val="none"/>
        </w:rPr>
        <w:t>8.</w:t>
      </w:r>
      <w:r>
        <w:rPr>
          <w:rFonts w:hint="eastAsia" w:ascii="宋体" w:hAnsi="宋体"/>
          <w:b/>
          <w:color w:val="auto"/>
          <w:sz w:val="24"/>
          <w:highlight w:val="none"/>
        </w:rPr>
        <w:t xml:space="preserve"> </w:t>
      </w:r>
      <w:bookmarkStart w:id="550" w:name="_Hlk61815781"/>
      <w:r>
        <w:rPr>
          <w:rFonts w:hint="eastAsia" w:ascii="宋体"/>
          <w:b/>
          <w:color w:val="auto"/>
          <w:szCs w:val="21"/>
          <w:highlight w:val="none"/>
        </w:rPr>
        <w:t>无效投标条款</w:t>
      </w:r>
    </w:p>
    <w:p>
      <w:pPr>
        <w:snapToGrid w:val="0"/>
        <w:spacing w:line="440" w:lineRule="exact"/>
        <w:ind w:firstLine="525" w:firstLineChars="250"/>
        <w:rPr>
          <w:rFonts w:ascii="宋体" w:cs="宋体"/>
          <w:color w:val="auto"/>
          <w:szCs w:val="21"/>
          <w:highlight w:val="none"/>
        </w:rPr>
      </w:pPr>
      <w:r>
        <w:rPr>
          <w:rFonts w:hint="eastAsia" w:ascii="宋体" w:cs="宋体"/>
          <w:color w:val="auto"/>
          <w:szCs w:val="21"/>
          <w:highlight w:val="none"/>
        </w:rPr>
        <w:t>8.1投标文件有下列情形之一的,其投标文件拒收:</w:t>
      </w:r>
    </w:p>
    <w:p>
      <w:pPr>
        <w:snapToGrid w:val="0"/>
        <w:spacing w:line="440" w:lineRule="exact"/>
        <w:ind w:firstLine="420"/>
        <w:rPr>
          <w:rFonts w:ascii="宋体" w:hAnsi="宋体" w:cs="宋体"/>
          <w:b/>
          <w:bCs/>
          <w:color w:val="auto"/>
          <w:szCs w:val="21"/>
          <w:highlight w:val="none"/>
        </w:rPr>
      </w:pPr>
      <w:r>
        <w:rPr>
          <w:rFonts w:hint="eastAsia" w:ascii="宋体" w:cs="宋体"/>
          <w:color w:val="auto"/>
          <w:szCs w:val="21"/>
          <w:highlight w:val="none"/>
        </w:rPr>
        <w:t xml:space="preserve"> </w:t>
      </w:r>
      <w:r>
        <w:rPr>
          <w:rFonts w:hint="eastAsia" w:ascii="宋体" w:hAnsi="宋体" w:cs="宋体"/>
          <w:b/>
          <w:bCs/>
          <w:color w:val="auto"/>
          <w:szCs w:val="21"/>
          <w:highlight w:val="none"/>
        </w:rPr>
        <w:t xml:space="preserve"> 未在开标截止时间前递交投标文件的，不予接收，投标将被拒绝。</w:t>
      </w:r>
    </w:p>
    <w:p>
      <w:pPr>
        <w:snapToGrid w:val="0"/>
        <w:spacing w:line="440" w:lineRule="exact"/>
        <w:ind w:firstLine="420"/>
        <w:rPr>
          <w:rFonts w:ascii="宋体" w:hAnsi="宋体" w:cs="宋体"/>
          <w:color w:val="auto"/>
          <w:szCs w:val="21"/>
          <w:highlight w:val="none"/>
        </w:rPr>
      </w:pPr>
      <w:r>
        <w:rPr>
          <w:rFonts w:hint="eastAsia" w:ascii="宋体" w:hAnsi="宋体" w:cs="宋体"/>
          <w:color w:val="auto"/>
          <w:szCs w:val="21"/>
          <w:highlight w:val="none"/>
        </w:rPr>
        <w:t>8.2投标人有下列情形之一的,资格审查后其投标作无效投标处理：</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(1)投标人为本项目提供招标代理服务的；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(2)投标人与在本项目代理机构存在相互任职或工作的；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(3)被暂停营业的；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(4)被暂停或取消投标资格的；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(5)财产被接管或冻结的；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(6)投标人单位负责人为同一人或者存在控股、管理关系的不同单位的；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 投标人基本资格条件和特定资格条件中有一项及以上不符合要求的；</w:t>
      </w:r>
    </w:p>
    <w:p>
      <w:pPr>
        <w:snapToGrid w:val="0"/>
        <w:spacing w:line="440" w:lineRule="exact"/>
        <w:ind w:firstLine="420" w:firstLineChars="200"/>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rPr>
        <w:t>8</w:t>
      </w:r>
      <w:r>
        <w:rPr>
          <w:rFonts w:ascii="宋体" w:hAnsi="宋体" w:cs="宋体"/>
          <w:color w:val="auto"/>
          <w:szCs w:val="21"/>
          <w:highlight w:val="none"/>
        </w:rPr>
        <w:t>)</w:t>
      </w:r>
      <w:r>
        <w:rPr>
          <w:rFonts w:hint="eastAsia" w:ascii="宋体" w:hAnsi="宋体" w:cs="宋体"/>
          <w:color w:val="auto"/>
          <w:szCs w:val="21"/>
          <w:highlight w:val="none"/>
        </w:rPr>
        <w:t xml:space="preserve"> 投标人单方面出现其他投标人材料的；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 招标文件规定的其它无效投标情形。</w:t>
      </w:r>
    </w:p>
    <w:p>
      <w:pPr>
        <w:snapToGrid w:val="0"/>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8.3 投标人有下列情形之一的,符合性审查后其投标按无效投标处理：</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(2)未按规定的格式填写，实质性内容不全或关键字迹模糊、无法辨认的；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(3)同一投标人提交两个以上不同的投标文件或者投标报价，但招标文件规定提交备选方案的除外；</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(4)投标文件没有对招标文件的实质性要求和条件作出响应;</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(5)投标报价超出规定的投标限价或公布的采购预算的或投标人的投标报价各项单价高于招标文件给定的单价最高限价；</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(6)不按评标委员会要求澄清、说明或补正的，或者评标委员会根据招标文件的规定对招标文件的计算错误进行修正后，投标人不接受修正的投标报价的。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(7)投标文件含有采购人不能接受的附加条件的；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(8)招标文件规定的其它无效投标情形。</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8.4 投标人有下列情形之一的, 详细评审后其投标按无效投标处理：</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(2)投标人有串通投标、弄虚作假、行贿等违法行为；</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(3)投标文件含有违反国家法律、法规的内容，或附有采购人不能接受的条件的；</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(4)在同一项目（或同一标段）中有多个投标人有效投标报价接近最高限价，且评标委员会认为报价出现异常的，可以宣布其投标无效；</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报价明显低于其他投标人，且不能证明报价合理性的投标无效</w:t>
      </w:r>
      <w:r>
        <w:rPr>
          <w:rFonts w:hint="eastAsia" w:ascii="宋体" w:hAnsi="宋体" w:cs="宋体"/>
          <w:color w:val="auto"/>
          <w:szCs w:val="21"/>
          <w:highlight w:val="none"/>
        </w:rPr>
        <w:t>；</w:t>
      </w:r>
    </w:p>
    <w:p>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拒不确认评标委员会评审修正的投标无效</w:t>
      </w:r>
      <w:r>
        <w:rPr>
          <w:rFonts w:hint="eastAsia" w:ascii="宋体" w:hAnsi="宋体" w:cs="宋体"/>
          <w:color w:val="auto"/>
          <w:szCs w:val="21"/>
          <w:highlight w:val="none"/>
        </w:rPr>
        <w:t>；</w:t>
      </w:r>
    </w:p>
    <w:p>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(7)招标文件规定的其它无效投标情形。</w:t>
      </w:r>
    </w:p>
    <w:p>
      <w:pPr>
        <w:pStyle w:val="49"/>
        <w:rPr>
          <w:rFonts w:hint="eastAsia" w:ascii="宋体" w:hAnsi="宋体" w:cs="宋体"/>
          <w:color w:val="auto"/>
          <w:szCs w:val="21"/>
          <w:highlight w:val="none"/>
        </w:rPr>
      </w:pPr>
    </w:p>
    <w:p>
      <w:pPr>
        <w:pStyle w:val="21"/>
        <w:rPr>
          <w:rFonts w:hint="eastAsia" w:ascii="宋体" w:hAnsi="宋体" w:cs="宋体"/>
          <w:color w:val="auto"/>
          <w:szCs w:val="21"/>
          <w:highlight w:val="none"/>
        </w:rPr>
      </w:pPr>
    </w:p>
    <w:p>
      <w:pPr>
        <w:pStyle w:val="17"/>
        <w:rPr>
          <w:rFonts w:hint="eastAsia" w:ascii="宋体" w:hAnsi="宋体" w:cs="宋体"/>
          <w:color w:val="auto"/>
          <w:szCs w:val="21"/>
          <w:highlight w:val="none"/>
        </w:rPr>
      </w:pPr>
    </w:p>
    <w:p>
      <w:pPr>
        <w:rPr>
          <w:rFonts w:hint="eastAsia" w:ascii="宋体" w:hAnsi="宋体" w:cs="宋体"/>
          <w:color w:val="auto"/>
          <w:szCs w:val="21"/>
          <w:highlight w:val="none"/>
        </w:rPr>
      </w:pPr>
    </w:p>
    <w:p>
      <w:pPr>
        <w:pStyle w:val="49"/>
        <w:rPr>
          <w:rFonts w:hint="eastAsia" w:ascii="宋体" w:hAnsi="宋体" w:cs="宋体"/>
          <w:color w:val="auto"/>
          <w:szCs w:val="21"/>
          <w:highlight w:val="none"/>
        </w:rPr>
      </w:pPr>
    </w:p>
    <w:p>
      <w:pPr>
        <w:pStyle w:val="21"/>
        <w:rPr>
          <w:rFonts w:hint="eastAsia" w:ascii="宋体" w:hAnsi="宋体" w:cs="宋体"/>
          <w:color w:val="auto"/>
          <w:szCs w:val="21"/>
          <w:highlight w:val="none"/>
        </w:rPr>
      </w:pPr>
    </w:p>
    <w:p>
      <w:pPr>
        <w:pStyle w:val="17"/>
        <w:rPr>
          <w:rFonts w:hint="eastAsia" w:ascii="宋体" w:hAnsi="宋体" w:cs="宋体"/>
          <w:color w:val="auto"/>
          <w:szCs w:val="21"/>
          <w:highlight w:val="none"/>
        </w:rPr>
      </w:pPr>
    </w:p>
    <w:p>
      <w:pPr>
        <w:rPr>
          <w:rFonts w:hint="eastAsia" w:ascii="宋体" w:hAnsi="宋体" w:cs="宋体"/>
          <w:color w:val="auto"/>
          <w:szCs w:val="21"/>
          <w:highlight w:val="none"/>
        </w:rPr>
      </w:pPr>
    </w:p>
    <w:p>
      <w:pPr>
        <w:pStyle w:val="49"/>
        <w:rPr>
          <w:rFonts w:hint="eastAsia" w:ascii="宋体" w:hAnsi="宋体" w:cs="宋体"/>
          <w:color w:val="auto"/>
          <w:szCs w:val="21"/>
          <w:highlight w:val="none"/>
        </w:rPr>
      </w:pPr>
    </w:p>
    <w:p>
      <w:pPr>
        <w:pStyle w:val="21"/>
        <w:rPr>
          <w:rFonts w:hint="eastAsia" w:ascii="宋体" w:hAnsi="宋体" w:cs="宋体"/>
          <w:color w:val="auto"/>
          <w:szCs w:val="21"/>
          <w:highlight w:val="none"/>
        </w:rPr>
      </w:pPr>
    </w:p>
    <w:p>
      <w:pPr>
        <w:pStyle w:val="17"/>
        <w:rPr>
          <w:rFonts w:hint="eastAsia" w:ascii="宋体" w:hAnsi="宋体" w:cs="宋体"/>
          <w:color w:val="auto"/>
          <w:szCs w:val="21"/>
          <w:highlight w:val="none"/>
        </w:rPr>
      </w:pPr>
    </w:p>
    <w:p>
      <w:pPr>
        <w:rPr>
          <w:rFonts w:hint="eastAsia" w:ascii="宋体" w:hAnsi="宋体" w:cs="宋体"/>
          <w:color w:val="auto"/>
          <w:szCs w:val="21"/>
          <w:highlight w:val="none"/>
        </w:rPr>
      </w:pPr>
    </w:p>
    <w:p>
      <w:pPr>
        <w:pStyle w:val="49"/>
        <w:rPr>
          <w:rFonts w:hint="eastAsia" w:ascii="宋体" w:hAnsi="宋体" w:cs="宋体"/>
          <w:color w:val="auto"/>
          <w:szCs w:val="21"/>
          <w:highlight w:val="none"/>
        </w:rPr>
      </w:pPr>
    </w:p>
    <w:p>
      <w:pPr>
        <w:rPr>
          <w:highlight w:val="none"/>
        </w:rPr>
      </w:pPr>
    </w:p>
    <w:bookmarkEnd w:id="550"/>
    <w:p>
      <w:pPr>
        <w:jc w:val="center"/>
        <w:rPr>
          <w:rFonts w:hint="default" w:ascii="宋体" w:hAnsi="宋体" w:cs="宋体"/>
          <w:b/>
          <w:bCs/>
          <w:color w:val="auto"/>
          <w:sz w:val="32"/>
          <w:szCs w:val="32"/>
          <w:highlight w:val="none"/>
          <w:lang w:val="en-US"/>
        </w:rPr>
      </w:pPr>
      <w:r>
        <w:rPr>
          <w:rFonts w:hint="eastAsia" w:ascii="宋体" w:hAnsi="宋体" w:cs="宋体"/>
          <w:b/>
          <w:bCs/>
          <w:color w:val="auto"/>
          <w:sz w:val="32"/>
          <w:szCs w:val="32"/>
          <w:highlight w:val="none"/>
        </w:rPr>
        <w:t>第</w:t>
      </w:r>
      <w:r>
        <w:rPr>
          <w:rFonts w:hint="eastAsia" w:ascii="宋体" w:hAnsi="宋体" w:cs="宋体"/>
          <w:b/>
          <w:bCs/>
          <w:color w:val="auto"/>
          <w:sz w:val="32"/>
          <w:szCs w:val="32"/>
          <w:highlight w:val="none"/>
          <w:lang w:val="en-US" w:eastAsia="zh-CN"/>
        </w:rPr>
        <w:t>四</w:t>
      </w:r>
      <w:r>
        <w:rPr>
          <w:rFonts w:hint="eastAsia" w:ascii="宋体" w:hAnsi="宋体" w:cs="宋体"/>
          <w:b/>
          <w:bCs/>
          <w:color w:val="auto"/>
          <w:sz w:val="32"/>
          <w:szCs w:val="32"/>
          <w:highlight w:val="none"/>
        </w:rPr>
        <w:t xml:space="preserve">章 </w:t>
      </w:r>
      <w:r>
        <w:rPr>
          <w:rFonts w:hint="eastAsia" w:ascii="宋体" w:hAnsi="宋体" w:cs="宋体"/>
          <w:b/>
          <w:bCs/>
          <w:color w:val="auto"/>
          <w:sz w:val="32"/>
          <w:szCs w:val="32"/>
          <w:highlight w:val="none"/>
          <w:lang w:val="en-US" w:eastAsia="zh-CN"/>
        </w:rPr>
        <w:t>采购清单</w:t>
      </w:r>
    </w:p>
    <w:bookmarkEnd w:id="48"/>
    <w:bookmarkEnd w:id="549"/>
    <w:tbl>
      <w:tblPr>
        <w:tblStyle w:val="50"/>
        <w:tblW w:w="96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0"/>
        <w:gridCol w:w="1856"/>
        <w:gridCol w:w="3030"/>
        <w:gridCol w:w="1410"/>
        <w:gridCol w:w="990"/>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bookmarkStart w:id="551" w:name="_Toc24931"/>
            <w:bookmarkStart w:id="552" w:name="_Toc35864588"/>
            <w:bookmarkStart w:id="553" w:name="_Toc26076"/>
            <w:bookmarkStart w:id="554" w:name="_Toc22879"/>
            <w:bookmarkStart w:id="555" w:name="_Toc22466"/>
            <w:bookmarkStart w:id="556" w:name="_Toc15832"/>
            <w:bookmarkStart w:id="557" w:name="_Toc31972"/>
            <w:r>
              <w:rPr>
                <w:rFonts w:hint="eastAsia" w:ascii="宋体" w:hAnsi="宋体" w:eastAsia="宋体" w:cs="宋体"/>
                <w:b/>
                <w:bCs/>
                <w:i w:val="0"/>
                <w:iCs w:val="0"/>
                <w:color w:val="000000"/>
                <w:kern w:val="0"/>
                <w:sz w:val="20"/>
                <w:szCs w:val="20"/>
                <w:highlight w:val="none"/>
                <w:u w:val="none"/>
                <w:lang w:val="en-US" w:eastAsia="zh-CN" w:bidi="ar"/>
              </w:rPr>
              <w:t>序号</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名称</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型号和规格</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年用量</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擦手纸</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NO;QCS200.230*226mm/张</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200张/包</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擦手纸盒</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塑料NO:512A.270*200*10cm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大毛巾</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NO:1006.30*70cm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短裤女平角</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NO:087.1*10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短裤女三角</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NO:3315.1*10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短裤男平角</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NO:087.1*10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晾衣架</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塑料GYM-5409.40CM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棉毛衫</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 男式1*2件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规格是尺码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棉毛衫</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棉 女式1*2件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规格是尺码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沐浴露</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NO:MS608.5L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男单鞋</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NO:9308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规格是尺码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男棉鞋</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加绒NO:M9556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规格是尺码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尿不湿</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NO:0323.1*12包</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L95-120cm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女单鞋</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NO:1805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规格是尺码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女棉鞋</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加绒NO:M3802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规格是尺码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喷壶</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0.8L 手压式</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勺子</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硅胶</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把</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无毒、无味、无污染、耐高温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刷牙杯</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塑料NO:8852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水杯</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FGA102-300ml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塑纸篓</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XH058.260*260CM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剃须刀</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NO:FS879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双头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凉拖鞋女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NO;883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EVA,PVC材质.规格是尺码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凉拖鞋男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NO;880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EVA,PVC材质.规格是尺码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女袜子</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NO;24-26-28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男袜子</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NO;24-26-28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碗</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NO:049 20*5cm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304不锈钢标准尺寸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卫生巾</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NO:ASF873.330CM 20片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大盘纸</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NO:AK700.原生非木纤维 95*110mm/节 3层</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700克/卷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卷</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卫生纸</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NO:TZ0019.100%原木浆210*155mm</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 828克/包±10克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洗发水</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NO:219.5L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洗洁精</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NO:491.1千克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洗脸盆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NO:8804. 28*11cm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洗脸盆</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NO:1017.36*14cm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洗手液</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NO:WLS017B.525ml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瓶</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健康抑菌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35</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洗衣粉</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TZ945-1.36千克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包</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小方巾</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NO;1041 30*30cm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37</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小毛巾</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 NO:6813.25*48cm</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暖水瓶</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2L</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个</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牙膏</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FC524.200g</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40</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牙刷</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NO:YX-5002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支</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细软毛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41</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粘钩</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NO:9927.1*3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板</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w:t>
            </w:r>
          </w:p>
        </w:tc>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指甲钳</w:t>
            </w:r>
          </w:p>
        </w:tc>
        <w:tc>
          <w:tcPr>
            <w:tcW w:w="3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NO:QR304.1*12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只</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不锈钢</w:t>
            </w:r>
          </w:p>
        </w:tc>
      </w:tr>
    </w:tbl>
    <w:p>
      <w:pPr>
        <w:snapToGrid w:val="0"/>
        <w:spacing w:line="440" w:lineRule="exact"/>
        <w:ind w:firstLine="422" w:firstLineChars="200"/>
        <w:rPr>
          <w:rFonts w:hint="eastAsia" w:ascii="宋体" w:hAnsi="宋体" w:cs="宋体"/>
          <w:b/>
          <w:bCs/>
          <w:color w:val="auto"/>
          <w:szCs w:val="21"/>
          <w:highlight w:val="none"/>
          <w:lang w:val="zh-CN" w:eastAsia="zh-CN"/>
        </w:rPr>
      </w:pPr>
      <w:r>
        <w:rPr>
          <w:rFonts w:hint="eastAsia" w:ascii="宋体" w:hAnsi="宋体" w:cs="宋体"/>
          <w:b/>
          <w:bCs/>
          <w:color w:val="auto"/>
          <w:szCs w:val="21"/>
          <w:highlight w:val="none"/>
          <w:lang w:val="en-US" w:eastAsia="zh-CN"/>
        </w:rPr>
        <w:t>注：1.本项目采用单价合同，本次提供的清单为一个年度的大约使用量，实际用量可能增多或减少，最终以实际供货量据实结算，结算金额=经审计的实际采购数量*中标单价；</w:t>
      </w:r>
      <w:r>
        <w:rPr>
          <w:rFonts w:hint="eastAsia" w:ascii="宋体" w:hAnsi="宋体" w:cs="宋体"/>
          <w:b/>
          <w:bCs/>
          <w:color w:val="auto"/>
          <w:szCs w:val="21"/>
          <w:highlight w:val="none"/>
          <w:lang w:val="zh-CN" w:eastAsia="zh-CN"/>
        </w:rPr>
        <w:t>投标报价采用综合单价法，</w:t>
      </w:r>
      <w:r>
        <w:rPr>
          <w:rFonts w:hint="eastAsia" w:ascii="宋体" w:hAnsi="宋体" w:cs="宋体"/>
          <w:b/>
          <w:bCs/>
          <w:color w:val="auto"/>
          <w:szCs w:val="21"/>
          <w:highlight w:val="none"/>
          <w:lang w:val="en-US" w:eastAsia="zh-CN"/>
        </w:rPr>
        <w:t>综合单价包括：</w:t>
      </w:r>
      <w:r>
        <w:rPr>
          <w:rFonts w:hint="eastAsia" w:ascii="宋体" w:hAnsi="宋体" w:cs="宋体"/>
          <w:b/>
          <w:bCs/>
          <w:color w:val="auto"/>
          <w:szCs w:val="21"/>
          <w:highlight w:val="none"/>
          <w:lang w:val="zh-CN" w:eastAsia="zh-CN"/>
        </w:rPr>
        <w:t>成本、采购、税费、包装、运输、现场落地、招标代理费、专家评审费和交付后约定期限内免费维保等工作所发生的一切应有费用及后期服务及国家对中标单位征收的各种税费等所有一切费用，综合单价今后将不作任何调整。</w:t>
      </w:r>
    </w:p>
    <w:p>
      <w:pPr>
        <w:snapToGrid w:val="0"/>
        <w:spacing w:line="440" w:lineRule="exact"/>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2.因我院住院患者较多，且为精神病患者，故本次招标的生活用品清单可能不够全面，如后期有临时急需的生活用品，单价在200元以下的，经甲乙双方确认品牌、价格后乙方保证按时供应。</w:t>
      </w:r>
    </w:p>
    <w:bookmarkEnd w:id="551"/>
    <w:bookmarkEnd w:id="552"/>
    <w:bookmarkEnd w:id="553"/>
    <w:bookmarkEnd w:id="554"/>
    <w:bookmarkEnd w:id="555"/>
    <w:bookmarkEnd w:id="556"/>
    <w:bookmarkEnd w:id="557"/>
    <w:p>
      <w:pPr>
        <w:spacing w:before="156" w:beforeLines="50" w:after="156" w:afterLines="50"/>
        <w:jc w:val="center"/>
        <w:outlineLvl w:val="0"/>
        <w:rPr>
          <w:rFonts w:hint="eastAsia" w:ascii="宋体"/>
          <w:b/>
          <w:color w:val="auto"/>
          <w:sz w:val="32"/>
          <w:szCs w:val="32"/>
          <w:highlight w:val="none"/>
        </w:rPr>
      </w:pPr>
      <w:bookmarkStart w:id="558" w:name="_Toc58430332"/>
      <w:bookmarkStart w:id="559" w:name="_Toc449028948"/>
      <w:bookmarkStart w:id="560" w:name="_Toc179632833"/>
      <w:bookmarkStart w:id="561" w:name="_Toc152045813"/>
      <w:bookmarkStart w:id="562" w:name="_Toc246996374"/>
      <w:bookmarkStart w:id="563" w:name="_Toc296602622"/>
      <w:bookmarkStart w:id="564" w:name="_Toc247085892"/>
      <w:bookmarkStart w:id="565" w:name="_Toc152042602"/>
      <w:bookmarkStart w:id="566" w:name="_Toc246997117"/>
      <w:bookmarkStart w:id="567" w:name="_Toc144974881"/>
    </w:p>
    <w:p>
      <w:pPr>
        <w:spacing w:before="156" w:beforeLines="50" w:after="156" w:afterLines="50"/>
        <w:jc w:val="center"/>
        <w:outlineLvl w:val="0"/>
        <w:rPr>
          <w:rFonts w:hint="eastAsia" w:ascii="宋体"/>
          <w:b/>
          <w:color w:val="auto"/>
          <w:sz w:val="32"/>
          <w:szCs w:val="32"/>
          <w:highlight w:val="none"/>
        </w:rPr>
      </w:pPr>
    </w:p>
    <w:p>
      <w:pPr>
        <w:pStyle w:val="49"/>
        <w:rPr>
          <w:rFonts w:hint="eastAsia" w:ascii="宋体"/>
          <w:b/>
          <w:color w:val="auto"/>
          <w:sz w:val="32"/>
          <w:szCs w:val="32"/>
          <w:highlight w:val="none"/>
        </w:rPr>
      </w:pPr>
    </w:p>
    <w:p>
      <w:pPr>
        <w:pStyle w:val="21"/>
        <w:rPr>
          <w:rFonts w:hint="eastAsia" w:ascii="宋体"/>
          <w:b/>
          <w:color w:val="auto"/>
          <w:sz w:val="32"/>
          <w:szCs w:val="32"/>
          <w:highlight w:val="none"/>
        </w:rPr>
      </w:pPr>
    </w:p>
    <w:p>
      <w:pPr>
        <w:pStyle w:val="17"/>
        <w:rPr>
          <w:rFonts w:hint="eastAsia" w:ascii="宋体"/>
          <w:b/>
          <w:color w:val="auto"/>
          <w:sz w:val="32"/>
          <w:szCs w:val="32"/>
          <w:highlight w:val="none"/>
        </w:rPr>
      </w:pPr>
    </w:p>
    <w:p>
      <w:pPr>
        <w:rPr>
          <w:rFonts w:hint="eastAsia" w:ascii="宋体"/>
          <w:b/>
          <w:color w:val="auto"/>
          <w:sz w:val="32"/>
          <w:szCs w:val="32"/>
          <w:highlight w:val="none"/>
        </w:rPr>
      </w:pPr>
    </w:p>
    <w:p>
      <w:pPr>
        <w:pStyle w:val="49"/>
        <w:rPr>
          <w:rFonts w:hint="eastAsia" w:ascii="宋体"/>
          <w:b/>
          <w:color w:val="auto"/>
          <w:sz w:val="32"/>
          <w:szCs w:val="32"/>
          <w:highlight w:val="none"/>
        </w:rPr>
      </w:pPr>
    </w:p>
    <w:p>
      <w:pPr>
        <w:pStyle w:val="21"/>
        <w:rPr>
          <w:rFonts w:hint="eastAsia" w:ascii="宋体"/>
          <w:b/>
          <w:color w:val="auto"/>
          <w:sz w:val="32"/>
          <w:szCs w:val="32"/>
          <w:highlight w:val="none"/>
        </w:rPr>
      </w:pPr>
    </w:p>
    <w:p>
      <w:pPr>
        <w:pStyle w:val="17"/>
        <w:rPr>
          <w:rFonts w:hint="eastAsia" w:ascii="宋体"/>
          <w:b/>
          <w:color w:val="auto"/>
          <w:sz w:val="32"/>
          <w:szCs w:val="32"/>
          <w:highlight w:val="none"/>
        </w:rPr>
      </w:pPr>
    </w:p>
    <w:p>
      <w:pPr>
        <w:rPr>
          <w:rFonts w:hint="eastAsia" w:ascii="宋体"/>
          <w:b/>
          <w:color w:val="auto"/>
          <w:sz w:val="32"/>
          <w:szCs w:val="32"/>
          <w:highlight w:val="none"/>
        </w:rPr>
      </w:pPr>
    </w:p>
    <w:p>
      <w:pPr>
        <w:pStyle w:val="49"/>
        <w:rPr>
          <w:rFonts w:hint="eastAsia" w:ascii="宋体"/>
          <w:b/>
          <w:color w:val="auto"/>
          <w:sz w:val="32"/>
          <w:szCs w:val="32"/>
          <w:highlight w:val="none"/>
        </w:rPr>
      </w:pPr>
    </w:p>
    <w:p>
      <w:pPr>
        <w:pStyle w:val="21"/>
        <w:rPr>
          <w:rFonts w:hint="eastAsia" w:ascii="宋体"/>
          <w:b/>
          <w:color w:val="auto"/>
          <w:sz w:val="32"/>
          <w:szCs w:val="32"/>
          <w:highlight w:val="none"/>
        </w:rPr>
      </w:pPr>
    </w:p>
    <w:p>
      <w:pPr>
        <w:pStyle w:val="17"/>
        <w:rPr>
          <w:rFonts w:hint="eastAsia" w:ascii="宋体"/>
          <w:b/>
          <w:color w:val="auto"/>
          <w:sz w:val="32"/>
          <w:szCs w:val="32"/>
          <w:highlight w:val="none"/>
        </w:rPr>
      </w:pPr>
    </w:p>
    <w:p>
      <w:pPr>
        <w:rPr>
          <w:rFonts w:hint="eastAsia"/>
        </w:rPr>
      </w:pPr>
    </w:p>
    <w:p>
      <w:pPr>
        <w:rPr>
          <w:rFonts w:hint="eastAsia" w:ascii="宋体"/>
          <w:b/>
          <w:color w:val="auto"/>
          <w:sz w:val="32"/>
          <w:szCs w:val="32"/>
          <w:highlight w:val="none"/>
        </w:rPr>
      </w:pPr>
    </w:p>
    <w:p>
      <w:pPr>
        <w:rPr>
          <w:rFonts w:hint="eastAsia" w:ascii="宋体"/>
          <w:b/>
          <w:color w:val="auto"/>
          <w:sz w:val="32"/>
          <w:szCs w:val="32"/>
          <w:highlight w:val="none"/>
        </w:rPr>
      </w:pPr>
    </w:p>
    <w:p>
      <w:pPr>
        <w:spacing w:before="156" w:beforeLines="50" w:after="156" w:afterLines="50"/>
        <w:jc w:val="center"/>
        <w:outlineLvl w:val="0"/>
        <w:rPr>
          <w:rFonts w:ascii="宋体" w:hAnsi="宋体"/>
          <w:b/>
          <w:bCs/>
          <w:sz w:val="32"/>
          <w:szCs w:val="32"/>
          <w:highlight w:val="none"/>
        </w:rPr>
      </w:pPr>
      <w:r>
        <w:rPr>
          <w:rFonts w:hint="eastAsia" w:ascii="宋体"/>
          <w:b/>
          <w:color w:val="auto"/>
          <w:sz w:val="32"/>
          <w:szCs w:val="32"/>
          <w:highlight w:val="none"/>
        </w:rPr>
        <w:t>第</w:t>
      </w:r>
      <w:r>
        <w:rPr>
          <w:rFonts w:hint="eastAsia" w:ascii="宋体"/>
          <w:b/>
          <w:color w:val="auto"/>
          <w:sz w:val="32"/>
          <w:szCs w:val="32"/>
          <w:highlight w:val="none"/>
          <w:lang w:val="en-US" w:eastAsia="zh-CN"/>
        </w:rPr>
        <w:t>五</w:t>
      </w:r>
      <w:r>
        <w:rPr>
          <w:rFonts w:hint="eastAsia" w:ascii="宋体"/>
          <w:b/>
          <w:color w:val="auto"/>
          <w:sz w:val="32"/>
          <w:szCs w:val="32"/>
          <w:highlight w:val="none"/>
        </w:rPr>
        <w:t xml:space="preserve">章 </w:t>
      </w:r>
      <w:r>
        <w:rPr>
          <w:rFonts w:hint="eastAsia" w:ascii="宋体" w:hAnsi="宋体"/>
          <w:b/>
          <w:bCs/>
          <w:sz w:val="32"/>
          <w:szCs w:val="32"/>
          <w:highlight w:val="none"/>
        </w:rPr>
        <w:t>合同格式与条款</w:t>
      </w:r>
    </w:p>
    <w:p>
      <w:pPr>
        <w:snapToGrid w:val="0"/>
        <w:spacing w:line="360" w:lineRule="auto"/>
        <w:jc w:val="center"/>
        <w:rPr>
          <w:rFonts w:ascii="宋体" w:hAnsi="宋体"/>
          <w:bCs/>
          <w:color w:val="000000"/>
          <w:sz w:val="28"/>
          <w:szCs w:val="28"/>
          <w:highlight w:val="none"/>
        </w:rPr>
      </w:pPr>
      <w:r>
        <w:rPr>
          <w:rFonts w:hint="eastAsia" w:ascii="宋体" w:hAnsi="宋体"/>
          <w:color w:val="000000"/>
          <w:sz w:val="28"/>
          <w:szCs w:val="28"/>
          <w:highlight w:val="none"/>
        </w:rPr>
        <w:t>（签订合同时，仅以此本文为基准，具体条款双方协定）</w:t>
      </w:r>
    </w:p>
    <w:p>
      <w:pPr>
        <w:widowControl/>
        <w:numPr>
          <w:ilvl w:val="0"/>
          <w:numId w:val="3"/>
        </w:numPr>
        <w:spacing w:line="600" w:lineRule="exact"/>
        <w:jc w:val="center"/>
        <w:textAlignment w:val="baseline"/>
        <w:outlineLvl w:val="1"/>
        <w:rPr>
          <w:rFonts w:hint="eastAsia" w:ascii="宋体" w:hAnsi="宋体"/>
          <w:b/>
          <w:sz w:val="30"/>
          <w:szCs w:val="30"/>
          <w:highlight w:val="none"/>
        </w:rPr>
      </w:pPr>
      <w:r>
        <w:rPr>
          <w:rFonts w:hint="eastAsia" w:ascii="宋体" w:hAnsi="宋体"/>
          <w:b/>
          <w:sz w:val="30"/>
          <w:szCs w:val="30"/>
          <w:highlight w:val="none"/>
        </w:rPr>
        <w:t xml:space="preserve"> </w:t>
      </w:r>
      <w:bookmarkStart w:id="568" w:name="_Toc469495741"/>
      <w:r>
        <w:rPr>
          <w:rFonts w:hint="eastAsia" w:ascii="宋体" w:hAnsi="宋体"/>
          <w:b/>
          <w:sz w:val="30"/>
          <w:szCs w:val="30"/>
          <w:highlight w:val="none"/>
        </w:rPr>
        <w:t>合同协议书（格式）</w:t>
      </w:r>
      <w:bookmarkEnd w:id="568"/>
    </w:p>
    <w:p>
      <w:pPr>
        <w:spacing w:line="360" w:lineRule="auto"/>
        <w:ind w:firstLine="562" w:firstLineChars="200"/>
        <w:rPr>
          <w:rFonts w:hint="eastAsia" w:ascii="宋体" w:hAnsi="宋体"/>
          <w:b/>
          <w:sz w:val="28"/>
          <w:szCs w:val="28"/>
          <w:highlight w:val="none"/>
        </w:rPr>
      </w:pPr>
      <w:r>
        <w:rPr>
          <w:rFonts w:hint="eastAsia" w:ascii="宋体" w:hAnsi="宋体"/>
          <w:b/>
          <w:sz w:val="28"/>
          <w:szCs w:val="28"/>
          <w:highlight w:val="none"/>
        </w:rPr>
        <w:t xml:space="preserve">合同名称：              </w:t>
      </w:r>
    </w:p>
    <w:p>
      <w:pPr>
        <w:spacing w:line="400" w:lineRule="exact"/>
        <w:ind w:firstLine="420" w:firstLineChars="200"/>
        <w:rPr>
          <w:rFonts w:hint="eastAsia" w:ascii="宋体" w:hAnsi="宋体" w:cs="宋体"/>
          <w:szCs w:val="21"/>
          <w:highlight w:val="none"/>
        </w:rPr>
      </w:pPr>
      <w:bookmarkStart w:id="569" w:name="_Toc152042388"/>
      <w:bookmarkStart w:id="570" w:name="_Toc247085768"/>
      <w:bookmarkStart w:id="571" w:name="_Toc246996253"/>
      <w:bookmarkStart w:id="572" w:name="_Toc179632628"/>
      <w:bookmarkStart w:id="573" w:name="_Toc144974578"/>
      <w:bookmarkStart w:id="574" w:name="_Toc296602498"/>
      <w:bookmarkStart w:id="575" w:name="_Toc246996996"/>
      <w:bookmarkStart w:id="576" w:name="_Toc469495742"/>
      <w:bookmarkStart w:id="577" w:name="_Toc152045610"/>
      <w:r>
        <w:rPr>
          <w:rFonts w:hint="eastAsia" w:ascii="宋体" w:hAnsi="宋体" w:cs="宋体"/>
          <w:szCs w:val="21"/>
          <w:highlight w:val="none"/>
        </w:rPr>
        <w:t>买    方：</w:t>
      </w:r>
      <w:r>
        <w:rPr>
          <w:rFonts w:hint="eastAsia" w:ascii="宋体" w:hAnsi="宋体" w:cs="宋体"/>
          <w:szCs w:val="21"/>
          <w:highlight w:val="none"/>
          <w:lang w:eastAsia="zh-CN"/>
        </w:rPr>
        <w:t>滁州市第二人民医院（市传染病医院、市精神病医院）</w:t>
      </w:r>
      <w:r>
        <w:rPr>
          <w:rFonts w:hint="eastAsia" w:ascii="宋体" w:hAnsi="宋体" w:cs="宋体"/>
          <w:szCs w:val="21"/>
          <w:highlight w:val="none"/>
        </w:rPr>
        <w:t xml:space="preserve">                 </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卖    方： </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电    话：                                   电    话：</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 xml:space="preserve">住    所：                                   住    所：                       </w:t>
      </w:r>
    </w:p>
    <w:p>
      <w:pPr>
        <w:spacing w:line="400" w:lineRule="exact"/>
        <w:ind w:left="105" w:leftChars="50" w:firstLine="630" w:firstLineChars="300"/>
        <w:rPr>
          <w:rFonts w:hint="eastAsia"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的</w:t>
      </w:r>
      <w:r>
        <w:rPr>
          <w:rFonts w:hint="eastAsia" w:ascii="宋体" w:hAnsi="宋体" w:cs="宋体"/>
          <w:szCs w:val="21"/>
          <w:highlight w:val="none"/>
          <w:u w:val="single"/>
        </w:rPr>
        <w:t xml:space="preserve">                           项目 </w:t>
      </w:r>
      <w:r>
        <w:rPr>
          <w:rFonts w:hint="eastAsia" w:ascii="宋体" w:hAnsi="宋体" w:cs="宋体"/>
          <w:szCs w:val="21"/>
          <w:highlight w:val="none"/>
        </w:rPr>
        <w:t>经招标，确定</w:t>
      </w:r>
      <w:r>
        <w:rPr>
          <w:rFonts w:hint="eastAsia" w:ascii="宋体" w:hAnsi="宋体" w:cs="宋体"/>
          <w:szCs w:val="21"/>
          <w:highlight w:val="none"/>
          <w:u w:val="single"/>
        </w:rPr>
        <w:t xml:space="preserve">         </w:t>
      </w:r>
      <w:r>
        <w:rPr>
          <w:rFonts w:hint="eastAsia" w:ascii="宋体" w:hAnsi="宋体" w:cs="宋体"/>
          <w:szCs w:val="21"/>
          <w:highlight w:val="none"/>
        </w:rPr>
        <w:t>为中标人。按照</w:t>
      </w:r>
      <w:r>
        <w:rPr>
          <w:rFonts w:hint="eastAsia" w:ascii="宋体" w:hAnsi="宋体" w:cs="宋体"/>
          <w:szCs w:val="21"/>
          <w:highlight w:val="none"/>
          <w:lang w:eastAsia="zh-CN"/>
        </w:rPr>
        <w:t>《中华人民共和国民法典》</w:t>
      </w:r>
      <w:r>
        <w:rPr>
          <w:rFonts w:hint="eastAsia" w:ascii="宋体" w:hAnsi="宋体" w:cs="宋体"/>
          <w:szCs w:val="21"/>
          <w:highlight w:val="none"/>
        </w:rPr>
        <w:t>的规定，买卖双方同意按照下述的条款和条件，签署本合同。</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1、本合同文件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下列每一文件均应作为合同的组成部分进行阅读和解释：</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（1）交易文件（2）投标文件（3）中标通知书</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（4）经双方确认进入合同的其它文件、补充条款或说明</w:t>
      </w:r>
    </w:p>
    <w:p>
      <w:pPr>
        <w:spacing w:line="400" w:lineRule="exac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2、采购标的：</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w:t>
      </w:r>
    </w:p>
    <w:p>
      <w:pPr>
        <w:spacing w:line="400" w:lineRule="exact"/>
        <w:ind w:firstLine="735" w:firstLineChars="350"/>
        <w:rPr>
          <w:rFonts w:hint="eastAsia" w:ascii="宋体" w:hAnsi="宋体" w:cs="宋体"/>
          <w:szCs w:val="21"/>
          <w:highlight w:val="none"/>
        </w:rPr>
      </w:pPr>
      <w:r>
        <w:rPr>
          <w:rFonts w:hint="eastAsia" w:ascii="宋体" w:hAnsi="宋体" w:cs="宋体"/>
          <w:szCs w:val="21"/>
          <w:highlight w:val="none"/>
        </w:rPr>
        <w:t>数量：</w:t>
      </w:r>
      <w:r>
        <w:rPr>
          <w:rFonts w:hint="eastAsia" w:cs="Times New Roman"/>
          <w:b w:val="0"/>
          <w:bCs/>
          <w:color w:val="000000"/>
          <w:highlight w:val="none"/>
          <w:u w:val="single"/>
          <w:lang w:val="en-US" w:eastAsia="zh-CN"/>
        </w:rPr>
        <w:t xml:space="preserve">                             </w:t>
      </w:r>
      <w:r>
        <w:rPr>
          <w:rFonts w:hint="eastAsia" w:ascii="宋体" w:hAnsi="宋体" w:cs="宋体"/>
          <w:szCs w:val="21"/>
          <w:highlight w:val="none"/>
        </w:rPr>
        <w:t>；</w:t>
      </w:r>
    </w:p>
    <w:p>
      <w:pPr>
        <w:spacing w:line="400" w:lineRule="exact"/>
        <w:ind w:firstLine="735" w:firstLineChars="350"/>
        <w:rPr>
          <w:rFonts w:hint="eastAsia" w:ascii="宋体" w:hAnsi="宋体" w:cs="宋体"/>
          <w:szCs w:val="21"/>
          <w:highlight w:val="none"/>
        </w:rPr>
      </w:pPr>
      <w:r>
        <w:rPr>
          <w:rFonts w:hint="eastAsia" w:ascii="宋体" w:hAnsi="宋体" w:cs="宋体"/>
          <w:szCs w:val="21"/>
          <w:highlight w:val="none"/>
        </w:rPr>
        <w:t xml:space="preserve">质量要求：合格。 </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3、合同总价：中标价即合同价。</w:t>
      </w:r>
    </w:p>
    <w:p>
      <w:pPr>
        <w:spacing w:line="400" w:lineRule="exact"/>
        <w:ind w:firstLine="735" w:firstLineChars="350"/>
        <w:rPr>
          <w:rFonts w:hint="eastAsia" w:ascii="宋体" w:hAnsi="宋体" w:cs="宋体"/>
          <w:szCs w:val="21"/>
          <w:highlight w:val="none"/>
        </w:rPr>
      </w:pPr>
      <w:r>
        <w:rPr>
          <w:rFonts w:hint="eastAsia" w:ascii="宋体" w:hAnsi="宋体" w:cs="宋体"/>
          <w:szCs w:val="21"/>
          <w:highlight w:val="none"/>
        </w:rPr>
        <w:t>合同总价为</w:t>
      </w:r>
      <w:r>
        <w:rPr>
          <w:rFonts w:hint="eastAsia" w:ascii="宋体" w:hAnsi="宋体" w:cs="宋体"/>
          <w:szCs w:val="21"/>
          <w:highlight w:val="none"/>
          <w:u w:val="single"/>
        </w:rPr>
        <w:t xml:space="preserve">            </w:t>
      </w:r>
      <w:r>
        <w:rPr>
          <w:rFonts w:hint="eastAsia" w:ascii="宋体" w:hAnsi="宋体" w:cs="宋体"/>
          <w:szCs w:val="21"/>
          <w:highlight w:val="none"/>
        </w:rPr>
        <w:t>人民币。</w:t>
      </w:r>
    </w:p>
    <w:p>
      <w:pPr>
        <w:autoSpaceDN w:val="0"/>
        <w:spacing w:line="340" w:lineRule="exact"/>
        <w:ind w:firstLine="420" w:firstLineChars="199"/>
        <w:rPr>
          <w:rFonts w:hint="eastAsia" w:ascii="宋体" w:hAnsi="宋体" w:cs="宋体"/>
          <w:b/>
          <w:szCs w:val="21"/>
          <w:highlight w:val="none"/>
        </w:rPr>
      </w:pPr>
      <w:r>
        <w:rPr>
          <w:rFonts w:hint="eastAsia" w:ascii="宋体" w:hAnsi="宋体" w:cs="宋体"/>
          <w:b/>
          <w:szCs w:val="21"/>
          <w:highlight w:val="none"/>
        </w:rPr>
        <w:t>4、付款方式：</w:t>
      </w:r>
      <w:r>
        <w:rPr>
          <w:rFonts w:hint="eastAsia" w:ascii="宋体" w:hAnsi="宋体" w:eastAsia="宋体" w:cs="宋体"/>
          <w:b/>
          <w:szCs w:val="21"/>
          <w:highlight w:val="none"/>
          <w:u w:val="single"/>
          <w:lang w:val="en-US" w:eastAsia="zh-CN"/>
        </w:rPr>
        <w:t xml:space="preserve">                     。</w:t>
      </w:r>
      <w:r>
        <w:rPr>
          <w:rFonts w:hint="eastAsia" w:ascii="宋体" w:hAnsi="宋体"/>
          <w:b/>
          <w:szCs w:val="21"/>
          <w:highlight w:val="none"/>
        </w:rPr>
        <w:t xml:space="preserve"> </w:t>
      </w:r>
    </w:p>
    <w:p>
      <w:pPr>
        <w:spacing w:line="400" w:lineRule="exact"/>
        <w:ind w:firstLine="420" w:firstLineChars="200"/>
        <w:rPr>
          <w:rFonts w:hint="default" w:ascii="宋体" w:hAnsi="宋体" w:eastAsia="宋体" w:cs="Times New Roman"/>
          <w:szCs w:val="21"/>
          <w:highlight w:val="none"/>
          <w:lang w:val="en-US"/>
        </w:rPr>
      </w:pPr>
      <w:r>
        <w:rPr>
          <w:rFonts w:hint="eastAsia" w:ascii="宋体" w:hAnsi="宋体" w:cs="宋体"/>
          <w:szCs w:val="21"/>
          <w:highlight w:val="none"/>
        </w:rPr>
        <w:t>5、</w:t>
      </w:r>
      <w:r>
        <w:rPr>
          <w:rFonts w:hint="eastAsia" w:ascii="宋体" w:hAnsi="宋体"/>
          <w:szCs w:val="21"/>
          <w:highlight w:val="none"/>
        </w:rPr>
        <w:t>合同供货（服务）期限及地点和方式：</w:t>
      </w:r>
      <w:r>
        <w:rPr>
          <w:rFonts w:hint="eastAsia" w:ascii="宋体" w:hAnsi="宋体" w:eastAsia="宋体" w:cs="Times New Roman"/>
          <w:szCs w:val="21"/>
          <w:highlight w:val="none"/>
          <w:u w:val="single"/>
          <w:lang w:val="en-US" w:eastAsia="zh-CN"/>
        </w:rPr>
        <w:t xml:space="preserve">                  </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6、验收要求及违约责任</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7、违约责任及解决争议方法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8、合同的生效</w:t>
      </w:r>
    </w:p>
    <w:p>
      <w:pPr>
        <w:spacing w:line="400" w:lineRule="exact"/>
        <w:ind w:firstLine="420" w:firstLineChars="200"/>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合同经双方授权代表签署，买卖双方加盖印章之后生效。</w:t>
      </w:r>
    </w:p>
    <w:p>
      <w:pPr>
        <w:spacing w:line="400" w:lineRule="exact"/>
        <w:ind w:firstLine="420" w:firstLineChars="200"/>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 xml:space="preserve">本合同一式 </w:t>
      </w:r>
      <w:r>
        <w:rPr>
          <w:rFonts w:hint="eastAsia" w:ascii="宋体" w:hAnsi="宋体" w:cs="宋体"/>
          <w:kern w:val="0"/>
          <w:szCs w:val="21"/>
          <w:highlight w:val="none"/>
          <w:u w:val="none" w:color="000000"/>
          <w:lang w:val="en-US" w:eastAsia="zh-CN"/>
        </w:rPr>
        <w:t>陆</w:t>
      </w:r>
      <w:r>
        <w:rPr>
          <w:rFonts w:hint="eastAsia" w:ascii="宋体" w:hAnsi="宋体" w:cs="宋体"/>
          <w:kern w:val="0"/>
          <w:szCs w:val="21"/>
          <w:highlight w:val="none"/>
          <w:u w:val="none" w:color="000000"/>
        </w:rPr>
        <w:t xml:space="preserve"> 份，</w:t>
      </w:r>
      <w:r>
        <w:rPr>
          <w:rFonts w:hint="eastAsia" w:ascii="宋体" w:hAnsi="宋体" w:cs="宋体"/>
          <w:kern w:val="0"/>
          <w:szCs w:val="21"/>
          <w:highlight w:val="none"/>
          <w:u w:val="none" w:color="000000"/>
          <w:lang w:val="en-US" w:eastAsia="zh-CN"/>
        </w:rPr>
        <w:t>甲方执肆，乙方执</w:t>
      </w:r>
      <w:r>
        <w:rPr>
          <w:rFonts w:hint="eastAsia" w:ascii="宋体" w:hAnsi="宋体" w:cs="宋体"/>
          <w:kern w:val="0"/>
          <w:szCs w:val="21"/>
          <w:highlight w:val="none"/>
          <w:u w:val="none" w:color="000000"/>
        </w:rPr>
        <w:t xml:space="preserve"> 贰 份</w:t>
      </w:r>
      <w:r>
        <w:rPr>
          <w:rFonts w:hint="eastAsia" w:ascii="宋体" w:hAnsi="宋体" w:cs="宋体"/>
          <w:kern w:val="0"/>
          <w:szCs w:val="21"/>
          <w:highlight w:val="none"/>
          <w:u w:val="none" w:color="000000"/>
          <w:lang w:eastAsia="zh-CN"/>
        </w:rPr>
        <w:t>，</w:t>
      </w:r>
      <w:r>
        <w:rPr>
          <w:rFonts w:hint="eastAsia" w:ascii="宋体" w:hAnsi="宋体" w:cs="宋体"/>
          <w:kern w:val="0"/>
          <w:szCs w:val="21"/>
          <w:highlight w:val="none"/>
          <w:u w:val="none" w:color="000000"/>
          <w:lang w:val="en-US" w:eastAsia="zh-CN"/>
        </w:rPr>
        <w:t>具有同等法律效力</w:t>
      </w:r>
      <w:r>
        <w:rPr>
          <w:rFonts w:hint="eastAsia" w:ascii="宋体" w:hAnsi="宋体" w:cs="宋体"/>
          <w:kern w:val="0"/>
          <w:szCs w:val="21"/>
          <w:highlight w:val="none"/>
          <w:u w:val="none" w:color="000000"/>
        </w:rPr>
        <w:t>。</w:t>
      </w:r>
    </w:p>
    <w:p>
      <w:pPr>
        <w:spacing w:line="400" w:lineRule="exact"/>
        <w:ind w:firstLine="420" w:firstLineChars="200"/>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买  方：                          卖  方：</w:t>
      </w:r>
    </w:p>
    <w:p>
      <w:pPr>
        <w:spacing w:line="400" w:lineRule="exact"/>
        <w:ind w:firstLine="420" w:firstLineChars="200"/>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名  称：（盖章）                  名  称：（盖章）</w:t>
      </w:r>
    </w:p>
    <w:p>
      <w:pPr>
        <w:spacing w:line="400" w:lineRule="exact"/>
        <w:ind w:firstLine="420" w:firstLineChars="200"/>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法定代表人（或委托代理人）：      法定代表人（或委托代理人）：</w:t>
      </w:r>
    </w:p>
    <w:p>
      <w:pPr>
        <w:spacing w:line="400" w:lineRule="exact"/>
        <w:ind w:firstLine="420" w:firstLineChars="200"/>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（签字）                        （签字）</w:t>
      </w:r>
    </w:p>
    <w:p>
      <w:pPr>
        <w:spacing w:line="400" w:lineRule="exact"/>
        <w:ind w:firstLine="420" w:firstLineChars="200"/>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地    址：                        地    址：</w:t>
      </w:r>
    </w:p>
    <w:p>
      <w:pPr>
        <w:spacing w:line="400" w:lineRule="exact"/>
        <w:ind w:firstLine="420" w:firstLineChars="200"/>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电    话：                        电    话：</w:t>
      </w:r>
    </w:p>
    <w:p>
      <w:pPr>
        <w:spacing w:line="400" w:lineRule="exact"/>
        <w:ind w:firstLine="420" w:firstLineChars="200"/>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开户银行：                        开户银行：</w:t>
      </w:r>
    </w:p>
    <w:p>
      <w:pPr>
        <w:spacing w:line="400" w:lineRule="exact"/>
        <w:ind w:firstLine="420" w:firstLineChars="200"/>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帐    号：                        帐    号：</w:t>
      </w:r>
    </w:p>
    <w:p>
      <w:pPr>
        <w:spacing w:line="400" w:lineRule="exact"/>
        <w:jc w:val="center"/>
        <w:outlineLvl w:val="1"/>
        <w:rPr>
          <w:rFonts w:hint="eastAsia" w:ascii="宋体" w:hAnsi="宋体"/>
          <w:b/>
          <w:sz w:val="30"/>
          <w:szCs w:val="30"/>
          <w:highlight w:val="none"/>
        </w:rPr>
      </w:pPr>
    </w:p>
    <w:p>
      <w:pPr>
        <w:spacing w:line="400" w:lineRule="exact"/>
        <w:jc w:val="center"/>
        <w:outlineLvl w:val="1"/>
        <w:rPr>
          <w:rFonts w:hint="eastAsia" w:ascii="宋体" w:hAnsi="宋体"/>
          <w:b/>
          <w:sz w:val="30"/>
          <w:szCs w:val="30"/>
          <w:highlight w:val="none"/>
        </w:rPr>
      </w:pPr>
    </w:p>
    <w:p>
      <w:pPr>
        <w:spacing w:line="400" w:lineRule="exact"/>
        <w:jc w:val="center"/>
        <w:outlineLvl w:val="1"/>
        <w:rPr>
          <w:rFonts w:hint="eastAsia" w:ascii="宋体" w:hAnsi="宋体"/>
          <w:b/>
          <w:sz w:val="30"/>
          <w:szCs w:val="30"/>
          <w:highlight w:val="none"/>
        </w:rPr>
      </w:pPr>
      <w:r>
        <w:rPr>
          <w:rFonts w:hint="eastAsia" w:ascii="宋体" w:hAnsi="宋体"/>
          <w:b/>
          <w:sz w:val="30"/>
          <w:szCs w:val="30"/>
          <w:highlight w:val="none"/>
        </w:rPr>
        <w:t>二  合同条款</w:t>
      </w:r>
      <w:bookmarkEnd w:id="569"/>
      <w:bookmarkEnd w:id="570"/>
      <w:bookmarkEnd w:id="571"/>
      <w:bookmarkEnd w:id="572"/>
      <w:bookmarkEnd w:id="573"/>
      <w:bookmarkEnd w:id="574"/>
      <w:bookmarkEnd w:id="575"/>
      <w:bookmarkEnd w:id="576"/>
      <w:bookmarkEnd w:id="577"/>
    </w:p>
    <w:p>
      <w:pPr>
        <w:spacing w:line="400" w:lineRule="exact"/>
        <w:rPr>
          <w:rFonts w:hint="eastAsia" w:ascii="宋体" w:hAnsi="宋体" w:cs="宋体"/>
          <w:b/>
          <w:szCs w:val="21"/>
          <w:highlight w:val="none"/>
        </w:rPr>
      </w:pPr>
      <w:r>
        <w:rPr>
          <w:rFonts w:hint="eastAsia" w:ascii="宋体" w:hAnsi="宋体" w:cs="宋体"/>
          <w:b/>
          <w:szCs w:val="21"/>
          <w:highlight w:val="none"/>
        </w:rPr>
        <w:t>一.  合同文件</w:t>
      </w:r>
    </w:p>
    <w:p>
      <w:pPr>
        <w:spacing w:line="400" w:lineRule="exact"/>
        <w:rPr>
          <w:rFonts w:hint="eastAsia" w:ascii="宋体" w:hAnsi="宋体" w:cs="宋体"/>
          <w:szCs w:val="21"/>
          <w:highlight w:val="none"/>
        </w:rPr>
      </w:pPr>
      <w:r>
        <w:rPr>
          <w:rFonts w:hint="eastAsia" w:ascii="宋体" w:hAnsi="宋体" w:cs="宋体"/>
          <w:szCs w:val="21"/>
          <w:highlight w:val="none"/>
        </w:rPr>
        <w:t>1、合同文件适用法律</w:t>
      </w:r>
    </w:p>
    <w:p>
      <w:pPr>
        <w:spacing w:line="400" w:lineRule="exact"/>
        <w:ind w:firstLine="630" w:firstLineChars="300"/>
        <w:rPr>
          <w:rFonts w:hint="eastAsia" w:ascii="宋体" w:hAnsi="宋体" w:cs="宋体"/>
          <w:szCs w:val="21"/>
          <w:highlight w:val="none"/>
        </w:rPr>
      </w:pPr>
      <w:r>
        <w:rPr>
          <w:rFonts w:hint="eastAsia" w:ascii="宋体" w:hAnsi="宋体" w:cs="宋体"/>
          <w:szCs w:val="21"/>
          <w:highlight w:val="none"/>
        </w:rPr>
        <w:t>适用于合同文件的法律是中华人民共和国现行法律、法规及招标人所在地的地方性法规。</w:t>
      </w:r>
    </w:p>
    <w:p>
      <w:pPr>
        <w:spacing w:line="400" w:lineRule="exact"/>
        <w:rPr>
          <w:rFonts w:hint="eastAsia" w:ascii="宋体" w:hAnsi="宋体" w:cs="宋体"/>
          <w:szCs w:val="21"/>
          <w:highlight w:val="none"/>
        </w:rPr>
      </w:pPr>
      <w:r>
        <w:rPr>
          <w:rFonts w:hint="eastAsia" w:ascii="宋体" w:hAnsi="宋体" w:cs="宋体"/>
          <w:szCs w:val="21"/>
          <w:highlight w:val="none"/>
        </w:rPr>
        <w:t>2、合同文件组成和解释顺序</w:t>
      </w:r>
    </w:p>
    <w:p>
      <w:pPr>
        <w:spacing w:line="400" w:lineRule="exact"/>
        <w:ind w:firstLine="525" w:firstLineChars="250"/>
        <w:rPr>
          <w:rFonts w:hint="eastAsia" w:ascii="宋体" w:hAnsi="宋体" w:cs="宋体"/>
          <w:szCs w:val="21"/>
          <w:highlight w:val="none"/>
        </w:rPr>
      </w:pPr>
      <w:r>
        <w:rPr>
          <w:rFonts w:hint="eastAsia" w:ascii="宋体" w:hAnsi="宋体" w:cs="宋体"/>
          <w:szCs w:val="21"/>
          <w:highlight w:val="none"/>
        </w:rPr>
        <w:t>(1)合同文件的组成和解释顺序如下：</w:t>
      </w:r>
    </w:p>
    <w:p>
      <w:pPr>
        <w:spacing w:line="400" w:lineRule="exact"/>
        <w:ind w:firstLine="525" w:firstLineChars="250"/>
        <w:rPr>
          <w:rFonts w:hint="eastAsia" w:ascii="宋体" w:hAnsi="宋体" w:cs="宋体"/>
          <w:szCs w:val="21"/>
          <w:highlight w:val="none"/>
        </w:rPr>
      </w:pPr>
      <w:r>
        <w:rPr>
          <w:rFonts w:hint="eastAsia" w:ascii="宋体" w:hAnsi="宋体" w:cs="宋体"/>
          <w:szCs w:val="21"/>
          <w:highlight w:val="none"/>
        </w:rPr>
        <w:t>&lt;1&gt;合同的主要条款；</w:t>
      </w:r>
    </w:p>
    <w:p>
      <w:pPr>
        <w:spacing w:line="400" w:lineRule="exact"/>
        <w:ind w:firstLine="525" w:firstLineChars="250"/>
        <w:rPr>
          <w:rFonts w:hint="eastAsia" w:ascii="宋体" w:hAnsi="宋体" w:cs="宋体"/>
          <w:szCs w:val="21"/>
          <w:highlight w:val="none"/>
        </w:rPr>
      </w:pPr>
      <w:r>
        <w:rPr>
          <w:rFonts w:hint="eastAsia" w:ascii="宋体" w:hAnsi="宋体" w:cs="宋体"/>
          <w:szCs w:val="21"/>
          <w:highlight w:val="none"/>
        </w:rPr>
        <w:t>&lt;2&gt;合同的一般性条款；</w:t>
      </w:r>
    </w:p>
    <w:p>
      <w:pPr>
        <w:spacing w:line="400" w:lineRule="exact"/>
        <w:ind w:firstLine="525" w:firstLineChars="250"/>
        <w:rPr>
          <w:rFonts w:hint="eastAsia" w:ascii="宋体" w:hAnsi="宋体" w:cs="宋体"/>
          <w:szCs w:val="21"/>
          <w:highlight w:val="none"/>
        </w:rPr>
      </w:pPr>
      <w:r>
        <w:rPr>
          <w:rFonts w:hint="eastAsia" w:ascii="宋体" w:hAnsi="宋体" w:cs="宋体"/>
          <w:szCs w:val="21"/>
          <w:highlight w:val="none"/>
        </w:rPr>
        <w:t>&lt;3&gt;洽商、变更等明确双方权利义务的纪要、协议；</w:t>
      </w:r>
    </w:p>
    <w:p>
      <w:pPr>
        <w:spacing w:line="400" w:lineRule="exact"/>
        <w:ind w:firstLine="525" w:firstLineChars="250"/>
        <w:rPr>
          <w:rFonts w:hint="eastAsia" w:ascii="宋体" w:hAnsi="宋体" w:cs="宋体"/>
          <w:szCs w:val="21"/>
          <w:highlight w:val="none"/>
        </w:rPr>
      </w:pPr>
      <w:r>
        <w:rPr>
          <w:rFonts w:hint="eastAsia" w:ascii="宋体" w:hAnsi="宋体" w:cs="宋体"/>
          <w:szCs w:val="21"/>
          <w:highlight w:val="none"/>
        </w:rPr>
        <w:t>&lt;4&gt;中标通知书、投标文件和交易文件；</w:t>
      </w:r>
    </w:p>
    <w:p>
      <w:pPr>
        <w:spacing w:line="400" w:lineRule="exact"/>
        <w:ind w:firstLine="525" w:firstLineChars="250"/>
        <w:rPr>
          <w:rFonts w:hint="eastAsia" w:ascii="宋体" w:hAnsi="宋体" w:cs="宋体"/>
          <w:szCs w:val="21"/>
          <w:highlight w:val="none"/>
        </w:rPr>
      </w:pPr>
      <w:r>
        <w:rPr>
          <w:rFonts w:hint="eastAsia" w:ascii="宋体" w:hAnsi="宋体" w:cs="宋体"/>
          <w:szCs w:val="21"/>
          <w:highlight w:val="none"/>
        </w:rPr>
        <w:t>&lt;5&gt;有关图纸、标准、规范和其它有关技术资料、技术要求。</w:t>
      </w:r>
    </w:p>
    <w:p>
      <w:pPr>
        <w:spacing w:line="400" w:lineRule="exact"/>
        <w:ind w:firstLine="525" w:firstLineChars="250"/>
        <w:rPr>
          <w:rFonts w:hint="eastAsia" w:ascii="宋体" w:hAnsi="宋体" w:cs="宋体"/>
          <w:szCs w:val="21"/>
          <w:highlight w:val="none"/>
        </w:rPr>
      </w:pPr>
      <w:r>
        <w:rPr>
          <w:rFonts w:hint="eastAsia" w:ascii="宋体" w:hAnsi="宋体" w:cs="宋体"/>
          <w:szCs w:val="21"/>
          <w:highlight w:val="none"/>
        </w:rPr>
        <w:t>&lt;6&gt;合同的主要条款的效力优于合同的一般性条款的效力。</w:t>
      </w:r>
    </w:p>
    <w:p>
      <w:pPr>
        <w:spacing w:line="400" w:lineRule="exact"/>
        <w:rPr>
          <w:rFonts w:hint="eastAsia" w:ascii="宋体" w:hAnsi="宋体" w:cs="宋体"/>
          <w:szCs w:val="21"/>
          <w:highlight w:val="none"/>
        </w:rPr>
      </w:pPr>
      <w:r>
        <w:rPr>
          <w:rFonts w:hint="eastAsia" w:ascii="宋体" w:hAnsi="宋体" w:cs="宋体"/>
          <w:szCs w:val="21"/>
          <w:highlight w:val="none"/>
        </w:rPr>
        <w:t>3、合同文件使用文字</w:t>
      </w:r>
    </w:p>
    <w:p>
      <w:pPr>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(1)合同文件使用中文书写、解释和说明。</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pacing w:line="400" w:lineRule="exact"/>
        <w:rPr>
          <w:rFonts w:hint="eastAsia" w:ascii="宋体" w:hAnsi="宋体" w:cs="宋体"/>
          <w:b/>
          <w:szCs w:val="21"/>
          <w:highlight w:val="none"/>
        </w:rPr>
      </w:pPr>
      <w:r>
        <w:rPr>
          <w:rFonts w:hint="eastAsia" w:ascii="宋体" w:hAnsi="宋体" w:cs="宋体"/>
          <w:b/>
          <w:szCs w:val="21"/>
          <w:highlight w:val="none"/>
        </w:rPr>
        <w:t>二.  标的物的一般条款</w:t>
      </w:r>
    </w:p>
    <w:p>
      <w:pPr>
        <w:spacing w:line="400" w:lineRule="exact"/>
        <w:rPr>
          <w:rFonts w:hint="eastAsia" w:ascii="宋体" w:hAnsi="宋体" w:cs="宋体"/>
          <w:szCs w:val="21"/>
          <w:highlight w:val="none"/>
        </w:rPr>
      </w:pPr>
      <w:r>
        <w:rPr>
          <w:rFonts w:hint="eastAsia" w:ascii="宋体" w:hAnsi="宋体" w:cs="宋体"/>
          <w:szCs w:val="21"/>
          <w:highlight w:val="none"/>
        </w:rPr>
        <w:t>4、完整物权</w:t>
      </w:r>
    </w:p>
    <w:p>
      <w:pPr>
        <w:tabs>
          <w:tab w:val="left" w:pos="660"/>
        </w:tabs>
        <w:spacing w:line="400" w:lineRule="exact"/>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cs="宋体"/>
          <w:szCs w:val="21"/>
          <w:highlight w:val="none"/>
        </w:rPr>
        <w:tab/>
      </w:r>
      <w:r>
        <w:rPr>
          <w:rFonts w:hint="eastAsia" w:ascii="宋体" w:hAnsi="宋体" w:cs="宋体"/>
          <w:szCs w:val="21"/>
          <w:highlight w:val="none"/>
        </w:rPr>
        <w:t>对于出卖的标的物，卖方应当拥有完整物权，并且卖方负有保证第三人不得向买方主张任何权利（包括知识产权）的义务。</w:t>
      </w:r>
    </w:p>
    <w:p>
      <w:pPr>
        <w:spacing w:line="400" w:lineRule="exact"/>
        <w:rPr>
          <w:rFonts w:hint="eastAsia" w:ascii="宋体" w:hAnsi="宋体" w:cs="宋体"/>
          <w:szCs w:val="21"/>
          <w:highlight w:val="none"/>
        </w:rPr>
      </w:pPr>
      <w:r>
        <w:rPr>
          <w:rFonts w:hint="eastAsia" w:ascii="宋体" w:hAnsi="宋体" w:cs="宋体"/>
          <w:szCs w:val="21"/>
          <w:highlight w:val="none"/>
        </w:rPr>
        <w:t>5、质量保证</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tabs>
          <w:tab w:val="left" w:pos="900"/>
        </w:tabs>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pacing w:line="400" w:lineRule="exact"/>
        <w:rPr>
          <w:rFonts w:hint="eastAsia" w:ascii="宋体" w:hAnsi="宋体" w:cs="宋体"/>
          <w:szCs w:val="21"/>
          <w:highlight w:val="none"/>
        </w:rPr>
      </w:pPr>
      <w:r>
        <w:rPr>
          <w:rFonts w:hint="eastAsia" w:ascii="宋体" w:hAnsi="宋体" w:cs="宋体"/>
          <w:szCs w:val="21"/>
          <w:highlight w:val="none"/>
        </w:rPr>
        <w:t>6、包装</w:t>
      </w:r>
    </w:p>
    <w:p>
      <w:pPr>
        <w:tabs>
          <w:tab w:val="left" w:pos="900"/>
        </w:tabs>
        <w:adjustRightInd w:val="0"/>
        <w:spacing w:line="400" w:lineRule="exact"/>
        <w:ind w:firstLine="472" w:firstLineChars="225"/>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00" w:lineRule="exact"/>
        <w:rPr>
          <w:rFonts w:hint="eastAsia" w:ascii="宋体" w:hAnsi="宋体" w:cs="宋体"/>
          <w:szCs w:val="21"/>
          <w:highlight w:val="none"/>
        </w:rPr>
      </w:pPr>
      <w:r>
        <w:rPr>
          <w:rFonts w:hint="eastAsia" w:ascii="宋体" w:hAnsi="宋体" w:cs="宋体"/>
          <w:szCs w:val="21"/>
          <w:highlight w:val="none"/>
        </w:rPr>
        <w:t>7、伴随服务</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(1)卖方除应履行按期按量交付合格标的物的义务之外，还应提供下列服务：</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&lt;1&gt;标的物的现场安装或指导安装、启动、调试、监督（如果必须安装、调试的话）；</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&lt;2&gt;提供标的物组装和一般维修所必须的工具；</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&lt;3&gt;在合同规定的期限内对所提供标的物实行运行监督、维修服务的前提条件是该服务并不能免除卖方在质量保证期内所承担的义务；</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&lt;4&gt;对买方技术人员的技术指导或培训。</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(2)除合同另有规定之外，伴随服务的费用均已含在合同价款中，买方不再另行进行支付。</w:t>
      </w:r>
    </w:p>
    <w:p>
      <w:pPr>
        <w:spacing w:line="400" w:lineRule="exact"/>
        <w:rPr>
          <w:rFonts w:hint="eastAsia" w:ascii="宋体" w:hAnsi="宋体" w:cs="宋体"/>
          <w:b/>
          <w:szCs w:val="21"/>
          <w:highlight w:val="none"/>
        </w:rPr>
      </w:pPr>
      <w:r>
        <w:rPr>
          <w:rFonts w:hint="eastAsia" w:ascii="宋体" w:hAnsi="宋体" w:cs="宋体"/>
          <w:b/>
          <w:szCs w:val="21"/>
          <w:highlight w:val="none"/>
        </w:rPr>
        <w:t>三.  标的物的交付、检验和验收</w:t>
      </w:r>
    </w:p>
    <w:p>
      <w:pPr>
        <w:spacing w:line="400" w:lineRule="exact"/>
        <w:rPr>
          <w:rFonts w:hint="eastAsia" w:ascii="宋体" w:hAnsi="宋体" w:cs="宋体"/>
          <w:szCs w:val="21"/>
          <w:highlight w:val="none"/>
        </w:rPr>
      </w:pPr>
      <w:r>
        <w:rPr>
          <w:rFonts w:hint="eastAsia" w:ascii="宋体" w:hAnsi="宋体" w:cs="宋体"/>
          <w:szCs w:val="21"/>
          <w:highlight w:val="none"/>
        </w:rPr>
        <w:t>8、标的物的交付</w:t>
      </w:r>
    </w:p>
    <w:p>
      <w:pPr>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(1)标的物的所有权自标的物交付时转移。</w:t>
      </w:r>
    </w:p>
    <w:p>
      <w:pPr>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(2)卖方应当按照约定的期限和约定的地点交付符合交易文件要求的标的物。</w:t>
      </w:r>
    </w:p>
    <w:p>
      <w:pPr>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(3)卖方应当按照约定或者交易习惯向招标人交付提取标的物单证以外的有关单证和资料。</w:t>
      </w:r>
    </w:p>
    <w:p>
      <w:pPr>
        <w:spacing w:line="400" w:lineRule="exact"/>
        <w:rPr>
          <w:rFonts w:hint="eastAsia" w:ascii="宋体" w:hAnsi="宋体" w:cs="宋体"/>
          <w:szCs w:val="21"/>
          <w:highlight w:val="none"/>
        </w:rPr>
      </w:pPr>
      <w:r>
        <w:rPr>
          <w:rFonts w:hint="eastAsia" w:ascii="宋体" w:hAnsi="宋体" w:cs="宋体"/>
          <w:szCs w:val="21"/>
          <w:highlight w:val="none"/>
        </w:rPr>
        <w:t>9、检验和验收</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(2)买方根据合同规定的内容和验收标准进行验收，经检验无误后出具验收合格证明，该证明作为最终付款所需文件的组成部分。</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(3)验收期限自标的物交付之日起三十天内。特殊情况需延长的，双方应在合同条款中约定。</w:t>
      </w:r>
    </w:p>
    <w:p>
      <w:pPr>
        <w:spacing w:line="400" w:lineRule="exact"/>
        <w:rPr>
          <w:rFonts w:hint="eastAsia" w:ascii="宋体" w:hAnsi="宋体" w:cs="宋体"/>
          <w:b/>
          <w:szCs w:val="21"/>
          <w:highlight w:val="none"/>
        </w:rPr>
      </w:pPr>
      <w:r>
        <w:rPr>
          <w:rFonts w:hint="eastAsia" w:ascii="宋体" w:hAnsi="宋体" w:cs="宋体"/>
          <w:b/>
          <w:szCs w:val="21"/>
          <w:highlight w:val="none"/>
        </w:rPr>
        <w:t>四. 对标的物提出异议的时间和办法</w:t>
      </w:r>
    </w:p>
    <w:p>
      <w:pPr>
        <w:spacing w:line="400" w:lineRule="exact"/>
        <w:rPr>
          <w:rFonts w:hint="eastAsia" w:ascii="宋体" w:hAnsi="宋体" w:cs="宋体"/>
          <w:szCs w:val="21"/>
          <w:highlight w:val="none"/>
        </w:rPr>
      </w:pPr>
      <w:r>
        <w:rPr>
          <w:rFonts w:hint="eastAsia" w:ascii="宋体" w:hAnsi="宋体" w:cs="宋体"/>
          <w:szCs w:val="21"/>
          <w:highlight w:val="none"/>
        </w:rPr>
        <w:t xml:space="preserve">10、对标的物提出异议的时间和办法 </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(1)买方在验收过程中，应当于双方约定的检验期间内将标的物的数量或质量不符合约定的情形及处理方式以书面形式通知卖方。</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(2)如买方在验收期满后既不出具验收合格证明又未提出书面异议的视为卖方所交标的物符合合同规定。</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(3)卖方应在收到买方书面异议后七天内负责处理问题，否则将视为默认买方提出的异议和处理意见。</w:t>
      </w:r>
    </w:p>
    <w:p>
      <w:pPr>
        <w:spacing w:line="400" w:lineRule="exact"/>
        <w:rPr>
          <w:rFonts w:hint="eastAsia" w:ascii="宋体" w:hAnsi="宋体" w:cs="宋体"/>
          <w:b/>
          <w:szCs w:val="21"/>
          <w:highlight w:val="none"/>
        </w:rPr>
      </w:pPr>
      <w:r>
        <w:rPr>
          <w:rFonts w:hint="eastAsia" w:ascii="宋体" w:hAnsi="宋体" w:cs="宋体"/>
          <w:b/>
          <w:szCs w:val="21"/>
          <w:highlight w:val="none"/>
        </w:rPr>
        <w:t>五. 合同价款和支付</w:t>
      </w:r>
    </w:p>
    <w:p>
      <w:pPr>
        <w:spacing w:line="400" w:lineRule="exact"/>
        <w:rPr>
          <w:rFonts w:hint="eastAsia" w:ascii="宋体" w:hAnsi="宋体" w:cs="宋体"/>
          <w:szCs w:val="21"/>
          <w:highlight w:val="none"/>
        </w:rPr>
      </w:pPr>
      <w:r>
        <w:rPr>
          <w:rFonts w:hint="eastAsia" w:ascii="宋体" w:hAnsi="宋体" w:cs="宋体"/>
          <w:szCs w:val="21"/>
          <w:highlight w:val="none"/>
        </w:rPr>
        <w:t>11、合同价款和支付</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(1)本合同的结算货币为人民币，单位元。</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(2)卖方应按照双方签订的合同规定交货并在合同主要条款规定的期限内持下列单据结算货款：</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&lt;1&gt;合格的销售发票；</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&lt;2&gt;买方盖章签收后的送货回单和验收合格证明。</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(3)买方应按合同主要条款规定的期限和方式付款。</w:t>
      </w:r>
    </w:p>
    <w:p>
      <w:pPr>
        <w:tabs>
          <w:tab w:val="left" w:pos="540"/>
        </w:tabs>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(4)根据现行税法对买方征收的与本合同有关的一切税费均由买方承担；根据现行税法对卖方征收的与本合同有关的一切税费均由卖方承担。</w:t>
      </w:r>
    </w:p>
    <w:p>
      <w:pPr>
        <w:spacing w:line="400" w:lineRule="exact"/>
        <w:rPr>
          <w:rFonts w:hint="eastAsia" w:ascii="宋体" w:hAnsi="宋体" w:cs="宋体"/>
          <w:b/>
          <w:szCs w:val="21"/>
          <w:highlight w:val="none"/>
        </w:rPr>
      </w:pPr>
      <w:r>
        <w:rPr>
          <w:rFonts w:hint="eastAsia" w:ascii="宋体" w:hAnsi="宋体" w:cs="宋体"/>
          <w:b/>
          <w:szCs w:val="21"/>
          <w:highlight w:val="none"/>
        </w:rPr>
        <w:t>六. 违约责任</w:t>
      </w:r>
    </w:p>
    <w:p>
      <w:pPr>
        <w:spacing w:line="400" w:lineRule="exact"/>
        <w:rPr>
          <w:rFonts w:hint="eastAsia" w:ascii="宋体" w:hAnsi="宋体" w:cs="宋体"/>
          <w:szCs w:val="21"/>
          <w:highlight w:val="none"/>
        </w:rPr>
      </w:pPr>
      <w:r>
        <w:rPr>
          <w:rFonts w:hint="eastAsia" w:ascii="宋体" w:hAnsi="宋体" w:cs="宋体"/>
          <w:szCs w:val="21"/>
          <w:highlight w:val="none"/>
        </w:rPr>
        <w:t>12、违约责任</w:t>
      </w:r>
    </w:p>
    <w:p>
      <w:pPr>
        <w:adjustRightInd w:val="0"/>
        <w:spacing w:line="400" w:lineRule="exact"/>
        <w:ind w:firstLine="472" w:firstLineChars="225"/>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合同一方不履行合同义务或者履行合同义务不符合约定的，应当承担继续履行、采取补救措施或者赔偿损失等违约责任。</w:t>
      </w:r>
    </w:p>
    <w:p>
      <w:pPr>
        <w:spacing w:line="400" w:lineRule="exact"/>
        <w:rPr>
          <w:rFonts w:hint="eastAsia" w:ascii="宋体" w:hAnsi="宋体" w:cs="宋体"/>
          <w:szCs w:val="21"/>
          <w:highlight w:val="none"/>
        </w:rPr>
      </w:pPr>
      <w:r>
        <w:rPr>
          <w:rFonts w:hint="eastAsia" w:ascii="宋体" w:hAnsi="宋体" w:cs="宋体"/>
          <w:szCs w:val="21"/>
          <w:highlight w:val="none"/>
        </w:rPr>
        <w:t>13、买方违约责任</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(1)在合同生效后，买方要求退货的，应向卖方偿付合同总价款的5%，作为违约金，违约金不足以补偿损失的，卖方有权要求甲方补足。</w:t>
      </w:r>
    </w:p>
    <w:p>
      <w:pPr>
        <w:overflowPunct w:val="0"/>
        <w:adjustRightInd w:val="0"/>
        <w:spacing w:line="400" w:lineRule="exact"/>
        <w:ind w:right="-334" w:rightChars="-159"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(2)买方逾期付款的应按照逾期付款金额的每天万分之四支付逾期付款违约金。</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(3)买方违反合同规定，拒绝接收卖方交付的符合交易文件要求的合格标的物，应当承担卖方由此造成的损失。</w:t>
      </w:r>
    </w:p>
    <w:p>
      <w:pPr>
        <w:spacing w:line="400" w:lineRule="exact"/>
        <w:rPr>
          <w:rFonts w:hint="eastAsia" w:ascii="宋体" w:hAnsi="宋体" w:cs="宋体"/>
          <w:szCs w:val="21"/>
          <w:highlight w:val="none"/>
        </w:rPr>
      </w:pPr>
      <w:r>
        <w:rPr>
          <w:rFonts w:hint="eastAsia" w:ascii="宋体" w:hAnsi="宋体" w:cs="宋体"/>
          <w:szCs w:val="21"/>
          <w:highlight w:val="none"/>
        </w:rPr>
        <w:t>14、卖方违约责任</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00" w:lineRule="exact"/>
        <w:rPr>
          <w:rFonts w:hint="eastAsia" w:ascii="宋体" w:hAnsi="宋体" w:cs="宋体"/>
          <w:szCs w:val="21"/>
          <w:highlight w:val="none"/>
        </w:rPr>
      </w:pPr>
      <w:r>
        <w:rPr>
          <w:rFonts w:hint="eastAsia" w:ascii="宋体" w:hAnsi="宋体" w:cs="宋体"/>
          <w:szCs w:val="21"/>
          <w:highlight w:val="none"/>
        </w:rPr>
        <w:t>15、不可抗力</w:t>
      </w:r>
    </w:p>
    <w:p>
      <w:pPr>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(1)因水灾、火灾、地震、战争等不可抗力不能履行合同的，根据不可抗力的影响，部分或者全部免除责任。但合同一方迟延履行后发生不可抗力的，不能免除责任。</w:t>
      </w:r>
    </w:p>
    <w:p>
      <w:pPr>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(2)合同一方因不可抗力不能履行合同的，应当及时通知对方，以减轻可能给对方造成的损失，并应当在合理期限内提供证明。</w:t>
      </w:r>
    </w:p>
    <w:p>
      <w:pPr>
        <w:spacing w:line="400" w:lineRule="exact"/>
        <w:rPr>
          <w:rFonts w:hint="eastAsia" w:ascii="宋体" w:hAnsi="宋体" w:cs="宋体"/>
          <w:b/>
          <w:szCs w:val="21"/>
          <w:highlight w:val="none"/>
        </w:rPr>
      </w:pPr>
      <w:r>
        <w:rPr>
          <w:rFonts w:hint="eastAsia" w:ascii="宋体" w:hAnsi="宋体" w:cs="宋体"/>
          <w:b/>
          <w:szCs w:val="21"/>
          <w:highlight w:val="none"/>
        </w:rPr>
        <w:t>七. 索赔</w:t>
      </w:r>
    </w:p>
    <w:p>
      <w:pPr>
        <w:spacing w:line="400" w:lineRule="exact"/>
        <w:rPr>
          <w:rFonts w:hint="eastAsia" w:ascii="宋体" w:hAnsi="宋体" w:cs="宋体"/>
          <w:szCs w:val="21"/>
          <w:highlight w:val="none"/>
        </w:rPr>
      </w:pPr>
      <w:r>
        <w:rPr>
          <w:rFonts w:hint="eastAsia" w:ascii="宋体" w:hAnsi="宋体" w:cs="宋体"/>
          <w:szCs w:val="21"/>
          <w:highlight w:val="none"/>
        </w:rPr>
        <w:t>16、索赔</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(1)买方有权根据当地产品质量检验机构或其它有权威部门出具的检验证书向卖方提出索赔。</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(2)在本合同规定的检验期和质量保证期内，如果卖方对买方提出的索赔或差异有责任，则卖方应按买方同意的下列一种或多种方式解决索赔事宜：</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&lt;2&gt;根据标的物的低劣程度、损坏程度以及甲方遭受损失的数额，经双方协商确定降低标的物的价格；</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中扣回索赔金额，如果这些金额不足以补偿索赔金额，买方有权向卖方提出对不足部分的补偿。</w:t>
      </w:r>
    </w:p>
    <w:p>
      <w:pPr>
        <w:overflowPunct w:val="0"/>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(4)买方提出索赔的书面材料应报当地政府采购管理部门备案。卖方同意的索赔方案应报当地政府采购管理部门审核。</w:t>
      </w:r>
    </w:p>
    <w:p>
      <w:pPr>
        <w:spacing w:line="400" w:lineRule="exact"/>
        <w:rPr>
          <w:rFonts w:hint="eastAsia" w:ascii="宋体" w:hAnsi="宋体" w:cs="宋体"/>
          <w:b/>
          <w:szCs w:val="21"/>
          <w:highlight w:val="none"/>
        </w:rPr>
      </w:pPr>
      <w:r>
        <w:rPr>
          <w:rFonts w:hint="eastAsia" w:ascii="宋体" w:hAnsi="宋体" w:cs="宋体"/>
          <w:b/>
          <w:szCs w:val="21"/>
          <w:highlight w:val="none"/>
        </w:rPr>
        <w:t>八. 履约保证金</w:t>
      </w:r>
    </w:p>
    <w:p>
      <w:pPr>
        <w:overflowPunct w:val="0"/>
        <w:adjustRightInd w:val="0"/>
        <w:spacing w:line="400" w:lineRule="exact"/>
        <w:ind w:right="-874" w:rightChars="-416" w:firstLine="420" w:firstLineChars="200"/>
        <w:textAlignment w:val="baseline"/>
        <w:rPr>
          <w:rFonts w:hint="eastAsia" w:ascii="宋体" w:hAnsi="宋体" w:cs="宋体"/>
          <w:kern w:val="0"/>
          <w:szCs w:val="21"/>
          <w:highlight w:val="none"/>
          <w:u w:val="none" w:color="000000"/>
        </w:rPr>
      </w:pPr>
      <w:r>
        <w:rPr>
          <w:rFonts w:hint="eastAsia" w:ascii="宋体" w:hAnsi="宋体" w:cs="宋体"/>
          <w:szCs w:val="21"/>
          <w:highlight w:val="none"/>
        </w:rPr>
        <w:t>不要求</w:t>
      </w:r>
    </w:p>
    <w:p>
      <w:pPr>
        <w:spacing w:line="400" w:lineRule="exact"/>
        <w:rPr>
          <w:rFonts w:hint="eastAsia" w:ascii="宋体" w:hAnsi="宋体" w:cs="宋体"/>
          <w:b/>
          <w:szCs w:val="21"/>
          <w:highlight w:val="none"/>
        </w:rPr>
      </w:pPr>
      <w:r>
        <w:rPr>
          <w:rFonts w:hint="eastAsia" w:ascii="宋体" w:hAnsi="宋体" w:cs="宋体"/>
          <w:b/>
          <w:szCs w:val="21"/>
          <w:highlight w:val="none"/>
        </w:rPr>
        <w:t>九.  合同的解除和转让</w:t>
      </w:r>
    </w:p>
    <w:p>
      <w:pPr>
        <w:spacing w:line="400" w:lineRule="exact"/>
        <w:rPr>
          <w:rFonts w:hint="eastAsia" w:ascii="宋体" w:hAnsi="宋体" w:cs="宋体"/>
          <w:szCs w:val="21"/>
          <w:highlight w:val="none"/>
        </w:rPr>
      </w:pPr>
      <w:r>
        <w:rPr>
          <w:rFonts w:hint="eastAsia" w:ascii="宋体" w:hAnsi="宋体" w:cs="宋体"/>
          <w:szCs w:val="21"/>
          <w:highlight w:val="none"/>
        </w:rPr>
        <w:t>18、合同的解除</w:t>
      </w:r>
    </w:p>
    <w:p>
      <w:pPr>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(1)买方和卖方协商一致，可以解除合同。</w:t>
      </w:r>
    </w:p>
    <w:p>
      <w:pPr>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(2)有下列情形之一，合同一方可以解除合同：</w:t>
      </w:r>
    </w:p>
    <w:p>
      <w:pPr>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&lt;1&gt;因不可抗力致使不能实现合同目的，未受不可抗力影响的一方有权解除合同；</w:t>
      </w:r>
    </w:p>
    <w:p>
      <w:pPr>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&lt;2&gt;因合同一方违约导致合同不能履行，另一方有权解除合同。</w:t>
      </w:r>
    </w:p>
    <w:p>
      <w:pPr>
        <w:adjustRightInd w:val="0"/>
        <w:spacing w:line="400" w:lineRule="exact"/>
        <w:ind w:firstLine="525" w:firstLineChars="250"/>
        <w:textAlignment w:val="baseline"/>
        <w:rPr>
          <w:rFonts w:hint="eastAsia" w:ascii="宋体" w:hAnsi="宋体" w:cs="宋体"/>
          <w:kern w:val="0"/>
          <w:szCs w:val="21"/>
          <w:highlight w:val="none"/>
          <w:u w:val="none" w:color="000000"/>
        </w:rPr>
      </w:pPr>
      <w:r>
        <w:rPr>
          <w:rFonts w:hint="eastAsia" w:ascii="宋体" w:hAnsi="宋体" w:cs="宋体"/>
          <w:kern w:val="0"/>
          <w:szCs w:val="21"/>
          <w:highlight w:val="none"/>
          <w:u w:val="none" w:color="000000"/>
        </w:rPr>
        <w:t>(3)有权解除合同的一方，应当在违约事实或不可抗力发生之后三十天内书面通知对方以主张解除合同，合同在书面通知到达对方时解除。</w:t>
      </w:r>
    </w:p>
    <w:p>
      <w:pPr>
        <w:spacing w:line="400" w:lineRule="exact"/>
        <w:rPr>
          <w:rFonts w:hint="eastAsia" w:ascii="宋体" w:hAnsi="宋体" w:cs="宋体"/>
          <w:szCs w:val="21"/>
          <w:highlight w:val="none"/>
        </w:rPr>
      </w:pPr>
      <w:r>
        <w:rPr>
          <w:rFonts w:hint="eastAsia" w:ascii="宋体" w:hAnsi="宋体" w:cs="宋体"/>
          <w:szCs w:val="21"/>
          <w:highlight w:val="none"/>
        </w:rPr>
        <w:t>19、合同的转让</w:t>
      </w:r>
    </w:p>
    <w:p>
      <w:pPr>
        <w:spacing w:line="400" w:lineRule="exact"/>
        <w:rPr>
          <w:rFonts w:hint="eastAsia" w:ascii="宋体" w:hAnsi="宋体" w:cs="宋体"/>
          <w:szCs w:val="21"/>
          <w:highlight w:val="none"/>
        </w:rPr>
      </w:pPr>
      <w:r>
        <w:rPr>
          <w:rFonts w:hint="eastAsia" w:ascii="宋体" w:hAnsi="宋体" w:cs="宋体"/>
          <w:szCs w:val="21"/>
          <w:highlight w:val="none"/>
        </w:rPr>
        <w:t xml:space="preserve">    合同的部分和全部都不得转让。</w:t>
      </w:r>
    </w:p>
    <w:p>
      <w:pPr>
        <w:rPr>
          <w:color w:val="auto"/>
          <w:highlight w:val="none"/>
        </w:rPr>
      </w:pPr>
    </w:p>
    <w:p>
      <w:pPr>
        <w:spacing w:before="156" w:beforeLines="50" w:after="156" w:afterLines="50"/>
        <w:jc w:val="center"/>
        <w:outlineLvl w:val="0"/>
        <w:rPr>
          <w:rFonts w:hint="eastAsia" w:ascii="宋体"/>
          <w:b/>
          <w:color w:val="auto"/>
          <w:sz w:val="32"/>
          <w:szCs w:val="32"/>
          <w:highlight w:val="none"/>
        </w:rPr>
      </w:pPr>
    </w:p>
    <w:p>
      <w:pPr>
        <w:spacing w:before="156" w:beforeLines="50" w:after="156" w:afterLines="50"/>
        <w:jc w:val="center"/>
        <w:outlineLvl w:val="0"/>
        <w:rPr>
          <w:rFonts w:ascii="宋体"/>
          <w:b/>
          <w:color w:val="auto"/>
          <w:sz w:val="32"/>
          <w:szCs w:val="32"/>
          <w:highlight w:val="none"/>
        </w:rPr>
      </w:pPr>
      <w:r>
        <w:rPr>
          <w:rFonts w:hint="eastAsia" w:ascii="宋体"/>
          <w:b/>
          <w:color w:val="auto"/>
          <w:sz w:val="32"/>
          <w:szCs w:val="32"/>
          <w:highlight w:val="none"/>
        </w:rPr>
        <w:t>第</w:t>
      </w:r>
      <w:r>
        <w:rPr>
          <w:rFonts w:hint="eastAsia" w:ascii="宋体"/>
          <w:b/>
          <w:color w:val="auto"/>
          <w:sz w:val="32"/>
          <w:szCs w:val="32"/>
          <w:highlight w:val="none"/>
          <w:lang w:val="en-US" w:eastAsia="zh-CN"/>
        </w:rPr>
        <w:t>六</w:t>
      </w:r>
      <w:r>
        <w:rPr>
          <w:rFonts w:hint="eastAsia" w:ascii="宋体"/>
          <w:b/>
          <w:color w:val="auto"/>
          <w:sz w:val="32"/>
          <w:szCs w:val="32"/>
          <w:highlight w:val="none"/>
        </w:rPr>
        <w:t>章  投标文件格式</w:t>
      </w:r>
      <w:bookmarkEnd w:id="558"/>
      <w:bookmarkEnd w:id="559"/>
    </w:p>
    <w:p>
      <w:pPr>
        <w:rPr>
          <w:rFonts w:eastAsia="黑体"/>
          <w:color w:val="auto"/>
          <w:sz w:val="20"/>
          <w:highlight w:val="none"/>
        </w:rPr>
      </w:pPr>
    </w:p>
    <w:p>
      <w:pPr>
        <w:jc w:val="center"/>
        <w:rPr>
          <w:rFonts w:eastAsia="黑体"/>
          <w:color w:val="auto"/>
          <w:sz w:val="44"/>
          <w:szCs w:val="44"/>
          <w:highlight w:val="none"/>
        </w:rPr>
      </w:pPr>
    </w:p>
    <w:p>
      <w:pPr>
        <w:jc w:val="center"/>
        <w:rPr>
          <w:rFonts w:ascii="宋体" w:hAnsi="宋体"/>
          <w:b/>
          <w:color w:val="auto"/>
          <w:sz w:val="28"/>
          <w:szCs w:val="28"/>
          <w:highlight w:val="none"/>
          <w:bdr w:val="single" w:color="000000" w:sz="4" w:space="0"/>
        </w:rPr>
      </w:pPr>
      <w:r>
        <w:rPr>
          <w:rFonts w:hint="eastAsia" w:ascii="宋体" w:hAnsi="宋体"/>
          <w:b/>
          <w:color w:val="auto"/>
          <w:sz w:val="28"/>
          <w:szCs w:val="28"/>
          <w:highlight w:val="none"/>
        </w:rPr>
        <w:t>一、资信证明格式文件</w:t>
      </w:r>
    </w:p>
    <w:p>
      <w:pPr>
        <w:jc w:val="center"/>
        <w:rPr>
          <w:rFonts w:eastAsia="黑体"/>
          <w:color w:val="auto"/>
          <w:sz w:val="20"/>
          <w:highlight w:val="none"/>
        </w:rPr>
      </w:pPr>
    </w:p>
    <w:p>
      <w:pPr>
        <w:rPr>
          <w:rFonts w:eastAsia="黑体"/>
          <w:color w:val="auto"/>
          <w:sz w:val="20"/>
          <w:highlight w:val="none"/>
        </w:rPr>
      </w:pPr>
    </w:p>
    <w:p>
      <w:pPr>
        <w:jc w:val="center"/>
        <w:rPr>
          <w:rFonts w:ascii="宋体"/>
          <w:b/>
          <w:color w:val="auto"/>
          <w:sz w:val="44"/>
          <w:szCs w:val="44"/>
          <w:highlight w:val="none"/>
        </w:rPr>
      </w:pPr>
      <w:bookmarkStart w:id="578" w:name="_Toc449028949"/>
      <w:bookmarkStart w:id="579" w:name="_Toc350698753"/>
      <w:r>
        <w:rPr>
          <w:rFonts w:hint="eastAsia" w:ascii="宋体"/>
          <w:b/>
          <w:color w:val="auto"/>
          <w:sz w:val="44"/>
          <w:szCs w:val="44"/>
          <w:highlight w:val="none"/>
        </w:rPr>
        <w:t>资信证明文件</w:t>
      </w:r>
      <w:bookmarkEnd w:id="578"/>
      <w:bookmarkEnd w:id="579"/>
    </w:p>
    <w:p>
      <w:pPr>
        <w:jc w:val="center"/>
        <w:rPr>
          <w:rFonts w:ascii="宋体"/>
          <w:color w:val="auto"/>
          <w:sz w:val="32"/>
          <w:szCs w:val="32"/>
          <w:highlight w:val="none"/>
        </w:rPr>
      </w:pPr>
      <w:r>
        <w:rPr>
          <w:rFonts w:hint="eastAsia" w:ascii="宋体"/>
          <w:color w:val="auto"/>
          <w:sz w:val="32"/>
          <w:szCs w:val="32"/>
          <w:highlight w:val="none"/>
        </w:rPr>
        <w:t>（投标文件一）</w:t>
      </w:r>
    </w:p>
    <w:p>
      <w:pPr>
        <w:jc w:val="center"/>
        <w:rPr>
          <w:rFonts w:eastAsia="黑体"/>
          <w:color w:val="auto"/>
          <w:sz w:val="44"/>
          <w:szCs w:val="44"/>
          <w:highlight w:val="none"/>
        </w:rPr>
      </w:pPr>
    </w:p>
    <w:p>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pPr>
        <w:rPr>
          <w:rFonts w:ascii="宋体"/>
          <w:color w:val="auto"/>
          <w:sz w:val="28"/>
          <w:szCs w:val="28"/>
          <w:highlight w:val="none"/>
        </w:rPr>
      </w:pPr>
    </w:p>
    <w:p>
      <w:pPr>
        <w:rPr>
          <w:rFonts w:ascii="宋体"/>
          <w:color w:val="auto"/>
          <w:sz w:val="28"/>
          <w:szCs w:val="28"/>
          <w:highlight w:val="none"/>
        </w:rPr>
      </w:pPr>
    </w:p>
    <w:p>
      <w:pPr>
        <w:rPr>
          <w:rFonts w:ascii="宋体"/>
          <w:color w:val="auto"/>
          <w:sz w:val="28"/>
          <w:szCs w:val="28"/>
          <w:highlight w:val="none"/>
        </w:rPr>
      </w:pPr>
    </w:p>
    <w:p>
      <w:pPr>
        <w:rPr>
          <w:rFonts w:ascii="宋体"/>
          <w:color w:val="auto"/>
          <w:sz w:val="28"/>
          <w:szCs w:val="28"/>
          <w:highlight w:val="none"/>
        </w:rPr>
      </w:pPr>
    </w:p>
    <w:p>
      <w:pPr>
        <w:rPr>
          <w:rFonts w:ascii="宋体"/>
          <w:color w:val="auto"/>
          <w:sz w:val="28"/>
          <w:szCs w:val="28"/>
          <w:highlight w:val="none"/>
        </w:rPr>
      </w:pPr>
    </w:p>
    <w:p>
      <w:pPr>
        <w:rPr>
          <w:rFonts w:ascii="宋体"/>
          <w:color w:val="auto"/>
          <w:sz w:val="28"/>
          <w:szCs w:val="28"/>
          <w:highlight w:val="none"/>
        </w:rPr>
      </w:pPr>
    </w:p>
    <w:p>
      <w:pPr>
        <w:rPr>
          <w:rFonts w:ascii="宋体"/>
          <w:color w:val="auto"/>
          <w:sz w:val="28"/>
          <w:szCs w:val="28"/>
          <w:highlight w:val="none"/>
        </w:rPr>
      </w:pPr>
    </w:p>
    <w:p>
      <w:pPr>
        <w:jc w:val="center"/>
        <w:rPr>
          <w:rFonts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pPr>
        <w:ind w:firstLine="560" w:firstLineChars="200"/>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pPr>
        <w:spacing w:line="720" w:lineRule="auto"/>
        <w:jc w:val="center"/>
        <w:rPr>
          <w:rFonts w:ascii="宋体"/>
          <w:b/>
          <w:color w:val="auto"/>
          <w:sz w:val="36"/>
          <w:szCs w:val="36"/>
          <w:highlight w:val="none"/>
        </w:rPr>
      </w:pPr>
    </w:p>
    <w:p>
      <w:pPr>
        <w:jc w:val="center"/>
        <w:rPr>
          <w:b/>
          <w:color w:val="auto"/>
          <w:sz w:val="44"/>
          <w:szCs w:val="44"/>
          <w:highlight w:val="none"/>
        </w:rPr>
      </w:pPr>
      <w:r>
        <w:rPr>
          <w:rFonts w:hint="eastAsia"/>
          <w:b/>
          <w:color w:val="auto"/>
          <w:sz w:val="36"/>
          <w:szCs w:val="36"/>
          <w:highlight w:val="none"/>
        </w:rPr>
        <w:t>目   录</w:t>
      </w:r>
    </w:p>
    <w:p>
      <w:pPr>
        <w:spacing w:line="400" w:lineRule="exact"/>
        <w:ind w:firstLine="562" w:firstLineChars="200"/>
        <w:rPr>
          <w:rFonts w:ascii="宋体" w:hAnsi="宋体" w:cs="宋体"/>
          <w:b/>
          <w:color w:val="auto"/>
          <w:sz w:val="28"/>
          <w:szCs w:val="28"/>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（1）法定代表人身份证明及其有效身份证复印件（或法定代表人授权委托书及其有效身份证复印件）（格式见附件）；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（2）投标人有效的营业执照、税务登记证、组织机构代码证（或三合一证书）；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（3）诚信投标承诺书（格式见附件）；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）招标文件中要求的资信评审和资信评分的支持资料；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）投标人认为需要提供的其他资信证明材料。</w:t>
      </w:r>
    </w:p>
    <w:p>
      <w:pPr>
        <w:spacing w:line="360" w:lineRule="auto"/>
        <w:ind w:firstLine="420" w:firstLineChars="200"/>
        <w:rPr>
          <w:rFonts w:ascii="宋体" w:hAnsi="宋体" w:cs="宋体"/>
          <w:color w:val="auto"/>
          <w:szCs w:val="21"/>
          <w:highlight w:val="none"/>
        </w:rPr>
      </w:pPr>
    </w:p>
    <w:p>
      <w:pPr>
        <w:spacing w:line="360" w:lineRule="auto"/>
        <w:ind w:firstLine="420" w:firstLineChars="200"/>
        <w:rPr>
          <w:rFonts w:hAnsi="宋体"/>
          <w:color w:val="auto"/>
          <w:szCs w:val="21"/>
          <w:highlight w:val="none"/>
        </w:rPr>
      </w:pPr>
    </w:p>
    <w:p>
      <w:pPr>
        <w:spacing w:line="400" w:lineRule="exact"/>
        <w:ind w:firstLine="562" w:firstLineChars="200"/>
        <w:rPr>
          <w:b/>
          <w:color w:val="auto"/>
          <w:sz w:val="28"/>
          <w:szCs w:val="28"/>
          <w:highlight w:val="none"/>
        </w:rPr>
      </w:pPr>
    </w:p>
    <w:p>
      <w:pPr>
        <w:spacing w:line="400" w:lineRule="exact"/>
        <w:ind w:firstLine="562" w:firstLineChars="200"/>
        <w:rPr>
          <w:b/>
          <w:color w:val="auto"/>
          <w:sz w:val="28"/>
          <w:szCs w:val="28"/>
          <w:highlight w:val="none"/>
        </w:rPr>
      </w:pPr>
    </w:p>
    <w:p>
      <w:pPr>
        <w:spacing w:line="400" w:lineRule="exact"/>
        <w:ind w:firstLine="562" w:firstLineChars="200"/>
        <w:rPr>
          <w:b/>
          <w:color w:val="auto"/>
          <w:sz w:val="28"/>
          <w:szCs w:val="28"/>
          <w:highlight w:val="none"/>
        </w:rPr>
      </w:pPr>
    </w:p>
    <w:p>
      <w:pPr>
        <w:spacing w:line="400" w:lineRule="exact"/>
        <w:ind w:firstLine="562" w:firstLineChars="200"/>
        <w:rPr>
          <w:b/>
          <w:color w:val="auto"/>
          <w:sz w:val="28"/>
          <w:szCs w:val="28"/>
          <w:highlight w:val="none"/>
        </w:rPr>
      </w:pPr>
    </w:p>
    <w:p>
      <w:pPr>
        <w:spacing w:line="400" w:lineRule="exact"/>
        <w:ind w:firstLine="562" w:firstLineChars="200"/>
        <w:rPr>
          <w:b/>
          <w:color w:val="auto"/>
          <w:sz w:val="28"/>
          <w:szCs w:val="28"/>
          <w:highlight w:val="none"/>
        </w:rPr>
      </w:pPr>
    </w:p>
    <w:p>
      <w:pPr>
        <w:spacing w:line="400" w:lineRule="exact"/>
        <w:ind w:firstLine="562" w:firstLineChars="200"/>
        <w:rPr>
          <w:b/>
          <w:color w:val="auto"/>
          <w:sz w:val="28"/>
          <w:szCs w:val="28"/>
          <w:highlight w:val="none"/>
        </w:rPr>
      </w:pPr>
    </w:p>
    <w:p>
      <w:pPr>
        <w:spacing w:line="400" w:lineRule="exact"/>
        <w:rPr>
          <w:b/>
          <w:color w:val="auto"/>
          <w:sz w:val="28"/>
          <w:szCs w:val="28"/>
          <w:highlight w:val="none"/>
        </w:rPr>
        <w:sectPr>
          <w:headerReference r:id="rId6" w:type="default"/>
          <w:footerReference r:id="rId7" w:type="default"/>
          <w:pgSz w:w="11906" w:h="16838"/>
          <w:pgMar w:top="1440" w:right="1800" w:bottom="1440" w:left="1800" w:header="851" w:footer="992" w:gutter="0"/>
          <w:cols w:space="720" w:num="1"/>
          <w:docGrid w:type="lines" w:linePitch="312" w:charSpace="0"/>
        </w:sectPr>
      </w:pPr>
    </w:p>
    <w:p>
      <w:pPr>
        <w:spacing w:line="360" w:lineRule="auto"/>
        <w:rPr>
          <w:b/>
          <w:color w:val="auto"/>
          <w:sz w:val="28"/>
          <w:szCs w:val="28"/>
          <w:highlight w:val="none"/>
        </w:rPr>
      </w:pPr>
      <w:r>
        <w:rPr>
          <w:rFonts w:hint="eastAsia"/>
          <w:b/>
          <w:color w:val="auto"/>
          <w:sz w:val="28"/>
          <w:szCs w:val="28"/>
          <w:highlight w:val="none"/>
        </w:rPr>
        <w:t>附件1</w:t>
      </w:r>
    </w:p>
    <w:p>
      <w:pPr>
        <w:spacing w:line="360" w:lineRule="auto"/>
        <w:ind w:left="720"/>
        <w:jc w:val="center"/>
        <w:rPr>
          <w:rFonts w:ascii="宋体"/>
          <w:b/>
          <w:color w:val="auto"/>
          <w:sz w:val="28"/>
          <w:szCs w:val="28"/>
          <w:highlight w:val="none"/>
        </w:rPr>
      </w:pPr>
      <w:r>
        <w:rPr>
          <w:rFonts w:hint="eastAsia"/>
          <w:b/>
          <w:color w:val="auto"/>
          <w:sz w:val="28"/>
          <w:szCs w:val="28"/>
          <w:highlight w:val="none"/>
        </w:rPr>
        <w:t>法定代表人身份证明或授权委托书</w:t>
      </w:r>
    </w:p>
    <w:p>
      <w:pPr>
        <w:pStyle w:val="224"/>
        <w:spacing w:before="312" w:beforeLines="100" w:after="312" w:afterLines="100" w:line="480" w:lineRule="exact"/>
        <w:ind w:firstLine="180" w:firstLineChars="75"/>
        <w:rPr>
          <w:rFonts w:ascii="宋体"/>
          <w:b/>
          <w:color w:val="auto"/>
          <w:sz w:val="24"/>
          <w:szCs w:val="24"/>
          <w:highlight w:val="none"/>
        </w:rPr>
      </w:pPr>
      <w:r>
        <w:rPr>
          <w:rFonts w:hint="eastAsia" w:ascii="宋体"/>
          <w:color w:val="auto"/>
          <w:sz w:val="24"/>
          <w:szCs w:val="24"/>
          <w:highlight w:val="none"/>
        </w:rPr>
        <w:t>1.法定代表人身份证明</w:t>
      </w:r>
    </w:p>
    <w:p>
      <w:pPr>
        <w:spacing w:line="480" w:lineRule="exact"/>
        <w:ind w:firstLine="480" w:firstLineChars="200"/>
        <w:rPr>
          <w:rFonts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 xml:space="preserve"> </w:t>
      </w:r>
    </w:p>
    <w:p>
      <w:pPr>
        <w:spacing w:line="480" w:lineRule="exact"/>
        <w:ind w:firstLine="480" w:firstLineChars="200"/>
        <w:rPr>
          <w:rFonts w:ascii="宋体"/>
          <w:color w:val="auto"/>
          <w:sz w:val="24"/>
          <w:highlight w:val="none"/>
        </w:rPr>
      </w:pPr>
      <w:r>
        <w:rPr>
          <w:rFonts w:hint="eastAsia" w:ascii="宋体"/>
          <w:color w:val="auto"/>
          <w:sz w:val="24"/>
          <w:highlight w:val="none"/>
        </w:rPr>
        <w:t xml:space="preserve">单位性质： </w:t>
      </w:r>
      <w:r>
        <w:rPr>
          <w:rFonts w:hint="eastAsia" w:ascii="宋体"/>
          <w:color w:val="auto"/>
          <w:sz w:val="24"/>
          <w:highlight w:val="none"/>
          <w:u w:val="single"/>
        </w:rPr>
        <w:t xml:space="preserve">                                  </w:t>
      </w:r>
      <w:r>
        <w:rPr>
          <w:rFonts w:hint="eastAsia" w:ascii="宋体"/>
          <w:color w:val="auto"/>
          <w:sz w:val="24"/>
          <w:highlight w:val="none"/>
        </w:rPr>
        <w:t xml:space="preserve"> </w:t>
      </w:r>
    </w:p>
    <w:p>
      <w:pPr>
        <w:spacing w:line="480" w:lineRule="exact"/>
        <w:ind w:firstLine="480" w:firstLineChars="200"/>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r>
        <w:rPr>
          <w:rFonts w:hint="eastAsia" w:ascii="宋体"/>
          <w:color w:val="auto"/>
          <w:sz w:val="24"/>
          <w:highlight w:val="none"/>
        </w:rPr>
        <w:t xml:space="preserve"> </w:t>
      </w:r>
    </w:p>
    <w:p>
      <w:pPr>
        <w:spacing w:line="480" w:lineRule="exact"/>
        <w:ind w:firstLine="480" w:firstLineChars="200"/>
        <w:rPr>
          <w:rFonts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pPr>
        <w:spacing w:line="480" w:lineRule="exact"/>
        <w:ind w:firstLine="480" w:firstLineChars="200"/>
        <w:rPr>
          <w:rFonts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r>
        <w:rPr>
          <w:rFonts w:hint="eastAsia" w:ascii="宋体"/>
          <w:color w:val="auto"/>
          <w:sz w:val="24"/>
          <w:highlight w:val="none"/>
        </w:rPr>
        <w:t xml:space="preserve"> </w:t>
      </w:r>
    </w:p>
    <w:p>
      <w:pPr>
        <w:spacing w:line="480" w:lineRule="exact"/>
        <w:ind w:firstLine="720" w:firstLineChars="100"/>
        <w:rPr>
          <w:rFonts w:ascii="宋体"/>
          <w:color w:val="auto"/>
          <w:sz w:val="24"/>
          <w:highlight w:val="non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_</w:t>
      </w:r>
    </w:p>
    <w:p>
      <w:pPr>
        <w:spacing w:line="480" w:lineRule="exact"/>
        <w:ind w:firstLine="480" w:firstLineChars="200"/>
        <w:rPr>
          <w:rFonts w:ascii="宋体"/>
          <w:color w:val="auto"/>
          <w:sz w:val="24"/>
          <w:highlight w:val="none"/>
        </w:rPr>
      </w:pPr>
      <w:r>
        <w:rPr>
          <w:rFonts w:hint="eastAsia" w:ascii="宋体"/>
          <w:color w:val="auto"/>
          <w:sz w:val="24"/>
          <w:highlight w:val="none"/>
        </w:rPr>
        <w:t>系</w:t>
      </w:r>
      <w:r>
        <w:rPr>
          <w:rFonts w:hint="eastAsia" w:ascii="宋体"/>
          <w:color w:val="auto"/>
          <w:sz w:val="24"/>
          <w:highlight w:val="none"/>
          <w:u w:val="single"/>
        </w:rPr>
        <w:t xml:space="preserve">                                </w:t>
      </w:r>
      <w:r>
        <w:rPr>
          <w:rFonts w:hint="eastAsia" w:ascii="宋体"/>
          <w:color w:val="auto"/>
          <w:sz w:val="24"/>
          <w:highlight w:val="none"/>
        </w:rPr>
        <w:t>（投标人名称）的法定代表人。</w:t>
      </w:r>
    </w:p>
    <w:p>
      <w:pPr>
        <w:spacing w:line="480" w:lineRule="exact"/>
        <w:ind w:firstLine="960" w:firstLineChars="400"/>
        <w:rPr>
          <w:rFonts w:ascii="宋体"/>
          <w:color w:val="auto"/>
          <w:sz w:val="24"/>
          <w:highlight w:val="none"/>
        </w:rPr>
      </w:pPr>
      <w:r>
        <w:rPr>
          <w:rFonts w:hint="eastAsia" w:ascii="宋体"/>
          <w:color w:val="auto"/>
          <w:sz w:val="24"/>
          <w:highlight w:val="none"/>
        </w:rPr>
        <w:t>特此证明。</w:t>
      </w:r>
    </w:p>
    <w:p>
      <w:pPr>
        <w:spacing w:line="360" w:lineRule="auto"/>
        <w:ind w:firstLine="3480" w:firstLineChars="1450"/>
        <w:rPr>
          <w:rFonts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rPr>
        <w:t>（盖单位章）</w:t>
      </w:r>
    </w:p>
    <w:p>
      <w:pPr>
        <w:wordWrap w:val="0"/>
        <w:spacing w:line="360" w:lineRule="auto"/>
        <w:jc w:val="right"/>
        <w:rPr>
          <w:color w:val="auto"/>
          <w:highlight w:val="none"/>
        </w:rPr>
      </w:pPr>
      <w:r>
        <w:rPr>
          <w:rFonts w:hint="eastAsia" w:ascii="宋体"/>
          <w:color w:val="auto"/>
          <w:sz w:val="24"/>
          <w:highlight w:val="none"/>
        </w:rPr>
        <w:t xml:space="preserve">                                        </w:t>
      </w:r>
      <w:r>
        <w:rPr>
          <w:rFonts w:hint="eastAsia" w:ascii="宋体"/>
          <w:color w:val="auto"/>
          <w:sz w:val="24"/>
          <w:highlight w:val="none"/>
          <w:u w:val="single"/>
        </w:rPr>
        <w:t xml:space="preserve">       </w:t>
      </w:r>
      <w:r>
        <w:rPr>
          <w:rFonts w:hint="eastAsia" w:ascii="宋体"/>
          <w:color w:val="auto"/>
          <w:sz w:val="24"/>
          <w:highlight w:val="none"/>
        </w:rPr>
        <w:t xml:space="preserve">年 </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 xml:space="preserve">日  </w:t>
      </w:r>
    </w:p>
    <w:p>
      <w:pPr>
        <w:pStyle w:val="224"/>
        <w:spacing w:before="312" w:beforeLines="100" w:after="312" w:afterLines="100" w:line="480" w:lineRule="exact"/>
        <w:ind w:firstLine="180" w:firstLineChars="75"/>
        <w:rPr>
          <w:rFonts w:ascii="宋体"/>
          <w:color w:val="auto"/>
          <w:sz w:val="24"/>
          <w:szCs w:val="24"/>
          <w:highlight w:val="none"/>
        </w:rPr>
      </w:pPr>
      <w:r>
        <w:rPr>
          <w:rFonts w:hint="eastAsia" w:ascii="宋体"/>
          <w:color w:val="auto"/>
          <w:sz w:val="24"/>
          <w:szCs w:val="24"/>
          <w:highlight w:val="none"/>
        </w:rPr>
        <w:t>2.授权委托书</w:t>
      </w:r>
    </w:p>
    <w:p>
      <w:pPr>
        <w:spacing w:line="480" w:lineRule="exact"/>
        <w:ind w:firstLine="480" w:firstLineChars="200"/>
        <w:rPr>
          <w:rFonts w:ascii="宋体"/>
          <w:color w:val="auto"/>
          <w:sz w:val="24"/>
          <w:highlight w:val="none"/>
        </w:rPr>
      </w:pPr>
      <w:r>
        <w:rPr>
          <w:rFonts w:hint="eastAsia" w:ascii="宋体"/>
          <w:color w:val="auto"/>
          <w:sz w:val="24"/>
          <w:highlight w:val="none"/>
        </w:rPr>
        <w:t xml:space="preserve">本人 </w:t>
      </w:r>
      <w:r>
        <w:rPr>
          <w:rFonts w:hint="eastAsia" w:ascii="宋体"/>
          <w:color w:val="auto"/>
          <w:sz w:val="24"/>
          <w:highlight w:val="none"/>
          <w:u w:val="single"/>
        </w:rPr>
        <w:t xml:space="preserve">    </w:t>
      </w:r>
      <w:r>
        <w:rPr>
          <w:rFonts w:hint="eastAsia" w:ascii="宋体"/>
          <w:color w:val="auto"/>
          <w:sz w:val="24"/>
          <w:highlight w:val="none"/>
        </w:rPr>
        <w:t>（姓名）系</w:t>
      </w:r>
      <w:r>
        <w:rPr>
          <w:rFonts w:hint="eastAsia" w:ascii="宋体"/>
          <w:color w:val="auto"/>
          <w:sz w:val="24"/>
          <w:highlight w:val="none"/>
          <w:u w:val="single"/>
        </w:rPr>
        <w:t xml:space="preserve">       </w:t>
      </w:r>
      <w:r>
        <w:rPr>
          <w:rFonts w:hint="eastAsia" w:ascii="宋体"/>
          <w:color w:val="auto"/>
          <w:sz w:val="24"/>
          <w:highlight w:val="none"/>
        </w:rPr>
        <w:t>（投标人）的法定代表人，现委托</w:t>
      </w:r>
      <w:r>
        <w:rPr>
          <w:rFonts w:hint="eastAsia" w:ascii="宋体"/>
          <w:color w:val="auto"/>
          <w:sz w:val="24"/>
          <w:highlight w:val="none"/>
          <w:u w:val="single"/>
        </w:rPr>
        <w:t xml:space="preserve">   </w:t>
      </w:r>
      <w:r>
        <w:rPr>
          <w:rFonts w:hint="eastAsia" w:ascii="宋体"/>
          <w:color w:val="auto"/>
          <w:sz w:val="24"/>
          <w:highlight w:val="none"/>
        </w:rPr>
        <w:t>（姓名）为我方代理人。代理人根据授权，以我方名义签署、澄清、说明、补正、递交、撤回、修改 “</w:t>
      </w:r>
      <w:r>
        <w:rPr>
          <w:rFonts w:hint="eastAsia" w:ascii="宋体"/>
          <w:color w:val="auto"/>
          <w:sz w:val="24"/>
          <w:highlight w:val="none"/>
          <w:u w:val="single"/>
        </w:rPr>
        <w:t xml:space="preserve">      </w:t>
      </w:r>
      <w:r>
        <w:rPr>
          <w:rFonts w:hint="eastAsia" w:ascii="宋体"/>
          <w:color w:val="auto"/>
          <w:sz w:val="24"/>
          <w:highlight w:val="none"/>
        </w:rPr>
        <w:t xml:space="preserve"> ”(项目名称、编号）招标文件，全权处理与该项目投标、评审答疑、签订合同以及与合同执行有关的一切事务，其法律后果由我方承担。</w:t>
      </w:r>
    </w:p>
    <w:p>
      <w:pPr>
        <w:spacing w:line="480" w:lineRule="exact"/>
        <w:ind w:firstLine="480" w:firstLineChars="200"/>
        <w:rPr>
          <w:rFonts w:ascii="宋体"/>
          <w:color w:val="auto"/>
          <w:sz w:val="24"/>
          <w:highlight w:val="none"/>
        </w:rPr>
      </w:pPr>
      <w:r>
        <w:rPr>
          <w:rFonts w:hint="eastAsia" w:ascii="宋体"/>
          <w:color w:val="auto"/>
          <w:sz w:val="24"/>
          <w:highlight w:val="none"/>
        </w:rPr>
        <w:t>委托期限：</w:t>
      </w:r>
      <w:r>
        <w:rPr>
          <w:rFonts w:hint="eastAsia" w:ascii="宋体"/>
          <w:color w:val="auto"/>
          <w:sz w:val="24"/>
          <w:highlight w:val="none"/>
          <w:u w:val="single"/>
        </w:rPr>
        <w:t xml:space="preserve">      。</w:t>
      </w:r>
      <w:r>
        <w:rPr>
          <w:rFonts w:hint="eastAsia" w:ascii="宋体"/>
          <w:color w:val="auto"/>
          <w:sz w:val="24"/>
          <w:highlight w:val="none"/>
        </w:rPr>
        <w:t xml:space="preserve">                                </w:t>
      </w:r>
    </w:p>
    <w:p>
      <w:pPr>
        <w:spacing w:line="480" w:lineRule="exact"/>
        <w:ind w:firstLine="480" w:firstLineChars="200"/>
        <w:rPr>
          <w:rFonts w:ascii="宋体"/>
          <w:color w:val="auto"/>
          <w:sz w:val="24"/>
          <w:highlight w:val="none"/>
        </w:rPr>
      </w:pPr>
      <w:r>
        <w:rPr>
          <w:rFonts w:hint="eastAsia" w:ascii="宋体"/>
          <w:color w:val="auto"/>
          <w:sz w:val="24"/>
          <w:highlight w:val="none"/>
        </w:rPr>
        <w:t>代理人无转委托权。</w:t>
      </w:r>
    </w:p>
    <w:p>
      <w:pPr>
        <w:spacing w:line="480" w:lineRule="exact"/>
        <w:ind w:firstLine="482" w:firstLineChars="200"/>
        <w:rPr>
          <w:rFonts w:ascii="宋体"/>
          <w:b/>
          <w:bCs/>
          <w:color w:val="auto"/>
          <w:sz w:val="24"/>
          <w:highlight w:val="none"/>
        </w:rPr>
      </w:pPr>
      <w:r>
        <w:rPr>
          <w:rFonts w:hint="eastAsia" w:ascii="宋体"/>
          <w:b/>
          <w:bCs/>
          <w:color w:val="auto"/>
          <w:sz w:val="24"/>
          <w:highlight w:val="none"/>
        </w:rPr>
        <w:t>附：授权委托人有效身份证及法定代表人有效身份证</w:t>
      </w:r>
    </w:p>
    <w:p>
      <w:pPr>
        <w:spacing w:line="480" w:lineRule="exact"/>
        <w:ind w:firstLine="2280" w:firstLineChars="950"/>
        <w:rPr>
          <w:rFonts w:ascii="宋体"/>
          <w:color w:val="auto"/>
          <w:sz w:val="24"/>
          <w:highlight w:val="none"/>
        </w:rPr>
      </w:pPr>
      <w:r>
        <w:rPr>
          <w:rFonts w:hint="eastAsia" w:ascii="宋体"/>
          <w:color w:val="auto"/>
          <w:sz w:val="24"/>
          <w:highlight w:val="none"/>
        </w:rPr>
        <w:t xml:space="preserve">                 投标人：             （盖单位章）</w:t>
      </w:r>
    </w:p>
    <w:p>
      <w:pPr>
        <w:spacing w:line="480" w:lineRule="exact"/>
        <w:jc w:val="right"/>
        <w:rPr>
          <w:rFonts w:ascii="宋体"/>
          <w:color w:val="auto"/>
          <w:sz w:val="24"/>
          <w:highlight w:val="none"/>
        </w:rPr>
      </w:pPr>
      <w:r>
        <w:rPr>
          <w:rFonts w:hint="eastAsia" w:ascii="宋体"/>
          <w:color w:val="auto"/>
          <w:sz w:val="24"/>
          <w:highlight w:val="none"/>
        </w:rPr>
        <w:t>法定代表人（身份证号码）：             （签字或盖章）</w:t>
      </w:r>
    </w:p>
    <w:p>
      <w:pPr>
        <w:spacing w:line="480" w:lineRule="exact"/>
        <w:ind w:firstLine="2820" w:firstLineChars="1175"/>
        <w:rPr>
          <w:rFonts w:ascii="宋体"/>
          <w:color w:val="auto"/>
          <w:sz w:val="24"/>
          <w:highlight w:val="none"/>
        </w:rPr>
      </w:pPr>
      <w:r>
        <w:rPr>
          <w:rFonts w:hint="eastAsia" w:ascii="宋体"/>
          <w:color w:val="auto"/>
          <w:sz w:val="24"/>
          <w:highlight w:val="none"/>
        </w:rPr>
        <w:t xml:space="preserve">              年    月    日</w:t>
      </w:r>
    </w:p>
    <w:p>
      <w:pPr>
        <w:spacing w:line="360" w:lineRule="exact"/>
        <w:ind w:firstLine="413" w:firstLineChars="147"/>
        <w:rPr>
          <w:b/>
          <w:color w:val="auto"/>
          <w:sz w:val="28"/>
          <w:szCs w:val="28"/>
          <w:highlight w:val="none"/>
          <w:u w:val="single"/>
        </w:rPr>
      </w:pPr>
    </w:p>
    <w:p>
      <w:pPr>
        <w:spacing w:line="360" w:lineRule="exact"/>
        <w:ind w:firstLine="413" w:firstLineChars="147"/>
        <w:rPr>
          <w:b/>
          <w:color w:val="auto"/>
          <w:sz w:val="28"/>
          <w:szCs w:val="28"/>
          <w:highlight w:val="none"/>
          <w:u w:val="single"/>
        </w:rPr>
      </w:pPr>
    </w:p>
    <w:p>
      <w:pPr>
        <w:spacing w:line="360" w:lineRule="exact"/>
        <w:ind w:firstLine="443" w:firstLineChars="147"/>
        <w:rPr>
          <w:rFonts w:ascii="宋体"/>
          <w:b/>
          <w:color w:val="auto"/>
          <w:sz w:val="30"/>
          <w:szCs w:val="30"/>
          <w:highlight w:val="none"/>
        </w:rPr>
      </w:pPr>
      <w:r>
        <w:rPr>
          <w:rFonts w:hint="eastAsia" w:ascii="宋体"/>
          <w:b/>
          <w:color w:val="auto"/>
          <w:sz w:val="30"/>
          <w:szCs w:val="30"/>
          <w:highlight w:val="none"/>
        </w:rPr>
        <w:t>附件2</w:t>
      </w:r>
    </w:p>
    <w:p>
      <w:pPr>
        <w:spacing w:line="360" w:lineRule="auto"/>
        <w:jc w:val="center"/>
        <w:rPr>
          <w:b/>
          <w:color w:val="auto"/>
          <w:sz w:val="28"/>
          <w:szCs w:val="28"/>
          <w:highlight w:val="none"/>
        </w:rPr>
      </w:pPr>
      <w:bookmarkStart w:id="580" w:name="_Toc440443268"/>
      <w:bookmarkStart w:id="581" w:name="_Toc449028950"/>
      <w:r>
        <w:rPr>
          <w:rFonts w:hint="eastAsia"/>
          <w:b/>
          <w:color w:val="auto"/>
          <w:sz w:val="28"/>
          <w:szCs w:val="28"/>
          <w:highlight w:val="none"/>
        </w:rPr>
        <w:t>诚信投标承诺书 </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本人以企业法定代表人的身份郑重承诺：</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二、本单位郑重声明，根据《中华人民共和国招标投标法》及《中华人民共和国招标投标法实施条例》的规定，我公司具有良好的商业信誉和健全的财务会计制度，具有履行合同所必需的设备和专业技术能力，有依法缴纳税收和社会保障资金的良好记录；参加招投标活动前三年内，本单位在经营活动中没有重大违法记录，没有因违法经营受到刑事处罚或者责令停产停业、吊销许可证或者执照、较大数额罚款等行政处罚。</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四、不与其他投标人相互串通投标报价，不排挤其他投标人的公平竞争、损害采购人的合法权益；</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五、不与采购人、招标代理机构或其他投标人串通投标，损害国家利益、社会公共利益或者他人的合法权益；</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六、我公司没有下列情形：1、被人民法院列入失信被执行人的；2、我公司及其法定代表人、拟任项目经理（建造师）前三年有行贿犯罪行为的；3、被市场监督管理部门列入经营异常名录或者严重违法企业名单的；4、被税务部门列入重大税收违法案件当事人的；5、被监管部门列入严重违法失信行为记录名单的；6、在“信用中国”网站上披露仍在公示期的严重失信行为的；7、参与招投标活动前3年在经营活动中有重大违法记录的。</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七、严格遵守开标现场纪律，服从监管人员管理；</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八、保证中标后不转包，若有分包征得采购人同意；</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九、保证中标之后，按照投标文件要求提供相关后续服务；</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以上内容我已仔细阅读，本公司若有违反承诺内容的行为，自愿接受取消投标或者中标资格、记入不良行为记录等有关处理，愿意承担法律责任，给采购人造成损失的，依法承担赔偿责任。</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 </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开户银行：                          基本账户：</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投标单位（盖单位章）：          法定代表人（签字或盖章）：</w:t>
      </w:r>
    </w:p>
    <w:p>
      <w:pPr>
        <w:spacing w:line="500" w:lineRule="exact"/>
        <w:ind w:firstLine="420" w:firstLineChars="200"/>
        <w:rPr>
          <w:rFonts w:ascii="宋体" w:hAnsi="宋体"/>
          <w:color w:val="auto"/>
          <w:szCs w:val="21"/>
          <w:highlight w:val="none"/>
        </w:rPr>
      </w:pPr>
    </w:p>
    <w:p>
      <w:pPr>
        <w:spacing w:line="360" w:lineRule="auto"/>
        <w:jc w:val="center"/>
        <w:rPr>
          <w:b/>
          <w:color w:val="auto"/>
          <w:sz w:val="28"/>
          <w:szCs w:val="28"/>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jc w:val="center"/>
        <w:rPr>
          <w:b/>
          <w:color w:val="auto"/>
          <w:sz w:val="28"/>
          <w:szCs w:val="28"/>
          <w:highlight w:val="none"/>
        </w:rPr>
      </w:pPr>
    </w:p>
    <w:p>
      <w:pPr>
        <w:pStyle w:val="5"/>
        <w:rPr>
          <w:b/>
          <w:color w:val="auto"/>
          <w:sz w:val="28"/>
          <w:szCs w:val="28"/>
          <w:highlight w:val="none"/>
        </w:rPr>
      </w:pPr>
    </w:p>
    <w:p>
      <w:pPr>
        <w:rPr>
          <w:b/>
          <w:color w:val="auto"/>
          <w:sz w:val="28"/>
          <w:szCs w:val="28"/>
          <w:highlight w:val="none"/>
        </w:rPr>
      </w:pPr>
    </w:p>
    <w:p>
      <w:pPr>
        <w:pStyle w:val="5"/>
        <w:rPr>
          <w:b/>
          <w:color w:val="auto"/>
          <w:sz w:val="28"/>
          <w:szCs w:val="28"/>
          <w:highlight w:val="none"/>
        </w:rPr>
      </w:pPr>
    </w:p>
    <w:p>
      <w:pPr>
        <w:rPr>
          <w:b/>
          <w:color w:val="auto"/>
          <w:sz w:val="28"/>
          <w:szCs w:val="28"/>
          <w:highlight w:val="none"/>
        </w:rPr>
      </w:pPr>
    </w:p>
    <w:p>
      <w:pPr>
        <w:pStyle w:val="5"/>
        <w:rPr>
          <w:b/>
          <w:color w:val="auto"/>
          <w:sz w:val="28"/>
          <w:szCs w:val="28"/>
          <w:highlight w:val="none"/>
        </w:rPr>
      </w:pPr>
    </w:p>
    <w:p>
      <w:pPr>
        <w:rPr>
          <w:b/>
          <w:color w:val="auto"/>
          <w:sz w:val="28"/>
          <w:szCs w:val="28"/>
          <w:highlight w:val="none"/>
        </w:rPr>
      </w:pPr>
    </w:p>
    <w:p>
      <w:pPr>
        <w:pStyle w:val="5"/>
        <w:rPr>
          <w:b/>
          <w:color w:val="auto"/>
          <w:sz w:val="28"/>
          <w:szCs w:val="28"/>
          <w:highlight w:val="none"/>
        </w:rPr>
      </w:pPr>
    </w:p>
    <w:p>
      <w:pPr>
        <w:rPr>
          <w:b/>
          <w:color w:val="auto"/>
          <w:sz w:val="28"/>
          <w:szCs w:val="28"/>
          <w:highlight w:val="none"/>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ascii="宋体"/>
          <w:color w:val="auto"/>
          <w:sz w:val="24"/>
          <w:highlight w:val="none"/>
        </w:rPr>
      </w:pPr>
      <w:r>
        <w:rPr>
          <w:rFonts w:hint="eastAsia" w:ascii="宋体" w:hAnsi="宋体"/>
          <w:b/>
          <w:color w:val="auto"/>
          <w:sz w:val="28"/>
          <w:szCs w:val="28"/>
          <w:highlight w:val="none"/>
          <w:lang w:val="en-US" w:eastAsia="zh-CN"/>
        </w:rPr>
        <w:t>二</w:t>
      </w: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技术</w:t>
      </w:r>
      <w:r>
        <w:rPr>
          <w:rFonts w:hint="eastAsia" w:ascii="宋体" w:hAnsi="宋体"/>
          <w:b/>
          <w:color w:val="auto"/>
          <w:sz w:val="28"/>
          <w:szCs w:val="28"/>
          <w:highlight w:val="none"/>
        </w:rPr>
        <w:t>标格式文件</w:t>
      </w:r>
    </w:p>
    <w:p>
      <w:pPr>
        <w:jc w:val="center"/>
        <w:rPr>
          <w:rFonts w:eastAsia="黑体"/>
          <w:color w:val="auto"/>
          <w:sz w:val="20"/>
          <w:highlight w:val="none"/>
        </w:rPr>
      </w:pPr>
    </w:p>
    <w:p>
      <w:pPr>
        <w:rPr>
          <w:rFonts w:ascii="宋体"/>
          <w:color w:val="auto"/>
          <w:sz w:val="20"/>
          <w:highlight w:val="none"/>
        </w:rPr>
      </w:pPr>
    </w:p>
    <w:p>
      <w:pPr>
        <w:rPr>
          <w:rFonts w:ascii="宋体"/>
          <w:color w:val="auto"/>
          <w:sz w:val="20"/>
          <w:highlight w:val="none"/>
        </w:rPr>
      </w:pPr>
    </w:p>
    <w:p>
      <w:pPr>
        <w:pStyle w:val="49"/>
        <w:rPr>
          <w:color w:val="auto"/>
          <w:highlight w:val="none"/>
        </w:rPr>
      </w:pPr>
    </w:p>
    <w:p>
      <w:pPr>
        <w:jc w:val="center"/>
        <w:rPr>
          <w:rFonts w:ascii="宋体"/>
          <w:b/>
          <w:color w:val="auto"/>
          <w:sz w:val="44"/>
          <w:szCs w:val="44"/>
          <w:highlight w:val="none"/>
        </w:rPr>
      </w:pPr>
      <w:r>
        <w:rPr>
          <w:rFonts w:hint="eastAsia" w:ascii="宋体"/>
          <w:b/>
          <w:color w:val="auto"/>
          <w:sz w:val="44"/>
          <w:szCs w:val="44"/>
          <w:highlight w:val="none"/>
          <w:lang w:val="en-US" w:eastAsia="zh-CN"/>
        </w:rPr>
        <w:t>技术</w:t>
      </w:r>
      <w:r>
        <w:rPr>
          <w:rFonts w:hint="eastAsia" w:ascii="宋体"/>
          <w:b/>
          <w:color w:val="auto"/>
          <w:sz w:val="44"/>
          <w:szCs w:val="44"/>
          <w:highlight w:val="none"/>
        </w:rPr>
        <w:t>标</w:t>
      </w:r>
    </w:p>
    <w:p>
      <w:pPr>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w:t>
      </w:r>
      <w:r>
        <w:rPr>
          <w:rFonts w:hint="eastAsia" w:ascii="宋体"/>
          <w:color w:val="auto"/>
          <w:sz w:val="36"/>
          <w:szCs w:val="36"/>
          <w:highlight w:val="none"/>
          <w:lang w:val="en-US" w:eastAsia="zh-CN"/>
        </w:rPr>
        <w:t>二</w:t>
      </w:r>
      <w:r>
        <w:rPr>
          <w:rFonts w:hint="eastAsia" w:ascii="宋体"/>
          <w:color w:val="auto"/>
          <w:sz w:val="36"/>
          <w:szCs w:val="36"/>
          <w:highlight w:val="none"/>
        </w:rPr>
        <w:t>）</w:t>
      </w:r>
    </w:p>
    <w:p>
      <w:pPr>
        <w:jc w:val="center"/>
        <w:rPr>
          <w:rFonts w:ascii="宋体"/>
          <w:color w:val="auto"/>
          <w:sz w:val="36"/>
          <w:szCs w:val="36"/>
          <w:highlight w:val="none"/>
        </w:rPr>
      </w:pPr>
    </w:p>
    <w:p>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pPr>
        <w:rPr>
          <w:rFonts w:ascii="宋体"/>
          <w:color w:val="auto"/>
          <w:sz w:val="28"/>
          <w:szCs w:val="28"/>
          <w:highlight w:val="none"/>
        </w:rPr>
      </w:pPr>
    </w:p>
    <w:p>
      <w:pPr>
        <w:rPr>
          <w:rFonts w:ascii="宋体"/>
          <w:color w:val="auto"/>
          <w:sz w:val="28"/>
          <w:szCs w:val="28"/>
          <w:highlight w:val="none"/>
        </w:rPr>
      </w:pPr>
    </w:p>
    <w:p>
      <w:pPr>
        <w:rPr>
          <w:rFonts w:ascii="宋体"/>
          <w:color w:val="auto"/>
          <w:sz w:val="28"/>
          <w:szCs w:val="28"/>
          <w:highlight w:val="none"/>
        </w:rPr>
      </w:pPr>
    </w:p>
    <w:p>
      <w:pPr>
        <w:rPr>
          <w:rFonts w:ascii="宋体"/>
          <w:color w:val="auto"/>
          <w:sz w:val="28"/>
          <w:szCs w:val="28"/>
          <w:highlight w:val="none"/>
        </w:rPr>
      </w:pPr>
    </w:p>
    <w:p>
      <w:pPr>
        <w:rPr>
          <w:rFonts w:ascii="宋体"/>
          <w:color w:val="auto"/>
          <w:sz w:val="28"/>
          <w:szCs w:val="28"/>
          <w:highlight w:val="none"/>
        </w:rPr>
      </w:pPr>
    </w:p>
    <w:p>
      <w:pPr>
        <w:rPr>
          <w:rFonts w:ascii="宋体"/>
          <w:color w:val="auto"/>
          <w:sz w:val="28"/>
          <w:szCs w:val="28"/>
          <w:highlight w:val="none"/>
        </w:rPr>
      </w:pPr>
    </w:p>
    <w:p>
      <w:pPr>
        <w:rPr>
          <w:rFonts w:ascii="宋体"/>
          <w:color w:val="auto"/>
          <w:sz w:val="28"/>
          <w:szCs w:val="28"/>
          <w:highlight w:val="none"/>
        </w:rPr>
      </w:pPr>
    </w:p>
    <w:p>
      <w:pPr>
        <w:jc w:val="center"/>
        <w:rPr>
          <w:rFonts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pPr>
        <w:ind w:firstLine="700" w:firstLineChars="250"/>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pPr>
        <w:jc w:val="center"/>
        <w:rPr>
          <w:rFonts w:hint="eastAsia"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pPr>
        <w:pStyle w:val="5"/>
        <w:rPr>
          <w:rFonts w:hint="eastAsia" w:ascii="宋体"/>
          <w:color w:val="auto"/>
          <w:sz w:val="28"/>
          <w:szCs w:val="28"/>
          <w:highlight w:val="none"/>
        </w:rPr>
      </w:pPr>
    </w:p>
    <w:p>
      <w:pPr>
        <w:rPr>
          <w:rFonts w:hint="eastAsia" w:ascii="宋体"/>
          <w:color w:val="auto"/>
          <w:sz w:val="28"/>
          <w:szCs w:val="28"/>
          <w:highlight w:val="none"/>
        </w:rPr>
      </w:pPr>
    </w:p>
    <w:p>
      <w:pPr>
        <w:rPr>
          <w:rFonts w:hint="eastAsia" w:ascii="宋体"/>
          <w:color w:val="auto"/>
          <w:sz w:val="28"/>
          <w:szCs w:val="28"/>
          <w:highlight w:val="none"/>
        </w:rPr>
      </w:pPr>
    </w:p>
    <w:p>
      <w:pPr>
        <w:pStyle w:val="2"/>
        <w:rPr>
          <w:rFonts w:hint="eastAsia"/>
          <w:color w:val="auto"/>
          <w:sz w:val="32"/>
          <w:szCs w:val="32"/>
          <w:highlight w:val="none"/>
        </w:rPr>
      </w:pPr>
      <w:bookmarkStart w:id="582" w:name="_Toc95223539"/>
      <w:r>
        <w:rPr>
          <w:rFonts w:hint="eastAsia"/>
          <w:color w:val="auto"/>
          <w:sz w:val="32"/>
          <w:szCs w:val="32"/>
          <w:highlight w:val="none"/>
        </w:rPr>
        <w:t>投标文件二：技术标目录</w:t>
      </w:r>
      <w:bookmarkEnd w:id="582"/>
    </w:p>
    <w:p>
      <w:pPr>
        <w:adjustRightInd w:val="0"/>
        <w:snapToGrid w:val="0"/>
        <w:spacing w:beforeLines="0" w:afterLines="0" w:line="560" w:lineRule="exact"/>
        <w:rPr>
          <w:rFonts w:hint="default" w:ascii="宋体" w:hAnsi="宋体" w:eastAsia="宋体"/>
          <w:color w:val="auto"/>
          <w:sz w:val="21"/>
          <w:szCs w:val="21"/>
          <w:highlight w:val="none"/>
        </w:rPr>
      </w:pPr>
      <w:r>
        <w:rPr>
          <w:rFonts w:hint="default" w:ascii="宋体" w:hAnsi="宋体" w:eastAsia="宋体"/>
          <w:color w:val="auto"/>
          <w:sz w:val="21"/>
          <w:szCs w:val="21"/>
          <w:highlight w:val="none"/>
        </w:rPr>
        <w:t>按评审要求提供</w:t>
      </w:r>
    </w:p>
    <w:p>
      <w:pPr>
        <w:pStyle w:val="5"/>
        <w:rPr>
          <w:color w:val="auto"/>
          <w:highlight w:val="none"/>
        </w:rPr>
      </w:pPr>
    </w:p>
    <w:p>
      <w:pPr>
        <w:jc w:val="center"/>
        <w:rPr>
          <w:b/>
          <w:color w:val="auto"/>
          <w:sz w:val="36"/>
          <w:szCs w:val="36"/>
          <w:highlight w:val="none"/>
        </w:rPr>
      </w:pPr>
    </w:p>
    <w:p>
      <w:pPr>
        <w:jc w:val="center"/>
        <w:rPr>
          <w:b/>
          <w:color w:val="auto"/>
          <w:sz w:val="36"/>
          <w:szCs w:val="36"/>
          <w:highlight w:val="none"/>
        </w:rPr>
      </w:pPr>
    </w:p>
    <w:bookmarkEnd w:id="580"/>
    <w:bookmarkEnd w:id="581"/>
    <w:p>
      <w:pPr>
        <w:wordWrap w:val="0"/>
        <w:spacing w:before="100" w:beforeAutospacing="1" w:after="100" w:afterAutospacing="1"/>
        <w:jc w:val="center"/>
        <w:rPr>
          <w:rFonts w:ascii="宋体" w:hAnsi="宋体"/>
          <w:b/>
          <w:color w:val="auto"/>
          <w:sz w:val="28"/>
          <w:szCs w:val="28"/>
          <w:highlight w:val="none"/>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hint="eastAsia" w:ascii="宋体" w:hAnsi="宋体"/>
          <w:b/>
          <w:color w:val="auto"/>
          <w:sz w:val="28"/>
          <w:szCs w:val="28"/>
          <w:highlight w:val="none"/>
          <w:lang w:val="en-US" w:eastAsia="zh-CN"/>
        </w:rPr>
      </w:pPr>
    </w:p>
    <w:p>
      <w:pPr>
        <w:jc w:val="center"/>
        <w:rPr>
          <w:rFonts w:ascii="宋体"/>
          <w:color w:val="auto"/>
          <w:sz w:val="24"/>
          <w:highlight w:val="none"/>
        </w:rPr>
      </w:pPr>
      <w:r>
        <w:rPr>
          <w:rFonts w:hint="eastAsia" w:ascii="宋体" w:hAnsi="宋体"/>
          <w:b/>
          <w:color w:val="auto"/>
          <w:sz w:val="28"/>
          <w:szCs w:val="28"/>
          <w:highlight w:val="none"/>
          <w:lang w:val="en-US" w:eastAsia="zh-CN"/>
        </w:rPr>
        <w:t>三</w:t>
      </w:r>
      <w:r>
        <w:rPr>
          <w:rFonts w:hint="eastAsia" w:ascii="宋体" w:hAnsi="宋体"/>
          <w:b/>
          <w:color w:val="auto"/>
          <w:sz w:val="28"/>
          <w:szCs w:val="28"/>
          <w:highlight w:val="none"/>
        </w:rPr>
        <w:t>、商务标格式文件</w:t>
      </w:r>
    </w:p>
    <w:p>
      <w:pPr>
        <w:jc w:val="center"/>
        <w:rPr>
          <w:rFonts w:eastAsia="黑体"/>
          <w:color w:val="auto"/>
          <w:sz w:val="20"/>
          <w:highlight w:val="none"/>
        </w:rPr>
      </w:pPr>
    </w:p>
    <w:p>
      <w:pPr>
        <w:rPr>
          <w:rFonts w:ascii="宋体"/>
          <w:color w:val="auto"/>
          <w:sz w:val="20"/>
          <w:highlight w:val="none"/>
        </w:rPr>
      </w:pPr>
    </w:p>
    <w:p>
      <w:pPr>
        <w:rPr>
          <w:rFonts w:ascii="宋体"/>
          <w:color w:val="auto"/>
          <w:sz w:val="20"/>
          <w:highlight w:val="none"/>
        </w:rPr>
      </w:pPr>
    </w:p>
    <w:p>
      <w:pPr>
        <w:pStyle w:val="49"/>
        <w:rPr>
          <w:color w:val="auto"/>
          <w:highlight w:val="none"/>
        </w:rPr>
      </w:pPr>
    </w:p>
    <w:p>
      <w:pPr>
        <w:jc w:val="center"/>
        <w:rPr>
          <w:rFonts w:ascii="宋体"/>
          <w:b/>
          <w:color w:val="auto"/>
          <w:sz w:val="44"/>
          <w:szCs w:val="44"/>
          <w:highlight w:val="none"/>
        </w:rPr>
      </w:pPr>
      <w:bookmarkStart w:id="583" w:name="_Toc449028954"/>
      <w:r>
        <w:rPr>
          <w:rFonts w:hint="eastAsia" w:ascii="宋体"/>
          <w:b/>
          <w:color w:val="auto"/>
          <w:sz w:val="44"/>
          <w:szCs w:val="44"/>
          <w:highlight w:val="none"/>
        </w:rPr>
        <w:t>商务标</w:t>
      </w:r>
      <w:bookmarkEnd w:id="583"/>
    </w:p>
    <w:p>
      <w:pPr>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w:t>
      </w:r>
      <w:r>
        <w:rPr>
          <w:rFonts w:hint="eastAsia" w:ascii="宋体"/>
          <w:color w:val="auto"/>
          <w:sz w:val="36"/>
          <w:szCs w:val="36"/>
          <w:highlight w:val="none"/>
          <w:lang w:val="en-US" w:eastAsia="zh-CN"/>
        </w:rPr>
        <w:t>三</w:t>
      </w:r>
      <w:r>
        <w:rPr>
          <w:rFonts w:hint="eastAsia" w:ascii="宋体"/>
          <w:color w:val="auto"/>
          <w:sz w:val="36"/>
          <w:szCs w:val="36"/>
          <w:highlight w:val="none"/>
        </w:rPr>
        <w:t>）</w:t>
      </w:r>
    </w:p>
    <w:p>
      <w:pPr>
        <w:jc w:val="center"/>
        <w:rPr>
          <w:rFonts w:ascii="宋体"/>
          <w:color w:val="auto"/>
          <w:sz w:val="36"/>
          <w:szCs w:val="36"/>
          <w:highlight w:val="none"/>
        </w:rPr>
      </w:pPr>
    </w:p>
    <w:p>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w:t>
      </w:r>
    </w:p>
    <w:p>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pPr>
        <w:rPr>
          <w:rFonts w:ascii="宋体"/>
          <w:color w:val="auto"/>
          <w:sz w:val="28"/>
          <w:szCs w:val="28"/>
          <w:highlight w:val="none"/>
        </w:rPr>
      </w:pPr>
    </w:p>
    <w:p>
      <w:pPr>
        <w:rPr>
          <w:rFonts w:ascii="宋体"/>
          <w:color w:val="auto"/>
          <w:sz w:val="28"/>
          <w:szCs w:val="28"/>
          <w:highlight w:val="none"/>
        </w:rPr>
      </w:pPr>
    </w:p>
    <w:p>
      <w:pPr>
        <w:rPr>
          <w:rFonts w:ascii="宋体"/>
          <w:color w:val="auto"/>
          <w:sz w:val="28"/>
          <w:szCs w:val="28"/>
          <w:highlight w:val="none"/>
        </w:rPr>
      </w:pPr>
    </w:p>
    <w:p>
      <w:pPr>
        <w:rPr>
          <w:rFonts w:ascii="宋体"/>
          <w:color w:val="auto"/>
          <w:sz w:val="28"/>
          <w:szCs w:val="28"/>
          <w:highlight w:val="none"/>
        </w:rPr>
      </w:pPr>
    </w:p>
    <w:p>
      <w:pPr>
        <w:rPr>
          <w:rFonts w:ascii="宋体"/>
          <w:color w:val="auto"/>
          <w:sz w:val="28"/>
          <w:szCs w:val="28"/>
          <w:highlight w:val="none"/>
        </w:rPr>
      </w:pPr>
    </w:p>
    <w:p>
      <w:pPr>
        <w:rPr>
          <w:rFonts w:ascii="宋体"/>
          <w:color w:val="auto"/>
          <w:sz w:val="28"/>
          <w:szCs w:val="28"/>
          <w:highlight w:val="none"/>
        </w:rPr>
      </w:pPr>
    </w:p>
    <w:p>
      <w:pPr>
        <w:rPr>
          <w:rFonts w:ascii="宋体"/>
          <w:color w:val="auto"/>
          <w:sz w:val="28"/>
          <w:szCs w:val="28"/>
          <w:highlight w:val="none"/>
        </w:rPr>
      </w:pPr>
    </w:p>
    <w:p>
      <w:pPr>
        <w:jc w:val="center"/>
        <w:rPr>
          <w:rFonts w:ascii="宋体"/>
          <w:color w:val="auto"/>
          <w:sz w:val="28"/>
          <w:szCs w:val="28"/>
          <w:highlight w:val="none"/>
          <w:u w:val="single"/>
        </w:rPr>
      </w:pPr>
      <w:r>
        <w:rPr>
          <w:rFonts w:hint="eastAsia" w:ascii="宋体"/>
          <w:color w:val="auto"/>
          <w:sz w:val="28"/>
          <w:szCs w:val="28"/>
          <w:highlight w:val="none"/>
        </w:rPr>
        <w:t>投标人：</w:t>
      </w:r>
      <w:r>
        <w:rPr>
          <w:rFonts w:hint="eastAsia" w:ascii="宋体"/>
          <w:color w:val="auto"/>
          <w:sz w:val="28"/>
          <w:szCs w:val="28"/>
          <w:highlight w:val="none"/>
          <w:u w:val="single"/>
        </w:rPr>
        <w:t xml:space="preserve">                              </w:t>
      </w:r>
      <w:r>
        <w:rPr>
          <w:rFonts w:hint="eastAsia" w:ascii="宋体"/>
          <w:color w:val="auto"/>
          <w:sz w:val="28"/>
          <w:szCs w:val="28"/>
          <w:highlight w:val="none"/>
        </w:rPr>
        <w:t>（盖单位章）</w:t>
      </w:r>
    </w:p>
    <w:p>
      <w:pPr>
        <w:ind w:firstLine="700" w:firstLineChars="250"/>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pPr>
        <w:jc w:val="center"/>
        <w:rPr>
          <w:b/>
          <w:color w:val="auto"/>
          <w:sz w:val="36"/>
          <w:szCs w:val="36"/>
          <w:highlight w:val="none"/>
        </w:rPr>
      </w:pPr>
    </w:p>
    <w:p>
      <w:pPr>
        <w:jc w:val="center"/>
        <w:rPr>
          <w:b/>
          <w:color w:val="auto"/>
          <w:sz w:val="36"/>
          <w:szCs w:val="36"/>
          <w:highlight w:val="none"/>
        </w:rPr>
      </w:pPr>
    </w:p>
    <w:p>
      <w:pPr>
        <w:jc w:val="center"/>
        <w:rPr>
          <w:b/>
          <w:color w:val="auto"/>
          <w:sz w:val="36"/>
          <w:szCs w:val="36"/>
          <w:highlight w:val="none"/>
        </w:rPr>
      </w:pPr>
    </w:p>
    <w:p>
      <w:pPr>
        <w:jc w:val="center"/>
        <w:rPr>
          <w:b/>
          <w:color w:val="auto"/>
          <w:sz w:val="44"/>
          <w:szCs w:val="44"/>
          <w:highlight w:val="none"/>
        </w:rPr>
      </w:pPr>
      <w:r>
        <w:rPr>
          <w:rFonts w:hint="eastAsia"/>
          <w:b/>
          <w:color w:val="auto"/>
          <w:sz w:val="36"/>
          <w:szCs w:val="36"/>
          <w:highlight w:val="none"/>
        </w:rPr>
        <w:t>目   录</w:t>
      </w:r>
    </w:p>
    <w:p>
      <w:pPr>
        <w:spacing w:line="400" w:lineRule="exact"/>
        <w:ind w:firstLine="562" w:firstLineChars="200"/>
        <w:rPr>
          <w:rFonts w:ascii="宋体" w:hAnsi="宋体" w:cs="宋体"/>
          <w:b/>
          <w:color w:val="auto"/>
          <w:sz w:val="28"/>
          <w:szCs w:val="28"/>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（1）开标一览表（格式见附件）；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（2）投标函（格式见附件）；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（3）分项报价清单（格式见附件）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（4）招标文件中要求的资信评审和资信评分的支持资料；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（5）投标人认为需要提供的其他资信证明材料。</w:t>
      </w: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jc w:val="center"/>
        <w:rPr>
          <w:rFonts w:ascii="宋体" w:hAnsi="宋体"/>
          <w:b/>
          <w:color w:val="auto"/>
          <w:sz w:val="30"/>
          <w:szCs w:val="30"/>
          <w:highlight w:val="none"/>
        </w:rPr>
      </w:pPr>
    </w:p>
    <w:p>
      <w:pPr>
        <w:spacing w:line="400" w:lineRule="exact"/>
        <w:ind w:firstLine="4130" w:firstLineChars="935"/>
        <w:rPr>
          <w:b/>
          <w:color w:val="auto"/>
          <w:sz w:val="44"/>
          <w:szCs w:val="44"/>
          <w:highlight w:val="none"/>
        </w:rPr>
      </w:pPr>
    </w:p>
    <w:p>
      <w:pPr>
        <w:spacing w:line="360" w:lineRule="exact"/>
        <w:ind w:firstLine="531" w:firstLineChars="147"/>
        <w:jc w:val="center"/>
        <w:rPr>
          <w:rFonts w:ascii="宋体"/>
          <w:b/>
          <w:color w:val="auto"/>
          <w:sz w:val="36"/>
          <w:szCs w:val="36"/>
          <w:highlight w:val="none"/>
        </w:rPr>
      </w:pPr>
      <w:r>
        <w:rPr>
          <w:rFonts w:hint="eastAsia" w:ascii="宋体"/>
          <w:b/>
          <w:color w:val="auto"/>
          <w:sz w:val="36"/>
          <w:szCs w:val="36"/>
          <w:highlight w:val="none"/>
        </w:rPr>
        <w:t>开标一览表</w:t>
      </w:r>
    </w:p>
    <w:p>
      <w:pPr>
        <w:spacing w:line="360" w:lineRule="exact"/>
        <w:ind w:firstLine="354" w:firstLineChars="147"/>
        <w:rPr>
          <w:rFonts w:ascii="宋体"/>
          <w:b/>
          <w:color w:val="auto"/>
          <w:sz w:val="24"/>
          <w:highlight w:val="none"/>
        </w:rPr>
      </w:pPr>
    </w:p>
    <w:tbl>
      <w:tblPr>
        <w:tblStyle w:val="50"/>
        <w:tblW w:w="8755" w:type="dxa"/>
        <w:tblInd w:w="-1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46"/>
        <w:gridCol w:w="66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0" w:hRule="exact"/>
        </w:trPr>
        <w:tc>
          <w:tcPr>
            <w:tcW w:w="2146" w:type="dxa"/>
            <w:tcBorders>
              <w:top w:val="single" w:color="auto" w:sz="12" w:space="0"/>
              <w:bottom w:val="single" w:color="auto" w:sz="12" w:space="0"/>
              <w:right w:val="single" w:color="auto" w:sz="12" w:space="0"/>
            </w:tcBorders>
            <w:vAlign w:val="center"/>
          </w:tcPr>
          <w:p>
            <w:pPr>
              <w:spacing w:line="700" w:lineRule="exact"/>
              <w:jc w:val="center"/>
              <w:rPr>
                <w:rFonts w:ascii="宋体"/>
                <w:color w:val="auto"/>
                <w:sz w:val="24"/>
                <w:highlight w:val="none"/>
              </w:rPr>
            </w:pPr>
            <w:r>
              <w:rPr>
                <w:rFonts w:hint="eastAsia" w:ascii="宋体"/>
                <w:color w:val="auto"/>
                <w:sz w:val="24"/>
                <w:highlight w:val="none"/>
              </w:rPr>
              <w:t>项目名称</w:t>
            </w:r>
          </w:p>
        </w:tc>
        <w:tc>
          <w:tcPr>
            <w:tcW w:w="6609" w:type="dxa"/>
            <w:tcBorders>
              <w:top w:val="single" w:color="auto" w:sz="12" w:space="0"/>
              <w:left w:val="single" w:color="auto" w:sz="12" w:space="0"/>
              <w:bottom w:val="single" w:color="auto" w:sz="12" w:space="0"/>
            </w:tcBorders>
            <w:vAlign w:val="center"/>
          </w:tcPr>
          <w:p>
            <w:pPr>
              <w:spacing w:line="700" w:lineRule="exact"/>
              <w:jc w:val="left"/>
              <w:rPr>
                <w:color w:val="auto"/>
                <w:sz w:val="24"/>
                <w:highlight w:val="none"/>
              </w:rPr>
            </w:pPr>
            <w:r>
              <w:rPr>
                <w:rFonts w:hint="eastAsia"/>
                <w:color w:val="auto"/>
                <w:sz w:val="24"/>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2" w:hRule="exact"/>
        </w:trPr>
        <w:tc>
          <w:tcPr>
            <w:tcW w:w="2146" w:type="dxa"/>
            <w:tcBorders>
              <w:top w:val="single" w:color="auto" w:sz="12" w:space="0"/>
              <w:right w:val="single" w:color="auto" w:sz="12" w:space="0"/>
            </w:tcBorders>
            <w:vAlign w:val="center"/>
          </w:tcPr>
          <w:p>
            <w:pPr>
              <w:spacing w:line="700" w:lineRule="exact"/>
              <w:jc w:val="center"/>
              <w:rPr>
                <w:rFonts w:ascii="宋体"/>
                <w:color w:val="auto"/>
                <w:sz w:val="24"/>
                <w:highlight w:val="none"/>
              </w:rPr>
            </w:pPr>
            <w:r>
              <w:rPr>
                <w:rFonts w:hint="eastAsia" w:ascii="宋体"/>
                <w:color w:val="auto"/>
                <w:sz w:val="24"/>
                <w:highlight w:val="none"/>
              </w:rPr>
              <w:t>项目编号</w:t>
            </w:r>
          </w:p>
        </w:tc>
        <w:tc>
          <w:tcPr>
            <w:tcW w:w="6609" w:type="dxa"/>
            <w:tcBorders>
              <w:top w:val="single" w:color="auto" w:sz="12" w:space="0"/>
              <w:left w:val="single" w:color="auto" w:sz="12" w:space="0"/>
            </w:tcBorders>
            <w:vAlign w:val="center"/>
          </w:tcPr>
          <w:p>
            <w:pPr>
              <w:spacing w:line="700" w:lineRule="exact"/>
              <w:rPr>
                <w:rFonts w:asci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8" w:hRule="exact"/>
        </w:trPr>
        <w:tc>
          <w:tcPr>
            <w:tcW w:w="2146" w:type="dxa"/>
            <w:tcBorders>
              <w:right w:val="single" w:color="auto" w:sz="12" w:space="0"/>
            </w:tcBorders>
            <w:vAlign w:val="center"/>
          </w:tcPr>
          <w:p>
            <w:pPr>
              <w:spacing w:line="700" w:lineRule="exact"/>
              <w:ind w:firstLine="120" w:firstLineChars="50"/>
              <w:rPr>
                <w:rFonts w:ascii="宋体"/>
                <w:color w:val="auto"/>
                <w:sz w:val="24"/>
                <w:highlight w:val="none"/>
              </w:rPr>
            </w:pPr>
            <w:r>
              <w:rPr>
                <w:rFonts w:hint="eastAsia" w:ascii="宋体"/>
                <w:color w:val="auto"/>
                <w:sz w:val="24"/>
                <w:highlight w:val="none"/>
              </w:rPr>
              <w:t>投标人名称</w:t>
            </w:r>
          </w:p>
        </w:tc>
        <w:tc>
          <w:tcPr>
            <w:tcW w:w="6609" w:type="dxa"/>
            <w:tcBorders>
              <w:left w:val="single" w:color="auto" w:sz="12" w:space="0"/>
            </w:tcBorders>
          </w:tcPr>
          <w:p>
            <w:pPr>
              <w:pStyle w:val="26"/>
              <w:spacing w:line="700" w:lineRule="exact"/>
              <w:ind w:left="86" w:leftChars="41"/>
              <w:rPr>
                <w:rFonts w:ascii="宋体" w:eastAsia="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86" w:hRule="exact"/>
        </w:trPr>
        <w:tc>
          <w:tcPr>
            <w:tcW w:w="2146" w:type="dxa"/>
            <w:tcBorders>
              <w:right w:val="single" w:color="auto" w:sz="12" w:space="0"/>
            </w:tcBorders>
            <w:vAlign w:val="center"/>
          </w:tcPr>
          <w:p>
            <w:pPr>
              <w:spacing w:line="700" w:lineRule="exact"/>
              <w:jc w:val="center"/>
              <w:rPr>
                <w:rFonts w:ascii="宋体"/>
                <w:color w:val="auto"/>
                <w:sz w:val="24"/>
                <w:highlight w:val="none"/>
              </w:rPr>
            </w:pPr>
            <w:r>
              <w:rPr>
                <w:rFonts w:hint="eastAsia" w:ascii="宋体"/>
                <w:color w:val="auto"/>
                <w:sz w:val="24"/>
                <w:highlight w:val="none"/>
              </w:rPr>
              <w:t>投标报价/服务期</w:t>
            </w:r>
          </w:p>
        </w:tc>
        <w:tc>
          <w:tcPr>
            <w:tcW w:w="6609" w:type="dxa"/>
            <w:tcBorders>
              <w:left w:val="single" w:color="auto" w:sz="12" w:space="0"/>
            </w:tcBorders>
            <w:vAlign w:val="center"/>
          </w:tcPr>
          <w:p>
            <w:pPr>
              <w:spacing w:line="360" w:lineRule="auto"/>
              <w:rPr>
                <w:rFonts w:ascii="宋体"/>
                <w:color w:val="auto"/>
                <w:sz w:val="24"/>
                <w:highlight w:val="none"/>
              </w:rPr>
            </w:pPr>
            <w:r>
              <w:rPr>
                <w:rFonts w:hint="eastAsia" w:ascii="宋体"/>
                <w:color w:val="auto"/>
                <w:sz w:val="24"/>
                <w:highlight w:val="none"/>
              </w:rPr>
              <w:t>投标报价 （大写）：</w:t>
            </w:r>
            <w:r>
              <w:rPr>
                <w:rFonts w:hint="eastAsia" w:ascii="宋体"/>
                <w:color w:val="auto"/>
                <w:sz w:val="24"/>
                <w:highlight w:val="none"/>
                <w:u w:val="single"/>
              </w:rPr>
              <w:t xml:space="preserve">                   </w:t>
            </w:r>
            <w:r>
              <w:rPr>
                <w:rFonts w:hint="eastAsia" w:ascii="宋体"/>
                <w:color w:val="auto"/>
                <w:sz w:val="24"/>
                <w:highlight w:val="none"/>
              </w:rPr>
              <w:t>元</w:t>
            </w:r>
          </w:p>
          <w:p>
            <w:pPr>
              <w:spacing w:line="360" w:lineRule="auto"/>
              <w:ind w:firstLine="1080" w:firstLineChars="450"/>
              <w:rPr>
                <w:rFonts w:ascii="宋体"/>
                <w:color w:val="auto"/>
                <w:sz w:val="24"/>
                <w:highlight w:val="none"/>
              </w:rPr>
            </w:pPr>
            <w:r>
              <w:rPr>
                <w:rFonts w:hint="eastAsia" w:ascii="宋体"/>
                <w:color w:val="auto"/>
                <w:sz w:val="24"/>
                <w:highlight w:val="none"/>
              </w:rPr>
              <w:t>(小写) ：</w:t>
            </w:r>
            <w:r>
              <w:rPr>
                <w:rFonts w:hint="eastAsia" w:ascii="宋体"/>
                <w:color w:val="auto"/>
                <w:sz w:val="24"/>
                <w:highlight w:val="none"/>
                <w:u w:val="single"/>
              </w:rPr>
              <w:t xml:space="preserve">                    </w:t>
            </w:r>
            <w:r>
              <w:rPr>
                <w:rFonts w:hint="eastAsia" w:ascii="宋体"/>
                <w:color w:val="auto"/>
                <w:sz w:val="24"/>
                <w:highlight w:val="none"/>
              </w:rPr>
              <w:t>元</w:t>
            </w:r>
          </w:p>
          <w:p>
            <w:pPr>
              <w:spacing w:line="360" w:lineRule="auto"/>
              <w:ind w:firstLine="1080" w:firstLineChars="450"/>
              <w:rPr>
                <w:rFonts w:ascii="宋体"/>
                <w:color w:val="auto"/>
                <w:sz w:val="24"/>
                <w:highlight w:val="none"/>
              </w:rPr>
            </w:pPr>
          </w:p>
          <w:p>
            <w:pPr>
              <w:pStyle w:val="18"/>
              <w:ind w:firstLine="0"/>
              <w:rPr>
                <w:color w:val="auto"/>
                <w:highlight w:val="none"/>
              </w:rPr>
            </w:pPr>
            <w:r>
              <w:rPr>
                <w:rFonts w:hint="eastAsia" w:ascii="宋体"/>
                <w:color w:val="auto"/>
                <w:sz w:val="24"/>
                <w:highlight w:val="none"/>
              </w:rPr>
              <w:t>服务期：</w:t>
            </w:r>
            <w:r>
              <w:rPr>
                <w:rFonts w:hint="eastAsia" w:ascii="宋体"/>
                <w:color w:val="auto"/>
                <w:sz w:val="24"/>
                <w:highlight w:val="none"/>
                <w:u w:val="single"/>
              </w:rPr>
              <w:t xml:space="preserve">                   。</w:t>
            </w:r>
          </w:p>
        </w:tc>
      </w:tr>
    </w:tbl>
    <w:p>
      <w:pPr>
        <w:snapToGrid w:val="0"/>
        <w:spacing w:line="460" w:lineRule="exact"/>
        <w:ind w:left="2940" w:leftChars="1400" w:firstLine="723" w:firstLineChars="300"/>
        <w:rPr>
          <w:rFonts w:ascii="宋体"/>
          <w:b/>
          <w:color w:val="auto"/>
          <w:sz w:val="24"/>
          <w:highlight w:val="none"/>
        </w:rPr>
      </w:pPr>
    </w:p>
    <w:p>
      <w:pPr>
        <w:rPr>
          <w:rFonts w:ascii="宋体"/>
          <w:color w:val="auto"/>
          <w:sz w:val="24"/>
          <w:highlight w:val="none"/>
        </w:rPr>
      </w:pPr>
      <w:r>
        <w:rPr>
          <w:rFonts w:hint="eastAsia" w:ascii="宋体"/>
          <w:color w:val="auto"/>
          <w:sz w:val="24"/>
          <w:highlight w:val="none"/>
        </w:rPr>
        <w:t>法定代表人（签字或盖章）：         投标人（签字或盖章）：</w:t>
      </w:r>
    </w:p>
    <w:p>
      <w:pPr>
        <w:snapToGrid w:val="0"/>
        <w:spacing w:before="312" w:beforeLines="100" w:after="312" w:afterLines="100" w:line="360" w:lineRule="auto"/>
        <w:jc w:val="center"/>
        <w:rPr>
          <w:rFonts w:cs="Arial"/>
          <w:b/>
          <w:bCs/>
          <w:color w:val="auto"/>
          <w:sz w:val="30"/>
          <w:szCs w:val="30"/>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color w:val="auto"/>
          <w:sz w:val="24"/>
          <w:highlight w:val="none"/>
        </w:rPr>
        <w:t>年</w:t>
      </w:r>
      <w:r>
        <w:rPr>
          <w:rFonts w:hint="eastAsia" w:ascii="宋体" w:hAnsi="宋体"/>
          <w:color w:val="auto"/>
          <w:sz w:val="24"/>
          <w:highlight w:val="none"/>
          <w:u w:val="single"/>
        </w:rPr>
        <w:t xml:space="preserve">   </w:t>
      </w:r>
      <w:r>
        <w:rPr>
          <w:rFonts w:hint="eastAsia" w:ascii="宋体"/>
          <w:color w:val="auto"/>
          <w:sz w:val="24"/>
          <w:highlight w:val="none"/>
        </w:rPr>
        <w:t>月</w:t>
      </w:r>
      <w:r>
        <w:rPr>
          <w:rFonts w:hint="eastAsia" w:ascii="宋体" w:hAnsi="宋体"/>
          <w:color w:val="auto"/>
          <w:sz w:val="24"/>
          <w:highlight w:val="none"/>
          <w:u w:val="single"/>
        </w:rPr>
        <w:t xml:space="preserve">   </w:t>
      </w:r>
      <w:r>
        <w:rPr>
          <w:rFonts w:hint="eastAsia" w:ascii="宋体"/>
          <w:color w:val="auto"/>
          <w:sz w:val="24"/>
          <w:highlight w:val="none"/>
        </w:rPr>
        <w:t xml:space="preserve">日 </w:t>
      </w:r>
    </w:p>
    <w:p>
      <w:pPr>
        <w:spacing w:line="360" w:lineRule="exact"/>
        <w:ind w:firstLine="443" w:firstLineChars="147"/>
        <w:rPr>
          <w:rFonts w:ascii="宋体" w:hAnsi="宋体"/>
          <w:b/>
          <w:color w:val="auto"/>
          <w:sz w:val="30"/>
          <w:szCs w:val="30"/>
          <w:highlight w:val="none"/>
        </w:rPr>
      </w:pPr>
    </w:p>
    <w:p>
      <w:pPr>
        <w:spacing w:line="360" w:lineRule="exact"/>
        <w:jc w:val="center"/>
        <w:rPr>
          <w:rFonts w:ascii="宋体"/>
          <w:b/>
          <w:color w:val="auto"/>
          <w:sz w:val="36"/>
          <w:szCs w:val="36"/>
          <w:highlight w:val="none"/>
        </w:rPr>
      </w:pPr>
      <w:r>
        <w:rPr>
          <w:rFonts w:hint="eastAsia" w:ascii="宋体"/>
          <w:b/>
          <w:color w:val="auto"/>
          <w:sz w:val="36"/>
          <w:szCs w:val="36"/>
          <w:highlight w:val="none"/>
        </w:rPr>
        <w:t>投  标  函</w:t>
      </w:r>
    </w:p>
    <w:p>
      <w:pPr>
        <w:spacing w:line="440" w:lineRule="exact"/>
        <w:rPr>
          <w:rFonts w:ascii="宋体"/>
          <w:color w:val="auto"/>
          <w:sz w:val="24"/>
          <w:highlight w:val="none"/>
        </w:rPr>
      </w:pPr>
    </w:p>
    <w:p>
      <w:pPr>
        <w:spacing w:line="440" w:lineRule="exact"/>
        <w:rPr>
          <w:rFonts w:ascii="宋体"/>
          <w:color w:val="auto"/>
          <w:sz w:val="24"/>
          <w:highlight w:val="none"/>
        </w:rPr>
      </w:pPr>
      <w:r>
        <w:rPr>
          <w:rFonts w:hint="eastAsia" w:ascii="宋体"/>
          <w:color w:val="auto"/>
          <w:sz w:val="24"/>
          <w:highlight w:val="none"/>
        </w:rPr>
        <w:t>致：</w:t>
      </w:r>
      <w:r>
        <w:rPr>
          <w:rFonts w:hint="eastAsia" w:ascii="宋体"/>
          <w:color w:val="auto"/>
          <w:sz w:val="24"/>
          <w:highlight w:val="none"/>
          <w:u w:val="single"/>
        </w:rPr>
        <w:t xml:space="preserve">       (采购人)       </w:t>
      </w:r>
      <w:r>
        <w:rPr>
          <w:rFonts w:hint="eastAsia" w:ascii="宋体"/>
          <w:color w:val="auto"/>
          <w:sz w:val="24"/>
          <w:highlight w:val="none"/>
        </w:rPr>
        <w:t xml:space="preserve"> </w:t>
      </w:r>
    </w:p>
    <w:p>
      <w:pPr>
        <w:spacing w:line="440" w:lineRule="exact"/>
        <w:ind w:firstLine="480" w:firstLineChars="200"/>
        <w:rPr>
          <w:rFonts w:ascii="宋体"/>
          <w:color w:val="auto"/>
          <w:sz w:val="24"/>
          <w:highlight w:val="none"/>
        </w:rPr>
      </w:pPr>
      <w:r>
        <w:rPr>
          <w:rFonts w:hint="eastAsia" w:ascii="宋体"/>
          <w:color w:val="auto"/>
          <w:sz w:val="24"/>
          <w:highlight w:val="none"/>
        </w:rPr>
        <w:t>1.我们决定参加贵单位组织的“</w:t>
      </w:r>
      <w:r>
        <w:rPr>
          <w:rFonts w:hint="eastAsia" w:ascii="宋体"/>
          <w:color w:val="auto"/>
          <w:sz w:val="24"/>
          <w:highlight w:val="none"/>
          <w:u w:val="single"/>
        </w:rPr>
        <w:t xml:space="preserve"> （项目名称）    </w:t>
      </w:r>
      <w:r>
        <w:rPr>
          <w:rFonts w:hint="eastAsia" w:ascii="宋体"/>
          <w:color w:val="auto"/>
          <w:sz w:val="24"/>
          <w:highlight w:val="none"/>
        </w:rPr>
        <w:t>（编号：</w:t>
      </w:r>
      <w:r>
        <w:rPr>
          <w:rFonts w:hint="eastAsia" w:ascii="宋体"/>
          <w:color w:val="auto"/>
          <w:sz w:val="24"/>
          <w:highlight w:val="none"/>
          <w:u w:val="single"/>
        </w:rPr>
        <w:t xml:space="preserve">             </w:t>
      </w:r>
      <w:r>
        <w:rPr>
          <w:rFonts w:hint="eastAsia" w:ascii="宋体"/>
          <w:color w:val="auto"/>
          <w:sz w:val="24"/>
          <w:highlight w:val="none"/>
        </w:rPr>
        <w:t xml:space="preserve">）”的采购。我方授权 </w:t>
      </w:r>
      <w:r>
        <w:rPr>
          <w:rFonts w:hint="eastAsia" w:ascii="宋体"/>
          <w:color w:val="auto"/>
          <w:sz w:val="24"/>
          <w:highlight w:val="none"/>
          <w:u w:val="single"/>
        </w:rPr>
        <w:t xml:space="preserve">              </w:t>
      </w:r>
      <w:r>
        <w:rPr>
          <w:rFonts w:hint="eastAsia" w:ascii="宋体"/>
          <w:color w:val="auto"/>
          <w:sz w:val="24"/>
          <w:highlight w:val="none"/>
        </w:rPr>
        <w:t>(姓名和职务)代表我方</w:t>
      </w:r>
      <w:r>
        <w:rPr>
          <w:rFonts w:hint="eastAsia" w:ascii="宋体"/>
          <w:color w:val="auto"/>
          <w:sz w:val="24"/>
          <w:highlight w:val="none"/>
          <w:u w:val="single"/>
        </w:rPr>
        <w:t xml:space="preserve">               </w:t>
      </w:r>
      <w:r>
        <w:rPr>
          <w:rFonts w:hint="eastAsia" w:ascii="宋体"/>
          <w:color w:val="auto"/>
          <w:sz w:val="24"/>
          <w:highlight w:val="none"/>
        </w:rPr>
        <w:t>（投标人的名称）全权处理本项目投标的有关事宜。</w:t>
      </w:r>
    </w:p>
    <w:p>
      <w:pPr>
        <w:spacing w:line="440" w:lineRule="exact"/>
        <w:ind w:firstLine="480" w:firstLineChars="200"/>
        <w:rPr>
          <w:rFonts w:ascii="宋体"/>
          <w:color w:val="auto"/>
          <w:sz w:val="24"/>
          <w:highlight w:val="none"/>
        </w:rPr>
      </w:pPr>
      <w:r>
        <w:rPr>
          <w:rFonts w:hint="eastAsia" w:ascii="宋体"/>
          <w:color w:val="auto"/>
          <w:sz w:val="24"/>
          <w:highlight w:val="none"/>
        </w:rPr>
        <w:t xml:space="preserve">2.我方愿意按照招标文件规定的各项要求，向采购人提供“ </w:t>
      </w:r>
      <w:r>
        <w:rPr>
          <w:rFonts w:hint="eastAsia" w:ascii="宋体"/>
          <w:color w:val="auto"/>
          <w:sz w:val="24"/>
          <w:highlight w:val="none"/>
          <w:u w:val="single"/>
        </w:rPr>
        <w:t xml:space="preserve">     </w:t>
      </w:r>
      <w:r>
        <w:rPr>
          <w:rFonts w:hint="eastAsia" w:ascii="宋体"/>
          <w:color w:val="auto"/>
          <w:sz w:val="24"/>
          <w:highlight w:val="none"/>
        </w:rPr>
        <w:t>（项目编号）”项目的服务，总投标价为</w:t>
      </w:r>
      <w:r>
        <w:rPr>
          <w:rFonts w:hint="eastAsia" w:ascii="宋体"/>
          <w:color w:val="auto"/>
          <w:sz w:val="24"/>
          <w:highlight w:val="none"/>
          <w:lang w:val="en-US" w:eastAsia="zh-CN"/>
        </w:rPr>
        <w:t>一年</w:t>
      </w:r>
      <w:r>
        <w:rPr>
          <w:rFonts w:hint="eastAsia" w:ascii="宋体"/>
          <w:color w:val="auto"/>
          <w:sz w:val="24"/>
          <w:highlight w:val="none"/>
          <w:u w:val="single"/>
        </w:rPr>
        <w:t xml:space="preserve">人民币（大写）      （小写）         </w:t>
      </w:r>
      <w:r>
        <w:rPr>
          <w:rFonts w:hint="eastAsia" w:ascii="宋体"/>
          <w:color w:val="auto"/>
          <w:sz w:val="24"/>
          <w:highlight w:val="none"/>
        </w:rPr>
        <w:t xml:space="preserve"> ；</w:t>
      </w:r>
      <w:r>
        <w:rPr>
          <w:rFonts w:hint="eastAsia" w:ascii="宋体"/>
          <w:color w:val="auto"/>
          <w:sz w:val="24"/>
          <w:highlight w:val="none"/>
          <w:lang w:val="en-US" w:eastAsia="zh-CN"/>
        </w:rPr>
        <w:t>三年</w:t>
      </w:r>
      <w:r>
        <w:rPr>
          <w:rFonts w:hint="eastAsia" w:ascii="宋体"/>
          <w:color w:val="auto"/>
          <w:sz w:val="24"/>
          <w:highlight w:val="none"/>
          <w:u w:val="single"/>
        </w:rPr>
        <w:t xml:space="preserve">人民币（大写）      （小写）         </w:t>
      </w:r>
      <w:r>
        <w:rPr>
          <w:rFonts w:hint="eastAsia" w:ascii="宋体"/>
          <w:color w:val="auto"/>
          <w:sz w:val="24"/>
          <w:highlight w:val="none"/>
          <w:u w:val="none"/>
          <w:lang w:eastAsia="zh-CN"/>
        </w:rPr>
        <w:t>；</w:t>
      </w:r>
      <w:r>
        <w:rPr>
          <w:rFonts w:hint="eastAsia" w:ascii="宋体"/>
          <w:color w:val="auto"/>
          <w:sz w:val="24"/>
          <w:highlight w:val="none"/>
        </w:rPr>
        <w:t>服务期 ：</w:t>
      </w:r>
      <w:r>
        <w:rPr>
          <w:rFonts w:hint="eastAsia" w:ascii="宋体"/>
          <w:color w:val="auto"/>
          <w:sz w:val="24"/>
          <w:highlight w:val="none"/>
          <w:u w:val="single"/>
        </w:rPr>
        <w:t xml:space="preserve">     </w:t>
      </w:r>
      <w:r>
        <w:rPr>
          <w:rFonts w:hint="eastAsia" w:ascii="宋体"/>
          <w:color w:val="auto"/>
          <w:sz w:val="24"/>
          <w:highlight w:val="none"/>
        </w:rPr>
        <w:t>。</w:t>
      </w:r>
    </w:p>
    <w:p>
      <w:pPr>
        <w:spacing w:line="440" w:lineRule="exact"/>
        <w:ind w:firstLine="480" w:firstLineChars="200"/>
        <w:rPr>
          <w:rFonts w:ascii="宋体"/>
          <w:color w:val="auto"/>
          <w:sz w:val="24"/>
          <w:highlight w:val="none"/>
        </w:rPr>
      </w:pPr>
      <w:r>
        <w:rPr>
          <w:rFonts w:hint="eastAsia" w:ascii="宋体"/>
          <w:color w:val="auto"/>
          <w:sz w:val="24"/>
          <w:highlight w:val="none"/>
        </w:rPr>
        <w:t>3.一旦我方成为合同签字人，我方将严格履行合同规定的责任和义务。</w:t>
      </w:r>
    </w:p>
    <w:p>
      <w:pPr>
        <w:spacing w:line="440" w:lineRule="exact"/>
        <w:ind w:firstLine="480" w:firstLineChars="200"/>
        <w:rPr>
          <w:rFonts w:ascii="宋体"/>
          <w:color w:val="auto"/>
          <w:sz w:val="24"/>
          <w:highlight w:val="none"/>
        </w:rPr>
      </w:pPr>
      <w:r>
        <w:rPr>
          <w:rFonts w:hint="eastAsia" w:ascii="宋体"/>
          <w:color w:val="auto"/>
          <w:sz w:val="24"/>
          <w:highlight w:val="none"/>
        </w:rPr>
        <w:t>4.我方愿意提供可能另外要求的、与采购投标有关的文件资料，并保证我方已提供和将要提供的文件是真实的、准确的。</w:t>
      </w:r>
    </w:p>
    <w:p>
      <w:pPr>
        <w:spacing w:line="440" w:lineRule="exact"/>
        <w:ind w:firstLine="480" w:firstLineChars="200"/>
        <w:rPr>
          <w:rFonts w:ascii="宋体"/>
          <w:color w:val="auto"/>
          <w:sz w:val="24"/>
          <w:highlight w:val="none"/>
        </w:rPr>
      </w:pPr>
      <w:r>
        <w:rPr>
          <w:rFonts w:hint="eastAsia" w:ascii="宋体"/>
          <w:color w:val="auto"/>
          <w:sz w:val="24"/>
          <w:highlight w:val="none"/>
        </w:rPr>
        <w:t>5、我单位提供如下通讯地址：</w:t>
      </w:r>
      <w:r>
        <w:rPr>
          <w:rFonts w:hint="eastAsia" w:ascii="宋体"/>
          <w:color w:val="auto"/>
          <w:sz w:val="24"/>
          <w:highlight w:val="none"/>
          <w:u w:val="single"/>
        </w:rPr>
        <w:t xml:space="preserve">              </w:t>
      </w:r>
      <w:r>
        <w:rPr>
          <w:rFonts w:hint="eastAsia" w:ascii="宋体"/>
          <w:color w:val="auto"/>
          <w:sz w:val="24"/>
          <w:highlight w:val="none"/>
        </w:rPr>
        <w:t xml:space="preserve">  电子邮箱（地址），确认本项目相关法律文书均通过提供的以上地址送达，相关文书只要发送至以上电子邮箱（地址）即视为送达，投标人愿意承担一切法律后果。</w:t>
      </w:r>
    </w:p>
    <w:p>
      <w:pPr>
        <w:spacing w:line="440" w:lineRule="exact"/>
        <w:rPr>
          <w:rFonts w:ascii="宋体"/>
          <w:color w:val="auto"/>
          <w:sz w:val="24"/>
          <w:highlight w:val="none"/>
        </w:rPr>
      </w:pPr>
      <w:r>
        <w:rPr>
          <w:rFonts w:hint="eastAsia" w:ascii="宋体"/>
          <w:color w:val="auto"/>
          <w:sz w:val="24"/>
          <w:highlight w:val="none"/>
        </w:rPr>
        <w:t> </w:t>
      </w:r>
    </w:p>
    <w:p>
      <w:pPr>
        <w:spacing w:line="440" w:lineRule="exact"/>
        <w:jc w:val="right"/>
        <w:rPr>
          <w:rFonts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r>
        <w:rPr>
          <w:rFonts w:hint="eastAsia" w:ascii="宋体"/>
          <w:color w:val="auto"/>
          <w:sz w:val="24"/>
          <w:highlight w:val="none"/>
        </w:rPr>
        <w:t>（盖单位章）</w:t>
      </w:r>
    </w:p>
    <w:p>
      <w:pPr>
        <w:spacing w:line="440" w:lineRule="exact"/>
        <w:jc w:val="right"/>
        <w:rPr>
          <w:rFonts w:ascii="宋体"/>
          <w:color w:val="auto"/>
          <w:sz w:val="24"/>
          <w:highlight w:val="none"/>
        </w:rPr>
      </w:pPr>
    </w:p>
    <w:p>
      <w:pPr>
        <w:spacing w:line="440" w:lineRule="exact"/>
        <w:jc w:val="right"/>
        <w:rPr>
          <w:rFonts w:ascii="宋体"/>
          <w:color w:val="auto"/>
          <w:sz w:val="24"/>
          <w:highlight w:val="none"/>
        </w:rPr>
      </w:pPr>
      <w:r>
        <w:rPr>
          <w:rFonts w:hint="eastAsia" w:ascii="宋体"/>
          <w:color w:val="auto"/>
          <w:sz w:val="24"/>
          <w:highlight w:val="none"/>
        </w:rPr>
        <w:t>投标人法定代表人：</w:t>
      </w:r>
      <w:r>
        <w:rPr>
          <w:rFonts w:hint="eastAsia" w:ascii="宋体"/>
          <w:color w:val="auto"/>
          <w:sz w:val="24"/>
          <w:highlight w:val="none"/>
          <w:u w:val="single"/>
        </w:rPr>
        <w:t xml:space="preserve">                      </w:t>
      </w:r>
      <w:r>
        <w:rPr>
          <w:rFonts w:hint="eastAsia" w:ascii="宋体"/>
          <w:color w:val="auto"/>
          <w:sz w:val="24"/>
          <w:highlight w:val="none"/>
        </w:rPr>
        <w:t>（签字或盖章）</w:t>
      </w:r>
    </w:p>
    <w:p>
      <w:pPr>
        <w:spacing w:line="440" w:lineRule="exact"/>
        <w:ind w:firstLine="3240" w:firstLineChars="1350"/>
        <w:rPr>
          <w:rFonts w:ascii="宋体"/>
          <w:color w:val="auto"/>
          <w:sz w:val="24"/>
          <w:highlight w:val="none"/>
        </w:rPr>
      </w:pPr>
      <w:r>
        <w:rPr>
          <w:rFonts w:hint="eastAsia" w:ascii="宋体"/>
          <w:color w:val="auto"/>
          <w:sz w:val="24"/>
          <w:highlight w:val="none"/>
        </w:rPr>
        <w:t>日    期：</w:t>
      </w:r>
      <w:r>
        <w:rPr>
          <w:rFonts w:hint="eastAsia" w:ascii="宋体"/>
          <w:color w:val="auto"/>
          <w:sz w:val="24"/>
          <w:highlight w:val="none"/>
          <w:u w:val="single"/>
        </w:rPr>
        <w:t xml:space="preserve">                 </w:t>
      </w:r>
    </w:p>
    <w:p>
      <w:pPr>
        <w:spacing w:line="440" w:lineRule="exact"/>
        <w:ind w:firstLine="3240" w:firstLineChars="1350"/>
        <w:rPr>
          <w:rFonts w:ascii="宋体"/>
          <w:color w:val="auto"/>
          <w:sz w:val="24"/>
          <w:highlight w:val="none"/>
        </w:rPr>
      </w:pPr>
      <w:r>
        <w:rPr>
          <w:rFonts w:hint="eastAsia" w:ascii="宋体"/>
          <w:color w:val="auto"/>
          <w:sz w:val="24"/>
          <w:highlight w:val="none"/>
        </w:rPr>
        <w:t>通讯地址：</w:t>
      </w:r>
      <w:r>
        <w:rPr>
          <w:rFonts w:hint="eastAsia" w:ascii="宋体"/>
          <w:color w:val="auto"/>
          <w:sz w:val="24"/>
          <w:highlight w:val="none"/>
          <w:u w:val="single"/>
        </w:rPr>
        <w:t xml:space="preserve">                 </w:t>
      </w:r>
    </w:p>
    <w:p>
      <w:pPr>
        <w:spacing w:line="440" w:lineRule="exact"/>
        <w:ind w:firstLine="3240" w:firstLineChars="1350"/>
        <w:rPr>
          <w:rFonts w:ascii="宋体"/>
          <w:color w:val="auto"/>
          <w:sz w:val="24"/>
          <w:highlight w:val="none"/>
        </w:rPr>
      </w:pPr>
      <w:r>
        <w:rPr>
          <w:rFonts w:hint="eastAsia" w:ascii="宋体"/>
          <w:color w:val="auto"/>
          <w:sz w:val="24"/>
          <w:highlight w:val="none"/>
        </w:rPr>
        <w:t>电    话：</w:t>
      </w:r>
      <w:r>
        <w:rPr>
          <w:rFonts w:hint="eastAsia" w:ascii="宋体"/>
          <w:color w:val="auto"/>
          <w:sz w:val="24"/>
          <w:highlight w:val="none"/>
          <w:u w:val="single"/>
        </w:rPr>
        <w:t xml:space="preserve">                 </w:t>
      </w:r>
    </w:p>
    <w:p>
      <w:pPr>
        <w:spacing w:line="360" w:lineRule="exact"/>
        <w:rPr>
          <w:rFonts w:ascii="宋体"/>
          <w:b/>
          <w:color w:val="auto"/>
          <w:sz w:val="28"/>
          <w:szCs w:val="28"/>
          <w:highlight w:val="none"/>
        </w:rPr>
      </w:pPr>
    </w:p>
    <w:p>
      <w:pPr>
        <w:snapToGrid w:val="0"/>
        <w:spacing w:before="156" w:beforeLines="50" w:after="156" w:afterLines="50" w:line="440" w:lineRule="exact"/>
        <w:jc w:val="center"/>
        <w:rPr>
          <w:rFonts w:ascii="宋体" w:cs="宋体"/>
          <w:b/>
          <w:bCs/>
          <w:color w:val="auto"/>
          <w:sz w:val="28"/>
          <w:szCs w:val="28"/>
          <w:highlight w:val="none"/>
        </w:rPr>
      </w:pPr>
    </w:p>
    <w:p>
      <w:pPr>
        <w:snapToGrid w:val="0"/>
        <w:spacing w:before="156" w:beforeLines="50" w:after="156" w:afterLines="50" w:line="440" w:lineRule="exact"/>
        <w:jc w:val="center"/>
        <w:rPr>
          <w:rFonts w:ascii="宋体" w:cs="宋体"/>
          <w:b/>
          <w:bCs/>
          <w:color w:val="auto"/>
          <w:sz w:val="28"/>
          <w:szCs w:val="28"/>
          <w:highlight w:val="none"/>
        </w:rPr>
      </w:pPr>
    </w:p>
    <w:p>
      <w:pPr>
        <w:snapToGrid w:val="0"/>
        <w:spacing w:before="156" w:beforeLines="50" w:after="156" w:afterLines="50" w:line="440" w:lineRule="exact"/>
        <w:jc w:val="center"/>
        <w:rPr>
          <w:rFonts w:ascii="宋体" w:cs="宋体"/>
          <w:b/>
          <w:bCs/>
          <w:color w:val="auto"/>
          <w:sz w:val="28"/>
          <w:szCs w:val="28"/>
          <w:highlight w:val="none"/>
        </w:rPr>
      </w:pPr>
    </w:p>
    <w:p>
      <w:pPr>
        <w:snapToGrid w:val="0"/>
        <w:spacing w:before="156" w:beforeLines="50" w:after="156" w:afterLines="50" w:line="440" w:lineRule="exact"/>
        <w:jc w:val="center"/>
        <w:rPr>
          <w:rFonts w:ascii="宋体" w:cs="宋体"/>
          <w:b/>
          <w:bCs/>
          <w:color w:val="auto"/>
          <w:sz w:val="28"/>
          <w:szCs w:val="28"/>
          <w:highlight w:val="none"/>
        </w:rPr>
      </w:pPr>
    </w:p>
    <w:p>
      <w:pPr>
        <w:snapToGrid w:val="0"/>
        <w:spacing w:before="156" w:beforeLines="50" w:after="156" w:afterLines="50" w:line="440" w:lineRule="exact"/>
        <w:jc w:val="center"/>
        <w:rPr>
          <w:rFonts w:ascii="宋体" w:cs="宋体"/>
          <w:b/>
          <w:bCs/>
          <w:color w:val="auto"/>
          <w:sz w:val="28"/>
          <w:szCs w:val="28"/>
          <w:highlight w:val="none"/>
        </w:rPr>
      </w:pPr>
    </w:p>
    <w:p>
      <w:pPr>
        <w:snapToGrid w:val="0"/>
        <w:spacing w:before="156" w:beforeLines="50" w:after="156" w:afterLines="50" w:line="440" w:lineRule="exact"/>
        <w:jc w:val="center"/>
        <w:rPr>
          <w:rFonts w:ascii="宋体" w:cs="宋体"/>
          <w:b/>
          <w:bCs/>
          <w:color w:val="auto"/>
          <w:sz w:val="28"/>
          <w:szCs w:val="28"/>
          <w:highlight w:val="none"/>
        </w:rPr>
      </w:pPr>
    </w:p>
    <w:p>
      <w:pPr>
        <w:snapToGrid w:val="0"/>
        <w:spacing w:before="156" w:beforeLines="50" w:after="156" w:afterLines="50" w:line="440" w:lineRule="exact"/>
        <w:jc w:val="center"/>
        <w:rPr>
          <w:rFonts w:ascii="宋体" w:cs="宋体"/>
          <w:b/>
          <w:bCs/>
          <w:color w:val="auto"/>
          <w:sz w:val="28"/>
          <w:szCs w:val="28"/>
          <w:highlight w:val="none"/>
        </w:rPr>
      </w:pPr>
    </w:p>
    <w:p>
      <w:pPr>
        <w:snapToGrid w:val="0"/>
        <w:spacing w:before="156" w:beforeLines="50" w:after="156" w:afterLines="50" w:line="440" w:lineRule="exact"/>
        <w:jc w:val="center"/>
        <w:rPr>
          <w:rFonts w:ascii="宋体" w:cs="宋体"/>
          <w:b/>
          <w:bCs/>
          <w:color w:val="auto"/>
          <w:sz w:val="28"/>
          <w:szCs w:val="28"/>
          <w:highlight w:val="none"/>
        </w:rPr>
      </w:pPr>
      <w:r>
        <w:rPr>
          <w:rFonts w:hint="eastAsia" w:ascii="宋体" w:cs="宋体"/>
          <w:b/>
          <w:bCs/>
          <w:color w:val="auto"/>
          <w:sz w:val="28"/>
          <w:szCs w:val="28"/>
          <w:highlight w:val="none"/>
        </w:rPr>
        <w:t>分项报价清单</w:t>
      </w:r>
    </w:p>
    <w:tbl>
      <w:tblPr>
        <w:tblStyle w:val="50"/>
        <w:tblW w:w="9912" w:type="dxa"/>
        <w:tblInd w:w="-36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3"/>
        <w:gridCol w:w="2038"/>
        <w:gridCol w:w="1242"/>
        <w:gridCol w:w="784"/>
        <w:gridCol w:w="782"/>
        <w:gridCol w:w="898"/>
        <w:gridCol w:w="1368"/>
        <w:gridCol w:w="21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5" w:hRule="atLeast"/>
        </w:trPr>
        <w:tc>
          <w:tcPr>
            <w:tcW w:w="643"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038" w:type="dxa"/>
            <w:tcBorders>
              <w:righ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产品名称</w:t>
            </w:r>
          </w:p>
        </w:tc>
        <w:tc>
          <w:tcPr>
            <w:tcW w:w="1242" w:type="dxa"/>
            <w:tcBorders>
              <w:lef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规格型号</w:t>
            </w:r>
          </w:p>
          <w:p>
            <w:pPr>
              <w:spacing w:line="300" w:lineRule="exact"/>
              <w:jc w:val="center"/>
              <w:rPr>
                <w:rFonts w:ascii="宋体" w:hAnsi="宋体"/>
                <w:color w:val="auto"/>
                <w:szCs w:val="21"/>
                <w:highlight w:val="none"/>
              </w:rPr>
            </w:pPr>
            <w:r>
              <w:rPr>
                <w:rFonts w:hint="eastAsia" w:ascii="宋体" w:hAnsi="宋体"/>
                <w:color w:val="auto"/>
                <w:szCs w:val="21"/>
                <w:highlight w:val="none"/>
              </w:rPr>
              <w:t>品牌（</w:t>
            </w:r>
            <w:r>
              <w:rPr>
                <w:rFonts w:hint="eastAsia" w:ascii="宋体"/>
                <w:color w:val="auto"/>
                <w:szCs w:val="21"/>
                <w:highlight w:val="none"/>
              </w:rPr>
              <w:t>生产厂家</w:t>
            </w:r>
            <w:r>
              <w:rPr>
                <w:rFonts w:hint="eastAsia" w:ascii="宋体" w:hAnsi="宋体"/>
                <w:color w:val="auto"/>
                <w:szCs w:val="21"/>
                <w:highlight w:val="none"/>
              </w:rPr>
              <w:t>）</w:t>
            </w:r>
          </w:p>
        </w:tc>
        <w:tc>
          <w:tcPr>
            <w:tcW w:w="784"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单位</w:t>
            </w:r>
          </w:p>
        </w:tc>
        <w:tc>
          <w:tcPr>
            <w:tcW w:w="782"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数量</w:t>
            </w:r>
          </w:p>
        </w:tc>
        <w:tc>
          <w:tcPr>
            <w:tcW w:w="898" w:type="dxa"/>
            <w:tcBorders>
              <w:left w:val="single" w:color="auto" w:sz="4" w:space="0"/>
            </w:tcBorders>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单 价（元）</w:t>
            </w:r>
          </w:p>
        </w:tc>
        <w:tc>
          <w:tcPr>
            <w:tcW w:w="1368" w:type="dxa"/>
            <w:vAlign w:val="center"/>
          </w:tcPr>
          <w:p>
            <w:pPr>
              <w:spacing w:line="300" w:lineRule="exact"/>
              <w:jc w:val="center"/>
              <w:rPr>
                <w:rFonts w:ascii="宋体" w:hAnsi="宋体"/>
                <w:color w:val="auto"/>
                <w:szCs w:val="21"/>
                <w:highlight w:val="none"/>
              </w:rPr>
            </w:pPr>
            <w:r>
              <w:rPr>
                <w:rFonts w:hint="eastAsia" w:ascii="宋体" w:hAnsi="宋体"/>
                <w:color w:val="auto"/>
                <w:szCs w:val="21"/>
                <w:highlight w:val="none"/>
              </w:rPr>
              <w:t>合 价（元）</w:t>
            </w:r>
          </w:p>
        </w:tc>
        <w:tc>
          <w:tcPr>
            <w:tcW w:w="2157" w:type="dxa"/>
            <w:vAlign w:val="center"/>
          </w:tcPr>
          <w:p>
            <w:pPr>
              <w:spacing w:line="300" w:lineRule="exact"/>
              <w:ind w:left="-80" w:leftChars="-38" w:right="-94" w:rightChars="-45"/>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tcPr>
          <w:p>
            <w:pPr>
              <w:textAlignment w:val="baseline"/>
              <w:rPr>
                <w:rFonts w:ascii="宋体" w:hAnsi="宋体"/>
                <w:color w:val="auto"/>
                <w:szCs w:val="21"/>
                <w:highlight w:val="none"/>
              </w:rPr>
            </w:pPr>
            <w:r>
              <w:rPr>
                <w:rFonts w:hint="eastAsia" w:ascii="宋体" w:hAnsi="宋体"/>
                <w:color w:val="auto"/>
                <w:szCs w:val="21"/>
                <w:highlight w:val="none"/>
              </w:rPr>
              <w:t>1</w:t>
            </w:r>
          </w:p>
        </w:tc>
        <w:tc>
          <w:tcPr>
            <w:tcW w:w="2038" w:type="dxa"/>
            <w:tcBorders>
              <w:right w:val="single" w:color="auto" w:sz="4" w:space="0"/>
            </w:tcBorders>
            <w:vAlign w:val="center"/>
          </w:tcPr>
          <w:p>
            <w:pPr>
              <w:widowControl/>
              <w:spacing w:line="360" w:lineRule="auto"/>
              <w:jc w:val="center"/>
              <w:textAlignment w:val="center"/>
              <w:rPr>
                <w:rFonts w:ascii="宋体" w:hAnsi="宋体"/>
                <w:color w:val="auto"/>
                <w:sz w:val="24"/>
                <w:highlight w:val="none"/>
              </w:rPr>
            </w:pPr>
          </w:p>
        </w:tc>
        <w:tc>
          <w:tcPr>
            <w:tcW w:w="1242" w:type="dxa"/>
            <w:tcBorders>
              <w:left w:val="single" w:color="auto" w:sz="4" w:space="0"/>
            </w:tcBorders>
            <w:vAlign w:val="center"/>
          </w:tcPr>
          <w:p>
            <w:pPr>
              <w:spacing w:line="300" w:lineRule="exact"/>
              <w:jc w:val="center"/>
              <w:rPr>
                <w:rFonts w:ascii="宋体" w:hAnsi="宋体"/>
                <w:color w:val="auto"/>
                <w:sz w:val="24"/>
                <w:highlight w:val="none"/>
              </w:rPr>
            </w:pPr>
          </w:p>
        </w:tc>
        <w:tc>
          <w:tcPr>
            <w:tcW w:w="784" w:type="dxa"/>
            <w:vAlign w:val="center"/>
          </w:tcPr>
          <w:p>
            <w:pPr>
              <w:widowControl/>
              <w:spacing w:line="360" w:lineRule="auto"/>
              <w:jc w:val="center"/>
              <w:textAlignment w:val="center"/>
              <w:rPr>
                <w:rFonts w:ascii="宋体" w:hAnsi="宋体"/>
                <w:color w:val="auto"/>
                <w:sz w:val="24"/>
                <w:highlight w:val="none"/>
              </w:rPr>
            </w:pPr>
          </w:p>
        </w:tc>
        <w:tc>
          <w:tcPr>
            <w:tcW w:w="782" w:type="dxa"/>
            <w:vAlign w:val="center"/>
          </w:tcPr>
          <w:p>
            <w:pPr>
              <w:widowControl/>
              <w:spacing w:line="360" w:lineRule="auto"/>
              <w:jc w:val="center"/>
              <w:textAlignment w:val="center"/>
              <w:rPr>
                <w:rFonts w:ascii="宋体" w:hAnsi="宋体"/>
                <w:color w:val="auto"/>
                <w:sz w:val="24"/>
                <w:highlight w:val="none"/>
              </w:rPr>
            </w:pPr>
          </w:p>
        </w:tc>
        <w:tc>
          <w:tcPr>
            <w:tcW w:w="898" w:type="dxa"/>
            <w:tcBorders>
              <w:left w:val="single" w:color="auto" w:sz="4" w:space="0"/>
            </w:tcBorders>
            <w:vAlign w:val="center"/>
          </w:tcPr>
          <w:p>
            <w:pPr>
              <w:spacing w:line="300" w:lineRule="exact"/>
              <w:rPr>
                <w:rFonts w:ascii="宋体" w:hAnsi="宋体"/>
                <w:color w:val="auto"/>
                <w:sz w:val="24"/>
                <w:highlight w:val="none"/>
              </w:rPr>
            </w:pPr>
          </w:p>
        </w:tc>
        <w:tc>
          <w:tcPr>
            <w:tcW w:w="1368" w:type="dxa"/>
            <w:vAlign w:val="center"/>
          </w:tcPr>
          <w:p>
            <w:pPr>
              <w:spacing w:line="300" w:lineRule="exact"/>
              <w:rPr>
                <w:rFonts w:ascii="宋体" w:hAnsi="宋体"/>
                <w:color w:val="auto"/>
                <w:sz w:val="24"/>
                <w:highlight w:val="none"/>
              </w:rPr>
            </w:pPr>
          </w:p>
        </w:tc>
        <w:tc>
          <w:tcPr>
            <w:tcW w:w="2157" w:type="dxa"/>
          </w:tcPr>
          <w:p>
            <w:pPr>
              <w:spacing w:line="300" w:lineRule="exact"/>
              <w:rPr>
                <w:rFonts w:ascii="宋体"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tcPr>
          <w:p>
            <w:pPr>
              <w:textAlignment w:val="baseline"/>
              <w:rPr>
                <w:rFonts w:ascii="宋体" w:hAnsi="宋体"/>
                <w:color w:val="auto"/>
                <w:szCs w:val="21"/>
                <w:highlight w:val="none"/>
              </w:rPr>
            </w:pPr>
            <w:r>
              <w:rPr>
                <w:rFonts w:hint="eastAsia" w:ascii="宋体" w:hAnsi="宋体"/>
                <w:color w:val="auto"/>
                <w:szCs w:val="21"/>
                <w:highlight w:val="none"/>
              </w:rPr>
              <w:t>2</w:t>
            </w:r>
          </w:p>
        </w:tc>
        <w:tc>
          <w:tcPr>
            <w:tcW w:w="2038" w:type="dxa"/>
            <w:tcBorders>
              <w:right w:val="single" w:color="auto" w:sz="4" w:space="0"/>
            </w:tcBorders>
            <w:vAlign w:val="center"/>
          </w:tcPr>
          <w:p>
            <w:pPr>
              <w:widowControl/>
              <w:spacing w:line="360" w:lineRule="auto"/>
              <w:jc w:val="center"/>
              <w:textAlignment w:val="center"/>
              <w:rPr>
                <w:rFonts w:ascii="宋体" w:hAnsi="宋体"/>
                <w:color w:val="auto"/>
                <w:sz w:val="24"/>
                <w:highlight w:val="none"/>
              </w:rPr>
            </w:pPr>
          </w:p>
        </w:tc>
        <w:tc>
          <w:tcPr>
            <w:tcW w:w="1242" w:type="dxa"/>
            <w:tcBorders>
              <w:left w:val="single" w:color="auto" w:sz="4" w:space="0"/>
            </w:tcBorders>
            <w:vAlign w:val="center"/>
          </w:tcPr>
          <w:p>
            <w:pPr>
              <w:spacing w:line="300" w:lineRule="exact"/>
              <w:jc w:val="center"/>
              <w:rPr>
                <w:rFonts w:ascii="宋体" w:hAnsi="宋体"/>
                <w:color w:val="auto"/>
                <w:sz w:val="24"/>
                <w:highlight w:val="none"/>
              </w:rPr>
            </w:pPr>
          </w:p>
        </w:tc>
        <w:tc>
          <w:tcPr>
            <w:tcW w:w="784" w:type="dxa"/>
            <w:vAlign w:val="center"/>
          </w:tcPr>
          <w:p>
            <w:pPr>
              <w:widowControl/>
              <w:spacing w:line="360" w:lineRule="auto"/>
              <w:jc w:val="center"/>
              <w:textAlignment w:val="center"/>
              <w:rPr>
                <w:rFonts w:ascii="宋体" w:hAnsi="宋体"/>
                <w:color w:val="auto"/>
                <w:sz w:val="24"/>
                <w:highlight w:val="none"/>
              </w:rPr>
            </w:pPr>
          </w:p>
        </w:tc>
        <w:tc>
          <w:tcPr>
            <w:tcW w:w="782" w:type="dxa"/>
            <w:vAlign w:val="center"/>
          </w:tcPr>
          <w:p>
            <w:pPr>
              <w:widowControl/>
              <w:spacing w:line="360" w:lineRule="auto"/>
              <w:jc w:val="center"/>
              <w:textAlignment w:val="center"/>
              <w:rPr>
                <w:rFonts w:ascii="宋体" w:hAnsi="宋体"/>
                <w:color w:val="auto"/>
                <w:sz w:val="24"/>
                <w:highlight w:val="none"/>
              </w:rPr>
            </w:pPr>
          </w:p>
        </w:tc>
        <w:tc>
          <w:tcPr>
            <w:tcW w:w="898" w:type="dxa"/>
            <w:tcBorders>
              <w:left w:val="single" w:color="auto" w:sz="4" w:space="0"/>
            </w:tcBorders>
            <w:vAlign w:val="center"/>
          </w:tcPr>
          <w:p>
            <w:pPr>
              <w:spacing w:line="300" w:lineRule="exact"/>
              <w:rPr>
                <w:rFonts w:ascii="宋体" w:hAnsi="宋体"/>
                <w:color w:val="auto"/>
                <w:sz w:val="24"/>
                <w:highlight w:val="none"/>
              </w:rPr>
            </w:pPr>
          </w:p>
        </w:tc>
        <w:tc>
          <w:tcPr>
            <w:tcW w:w="1368" w:type="dxa"/>
            <w:vAlign w:val="center"/>
          </w:tcPr>
          <w:p>
            <w:pPr>
              <w:spacing w:line="300" w:lineRule="exact"/>
              <w:rPr>
                <w:rFonts w:ascii="宋体" w:hAnsi="宋体"/>
                <w:color w:val="auto"/>
                <w:sz w:val="24"/>
                <w:highlight w:val="none"/>
              </w:rPr>
            </w:pPr>
          </w:p>
        </w:tc>
        <w:tc>
          <w:tcPr>
            <w:tcW w:w="2157" w:type="dxa"/>
          </w:tcPr>
          <w:p>
            <w:pPr>
              <w:spacing w:line="300" w:lineRule="exact"/>
              <w:rPr>
                <w:rFonts w:ascii="宋体"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643" w:type="dxa"/>
          </w:tcPr>
          <w:p>
            <w:pPr>
              <w:textAlignment w:val="baseline"/>
              <w:rPr>
                <w:rFonts w:ascii="宋体" w:hAnsi="宋体"/>
                <w:color w:val="auto"/>
                <w:szCs w:val="21"/>
                <w:highlight w:val="none"/>
              </w:rPr>
            </w:pPr>
            <w:r>
              <w:rPr>
                <w:rFonts w:hint="eastAsia" w:ascii="宋体" w:hAnsi="宋体"/>
                <w:color w:val="auto"/>
                <w:szCs w:val="21"/>
                <w:highlight w:val="none"/>
              </w:rPr>
              <w:t>...</w:t>
            </w:r>
          </w:p>
        </w:tc>
        <w:tc>
          <w:tcPr>
            <w:tcW w:w="2038" w:type="dxa"/>
            <w:tcBorders>
              <w:right w:val="single" w:color="auto" w:sz="4" w:space="0"/>
            </w:tcBorders>
            <w:vAlign w:val="center"/>
          </w:tcPr>
          <w:p>
            <w:pPr>
              <w:widowControl/>
              <w:spacing w:line="360" w:lineRule="auto"/>
              <w:jc w:val="center"/>
              <w:textAlignment w:val="center"/>
              <w:rPr>
                <w:rFonts w:ascii="宋体" w:hAnsi="宋体"/>
                <w:color w:val="auto"/>
                <w:sz w:val="24"/>
                <w:highlight w:val="none"/>
              </w:rPr>
            </w:pPr>
          </w:p>
        </w:tc>
        <w:tc>
          <w:tcPr>
            <w:tcW w:w="1242" w:type="dxa"/>
            <w:tcBorders>
              <w:left w:val="single" w:color="auto" w:sz="4" w:space="0"/>
            </w:tcBorders>
            <w:vAlign w:val="center"/>
          </w:tcPr>
          <w:p>
            <w:pPr>
              <w:spacing w:line="300" w:lineRule="exact"/>
              <w:jc w:val="center"/>
              <w:rPr>
                <w:rFonts w:ascii="宋体" w:hAnsi="宋体"/>
                <w:color w:val="auto"/>
                <w:sz w:val="24"/>
                <w:highlight w:val="none"/>
              </w:rPr>
            </w:pPr>
          </w:p>
        </w:tc>
        <w:tc>
          <w:tcPr>
            <w:tcW w:w="784" w:type="dxa"/>
            <w:vAlign w:val="center"/>
          </w:tcPr>
          <w:p>
            <w:pPr>
              <w:widowControl/>
              <w:spacing w:line="360" w:lineRule="auto"/>
              <w:jc w:val="center"/>
              <w:textAlignment w:val="center"/>
              <w:rPr>
                <w:rFonts w:ascii="宋体" w:hAnsi="宋体"/>
                <w:color w:val="auto"/>
                <w:sz w:val="24"/>
                <w:highlight w:val="none"/>
              </w:rPr>
            </w:pPr>
          </w:p>
        </w:tc>
        <w:tc>
          <w:tcPr>
            <w:tcW w:w="782" w:type="dxa"/>
            <w:vAlign w:val="center"/>
          </w:tcPr>
          <w:p>
            <w:pPr>
              <w:widowControl/>
              <w:spacing w:line="360" w:lineRule="auto"/>
              <w:jc w:val="center"/>
              <w:textAlignment w:val="center"/>
              <w:rPr>
                <w:rFonts w:ascii="宋体" w:hAnsi="宋体"/>
                <w:color w:val="auto"/>
                <w:sz w:val="24"/>
                <w:highlight w:val="none"/>
              </w:rPr>
            </w:pPr>
          </w:p>
        </w:tc>
        <w:tc>
          <w:tcPr>
            <w:tcW w:w="898" w:type="dxa"/>
            <w:tcBorders>
              <w:left w:val="single" w:color="auto" w:sz="4" w:space="0"/>
            </w:tcBorders>
            <w:vAlign w:val="center"/>
          </w:tcPr>
          <w:p>
            <w:pPr>
              <w:spacing w:line="300" w:lineRule="exact"/>
              <w:rPr>
                <w:rFonts w:ascii="宋体" w:hAnsi="宋体"/>
                <w:color w:val="auto"/>
                <w:sz w:val="24"/>
                <w:highlight w:val="none"/>
              </w:rPr>
            </w:pPr>
          </w:p>
        </w:tc>
        <w:tc>
          <w:tcPr>
            <w:tcW w:w="1368" w:type="dxa"/>
            <w:vAlign w:val="center"/>
          </w:tcPr>
          <w:p>
            <w:pPr>
              <w:spacing w:line="300" w:lineRule="exact"/>
              <w:rPr>
                <w:rFonts w:ascii="宋体" w:hAnsi="宋体"/>
                <w:color w:val="auto"/>
                <w:sz w:val="24"/>
                <w:highlight w:val="none"/>
              </w:rPr>
            </w:pPr>
          </w:p>
        </w:tc>
        <w:tc>
          <w:tcPr>
            <w:tcW w:w="2157" w:type="dxa"/>
          </w:tcPr>
          <w:p>
            <w:pPr>
              <w:spacing w:line="300" w:lineRule="exact"/>
              <w:rPr>
                <w:rFonts w:ascii="宋体" w:hAns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trPr>
        <w:tc>
          <w:tcPr>
            <w:tcW w:w="9912" w:type="dxa"/>
            <w:gridSpan w:val="8"/>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b/>
                <w:color w:val="auto"/>
                <w:sz w:val="24"/>
                <w:highlight w:val="none"/>
              </w:rPr>
            </w:pPr>
            <w:r>
              <w:rPr>
                <w:rFonts w:hint="eastAsia" w:ascii="宋体" w:hAnsi="宋体"/>
                <w:b/>
                <w:color w:val="auto"/>
                <w:sz w:val="24"/>
                <w:highlight w:val="none"/>
              </w:rPr>
              <w:t>投标报价（1+2+...）：</w:t>
            </w:r>
            <w:r>
              <w:rPr>
                <w:rFonts w:hint="eastAsia" w:ascii="宋体" w:hAnsi="宋体"/>
                <w:b/>
                <w:color w:val="auto"/>
                <w:sz w:val="24"/>
                <w:highlight w:val="none"/>
                <w:lang w:val="en-US" w:eastAsia="zh-CN"/>
              </w:rPr>
              <w:t>一年：</w:t>
            </w:r>
            <w:r>
              <w:rPr>
                <w:rFonts w:hint="eastAsia" w:ascii="宋体" w:hAnsi="宋体"/>
                <w:b/>
                <w:color w:val="auto"/>
                <w:sz w:val="24"/>
                <w:highlight w:val="none"/>
                <w:u w:val="single"/>
              </w:rPr>
              <w:t xml:space="preserve">               </w:t>
            </w:r>
            <w:r>
              <w:rPr>
                <w:rFonts w:hint="eastAsia" w:ascii="宋体" w:hAnsi="宋体"/>
                <w:b/>
                <w:color w:val="auto"/>
                <w:sz w:val="24"/>
                <w:highlight w:val="none"/>
              </w:rPr>
              <w:t>元；小写：</w:t>
            </w:r>
            <w:r>
              <w:rPr>
                <w:rFonts w:hint="eastAsia" w:ascii="宋体" w:hAnsi="宋体"/>
                <w:b/>
                <w:color w:val="auto"/>
                <w:sz w:val="24"/>
                <w:highlight w:val="none"/>
                <w:u w:val="single"/>
              </w:rPr>
              <w:t xml:space="preserve">         </w:t>
            </w:r>
            <w:r>
              <w:rPr>
                <w:rFonts w:hint="eastAsia" w:ascii="宋体" w:hAnsi="宋体"/>
                <w:b/>
                <w:color w:val="auto"/>
                <w:sz w:val="24"/>
                <w:highlight w:val="none"/>
              </w:rPr>
              <w:t xml:space="preserve"> 元；</w:t>
            </w:r>
          </w:p>
          <w:p>
            <w:pPr>
              <w:pStyle w:val="49"/>
              <w:keepNext w:val="0"/>
              <w:keepLines w:val="0"/>
              <w:pageBreakBefore w:val="0"/>
              <w:widowControl w:val="0"/>
              <w:kinsoku/>
              <w:wordWrap/>
              <w:overflowPunct/>
              <w:topLinePunct w:val="0"/>
              <w:autoSpaceDE/>
              <w:autoSpaceDN/>
              <w:bidi w:val="0"/>
              <w:adjustRightInd/>
              <w:snapToGrid/>
              <w:spacing w:after="0" w:line="400" w:lineRule="exact"/>
              <w:ind w:firstLine="2168" w:firstLineChars="900"/>
              <w:textAlignment w:val="auto"/>
              <w:rPr>
                <w:rFonts w:hint="eastAsia" w:eastAsia="宋体"/>
                <w:highlight w:val="none"/>
                <w:lang w:val="en-US" w:eastAsia="zh-CN"/>
              </w:rPr>
            </w:pPr>
            <w:r>
              <w:rPr>
                <w:rFonts w:hint="eastAsia" w:ascii="宋体" w:hAnsi="宋体"/>
                <w:b/>
                <w:color w:val="auto"/>
                <w:sz w:val="24"/>
                <w:highlight w:val="none"/>
                <w:lang w:val="en-US" w:eastAsia="zh-CN"/>
              </w:rPr>
              <w:t>三年：</w:t>
            </w:r>
            <w:r>
              <w:rPr>
                <w:rFonts w:hint="eastAsia" w:ascii="宋体" w:hAnsi="宋体"/>
                <w:b/>
                <w:color w:val="auto"/>
                <w:sz w:val="24"/>
                <w:highlight w:val="none"/>
                <w:u w:val="single"/>
              </w:rPr>
              <w:t xml:space="preserve">               </w:t>
            </w:r>
            <w:r>
              <w:rPr>
                <w:rFonts w:hint="eastAsia" w:ascii="宋体" w:hAnsi="宋体"/>
                <w:b/>
                <w:color w:val="auto"/>
                <w:sz w:val="24"/>
                <w:highlight w:val="none"/>
              </w:rPr>
              <w:t>元；小写：</w:t>
            </w:r>
            <w:r>
              <w:rPr>
                <w:rFonts w:hint="eastAsia" w:ascii="宋体" w:hAnsi="宋体"/>
                <w:b/>
                <w:color w:val="auto"/>
                <w:sz w:val="24"/>
                <w:highlight w:val="none"/>
                <w:u w:val="single"/>
              </w:rPr>
              <w:t xml:space="preserve">         </w:t>
            </w:r>
            <w:r>
              <w:rPr>
                <w:rFonts w:hint="eastAsia" w:ascii="宋体" w:hAnsi="宋体"/>
                <w:b/>
                <w:color w:val="auto"/>
                <w:sz w:val="24"/>
                <w:highlight w:val="none"/>
              </w:rPr>
              <w:t xml:space="preserve"> 元</w:t>
            </w:r>
          </w:p>
        </w:tc>
      </w:tr>
    </w:tbl>
    <w:p>
      <w:pPr>
        <w:spacing w:line="500" w:lineRule="exact"/>
        <w:ind w:firstLine="420" w:firstLineChars="200"/>
        <w:jc w:val="left"/>
        <w:rPr>
          <w:color w:val="auto"/>
          <w:highlight w:val="none"/>
          <w:lang w:val="zh-CN"/>
        </w:rPr>
      </w:pPr>
      <w:r>
        <w:rPr>
          <w:rFonts w:hint="eastAsia"/>
          <w:color w:val="auto"/>
          <w:highlight w:val="none"/>
          <w:lang w:val="zh-CN"/>
        </w:rPr>
        <w:t>注：1.所有投标只能选择一种方案，单价和合价的报价只能是唯一，且须列出详细的分项报价。（与采购清单项相一致，不得缺项，否则视同包含在其他项目。）</w:t>
      </w:r>
    </w:p>
    <w:p>
      <w:pPr>
        <w:spacing w:line="500" w:lineRule="exact"/>
        <w:ind w:firstLine="420" w:firstLineChars="200"/>
        <w:jc w:val="left"/>
        <w:rPr>
          <w:color w:val="auto"/>
          <w:highlight w:val="none"/>
          <w:lang w:val="zh-CN"/>
        </w:rPr>
      </w:pPr>
      <w:r>
        <w:rPr>
          <w:rFonts w:hint="eastAsia"/>
          <w:color w:val="auto"/>
          <w:highlight w:val="none"/>
        </w:rPr>
        <w:t>2.</w:t>
      </w:r>
      <w:r>
        <w:rPr>
          <w:rFonts w:hint="eastAsia"/>
          <w:color w:val="auto"/>
          <w:highlight w:val="none"/>
          <w:lang w:val="zh-CN"/>
        </w:rPr>
        <w:t>投标报价采用综合单价法，综合单价包括完成招标文件</w:t>
      </w:r>
      <w:r>
        <w:rPr>
          <w:rFonts w:hint="eastAsia"/>
          <w:color w:val="auto"/>
          <w:highlight w:val="none"/>
        </w:rPr>
        <w:t>和采购配置清单</w:t>
      </w:r>
      <w:r>
        <w:rPr>
          <w:rFonts w:hint="eastAsia"/>
          <w:color w:val="auto"/>
          <w:highlight w:val="none"/>
          <w:lang w:val="zh-CN"/>
        </w:rPr>
        <w:t>要求的</w:t>
      </w:r>
      <w:r>
        <w:rPr>
          <w:rFonts w:hint="eastAsia"/>
          <w:color w:val="auto"/>
          <w:highlight w:val="none"/>
        </w:rPr>
        <w:t>所有货物及相关</w:t>
      </w:r>
      <w:r>
        <w:rPr>
          <w:rFonts w:hint="eastAsia"/>
          <w:color w:val="auto"/>
          <w:highlight w:val="none"/>
          <w:lang w:val="zh-CN"/>
        </w:rPr>
        <w:t>服务内容所包含的一切应有费用，综合单价今后将不作任何调整。</w:t>
      </w:r>
    </w:p>
    <w:p>
      <w:pPr>
        <w:spacing w:line="500" w:lineRule="exact"/>
        <w:ind w:firstLine="420" w:firstLineChars="200"/>
        <w:jc w:val="left"/>
        <w:rPr>
          <w:color w:val="auto"/>
          <w:highlight w:val="none"/>
        </w:rPr>
      </w:pPr>
    </w:p>
    <w:p>
      <w:pPr>
        <w:spacing w:line="500" w:lineRule="exact"/>
        <w:jc w:val="center"/>
        <w:rPr>
          <w:rFonts w:ascii="宋体"/>
          <w:color w:val="auto"/>
          <w:sz w:val="24"/>
          <w:highlight w:val="none"/>
        </w:rPr>
      </w:pPr>
      <w:r>
        <w:rPr>
          <w:rFonts w:hint="eastAsia" w:ascii="宋体"/>
          <w:color w:val="auto"/>
          <w:sz w:val="24"/>
          <w:highlight w:val="none"/>
        </w:rPr>
        <w:t xml:space="preserve">                                              投标人名称（签章）：</w:t>
      </w:r>
      <w:r>
        <w:rPr>
          <w:rFonts w:hint="eastAsia" w:ascii="宋体"/>
          <w:color w:val="auto"/>
          <w:sz w:val="24"/>
          <w:highlight w:val="none"/>
          <w:u w:val="single"/>
        </w:rPr>
        <w:t xml:space="preserve">                         </w:t>
      </w:r>
    </w:p>
    <w:p>
      <w:pPr>
        <w:spacing w:line="500" w:lineRule="exact"/>
        <w:jc w:val="center"/>
        <w:rPr>
          <w:rFonts w:ascii="宋体"/>
          <w:color w:val="auto"/>
          <w:sz w:val="24"/>
          <w:highlight w:val="none"/>
          <w:u w:val="single"/>
        </w:rPr>
      </w:pPr>
      <w:r>
        <w:rPr>
          <w:rFonts w:hint="eastAsia" w:ascii="宋体"/>
          <w:color w:val="auto"/>
          <w:sz w:val="24"/>
          <w:highlight w:val="none"/>
        </w:rPr>
        <w:t xml:space="preserve">                                             法定代表人 (签字或盖章)：</w:t>
      </w:r>
      <w:r>
        <w:rPr>
          <w:rFonts w:hint="eastAsia" w:ascii="宋体"/>
          <w:color w:val="auto"/>
          <w:sz w:val="24"/>
          <w:highlight w:val="none"/>
          <w:u w:val="single"/>
        </w:rPr>
        <w:t xml:space="preserve">                               </w:t>
      </w:r>
    </w:p>
    <w:p>
      <w:pPr>
        <w:spacing w:line="500" w:lineRule="exact"/>
        <w:jc w:val="center"/>
        <w:rPr>
          <w:rFonts w:ascii="宋体"/>
          <w:color w:val="auto"/>
          <w:sz w:val="24"/>
          <w:highlight w:val="none"/>
          <w:u w:val="single"/>
        </w:rPr>
      </w:pPr>
    </w:p>
    <w:p>
      <w:pPr>
        <w:spacing w:line="500" w:lineRule="exact"/>
        <w:ind w:firstLine="5760" w:firstLineChars="2400"/>
        <w:jc w:val="left"/>
        <w:rPr>
          <w:rFonts w:ascii="宋体"/>
          <w:color w:val="auto"/>
          <w:sz w:val="24"/>
          <w:highlight w:val="none"/>
        </w:rPr>
      </w:pPr>
      <w:r>
        <w:rPr>
          <w:rFonts w:hint="eastAsia" w:ascii="宋体"/>
          <w:color w:val="auto"/>
          <w:sz w:val="24"/>
          <w:highlight w:val="none"/>
        </w:rPr>
        <w:t xml:space="preserve">日期：    年   月  日 </w:t>
      </w:r>
    </w:p>
    <w:p>
      <w:pPr>
        <w:spacing w:line="500" w:lineRule="exact"/>
        <w:jc w:val="both"/>
        <w:rPr>
          <w:rFonts w:ascii="宋体"/>
          <w:b/>
          <w:color w:val="auto"/>
          <w:sz w:val="36"/>
          <w:szCs w:val="36"/>
          <w:highlight w:val="none"/>
        </w:rPr>
      </w:pPr>
    </w:p>
    <w:p>
      <w:pPr>
        <w:spacing w:line="500" w:lineRule="exact"/>
        <w:jc w:val="center"/>
        <w:rPr>
          <w:rFonts w:ascii="宋体"/>
          <w:b/>
          <w:color w:val="auto"/>
          <w:sz w:val="36"/>
          <w:szCs w:val="36"/>
          <w:highlight w:val="none"/>
        </w:rPr>
      </w:pPr>
    </w:p>
    <w:p>
      <w:pPr>
        <w:spacing w:line="500" w:lineRule="exact"/>
        <w:jc w:val="center"/>
        <w:rPr>
          <w:rFonts w:ascii="宋体"/>
          <w:b/>
          <w:color w:val="auto"/>
          <w:sz w:val="36"/>
          <w:szCs w:val="36"/>
          <w:highlight w:val="none"/>
        </w:rPr>
      </w:pPr>
    </w:p>
    <w:p>
      <w:pPr>
        <w:spacing w:line="500" w:lineRule="exact"/>
        <w:jc w:val="center"/>
        <w:rPr>
          <w:rFonts w:ascii="宋体"/>
          <w:b/>
          <w:color w:val="auto"/>
          <w:sz w:val="36"/>
          <w:szCs w:val="36"/>
          <w:highlight w:val="none"/>
        </w:rPr>
      </w:pPr>
      <w:r>
        <w:rPr>
          <w:rFonts w:hint="eastAsia" w:ascii="宋体"/>
          <w:b/>
          <w:color w:val="auto"/>
          <w:sz w:val="36"/>
          <w:szCs w:val="36"/>
          <w:highlight w:val="none"/>
        </w:rPr>
        <w:t>投标人认为需要提供的其他材料（如有）</w:t>
      </w:r>
    </w:p>
    <w:bookmarkEnd w:id="560"/>
    <w:bookmarkEnd w:id="561"/>
    <w:bookmarkEnd w:id="562"/>
    <w:bookmarkEnd w:id="563"/>
    <w:bookmarkEnd w:id="564"/>
    <w:bookmarkEnd w:id="565"/>
    <w:bookmarkEnd w:id="566"/>
    <w:bookmarkEnd w:id="567"/>
    <w:p>
      <w:pPr>
        <w:pStyle w:val="3"/>
        <w:rPr>
          <w:color w:val="auto"/>
          <w:sz w:val="30"/>
          <w:szCs w:val="30"/>
          <w:highlight w:val="none"/>
        </w:rPr>
      </w:pPr>
      <w:bookmarkStart w:id="584" w:name="_Toc11858"/>
      <w:bookmarkStart w:id="585" w:name="_Toc7702"/>
      <w:bookmarkStart w:id="586" w:name="_Toc14229"/>
      <w:bookmarkStart w:id="587" w:name="_Toc150"/>
      <w:bookmarkStart w:id="588" w:name="_Toc29328_WPSOffice_Level1"/>
      <w:bookmarkStart w:id="589" w:name="_Toc19487_WPSOffice_Level1"/>
      <w:bookmarkStart w:id="590" w:name="_Toc35864597"/>
      <w:r>
        <w:rPr>
          <w:rFonts w:hint="eastAsia"/>
          <w:color w:val="auto"/>
          <w:sz w:val="30"/>
          <w:szCs w:val="30"/>
          <w:highlight w:val="none"/>
        </w:rPr>
        <w:t>第</w:t>
      </w:r>
      <w:r>
        <w:rPr>
          <w:rFonts w:hint="eastAsia"/>
          <w:color w:val="auto"/>
          <w:sz w:val="30"/>
          <w:szCs w:val="30"/>
          <w:highlight w:val="none"/>
          <w:lang w:val="en-US" w:eastAsia="zh-CN"/>
        </w:rPr>
        <w:t>七</w:t>
      </w:r>
      <w:r>
        <w:rPr>
          <w:rFonts w:hint="eastAsia"/>
          <w:color w:val="auto"/>
          <w:sz w:val="30"/>
          <w:szCs w:val="30"/>
          <w:highlight w:val="none"/>
        </w:rPr>
        <w:t>章 招标单位、代理机构对本招标文件的确认</w:t>
      </w:r>
      <w:bookmarkEnd w:id="584"/>
      <w:bookmarkEnd w:id="585"/>
      <w:bookmarkEnd w:id="586"/>
      <w:bookmarkEnd w:id="587"/>
      <w:bookmarkEnd w:id="588"/>
      <w:bookmarkEnd w:id="589"/>
      <w:bookmarkEnd w:id="590"/>
    </w:p>
    <w:tbl>
      <w:tblPr>
        <w:tblStyle w:val="50"/>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9" w:hRule="atLeast"/>
          <w:jc w:val="center"/>
        </w:trPr>
        <w:tc>
          <w:tcPr>
            <w:tcW w:w="9880" w:type="dxa"/>
          </w:tcPr>
          <w:p>
            <w:pPr>
              <w:adjustRightInd w:val="0"/>
              <w:snapToGrid w:val="0"/>
              <w:spacing w:line="560" w:lineRule="exact"/>
              <w:rPr>
                <w:rFonts w:ascii="宋体" w:cs="宋体"/>
                <w:color w:val="auto"/>
                <w:sz w:val="28"/>
                <w:szCs w:val="28"/>
                <w:highlight w:val="none"/>
              </w:rPr>
            </w:pPr>
          </w:p>
          <w:p>
            <w:pPr>
              <w:widowControl/>
              <w:spacing w:line="360" w:lineRule="auto"/>
              <w:ind w:firstLine="600"/>
              <w:jc w:val="left"/>
              <w:rPr>
                <w:rFonts w:ascii="宋体" w:cs="宋体"/>
                <w:color w:val="auto"/>
                <w:sz w:val="28"/>
                <w:szCs w:val="28"/>
                <w:highlight w:val="none"/>
              </w:rPr>
            </w:pPr>
            <w:r>
              <w:rPr>
                <w:rFonts w:hint="eastAsia" w:ascii="宋体" w:hAnsi="宋体" w:cs="宋体"/>
                <w:color w:val="auto"/>
                <w:sz w:val="28"/>
                <w:szCs w:val="28"/>
                <w:highlight w:val="none"/>
              </w:rPr>
              <w:t>我单位对</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滁州市第二人民医院病人生活用品供应商采购项目</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的招标文件进行确认。</w:t>
            </w:r>
          </w:p>
          <w:p>
            <w:pPr>
              <w:adjustRightInd w:val="0"/>
              <w:snapToGrid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招标人：</w:t>
            </w:r>
            <w:r>
              <w:rPr>
                <w:rFonts w:hint="eastAsia" w:hAnsi="宋体" w:cs="宋体"/>
                <w:color w:val="auto"/>
                <w:sz w:val="28"/>
                <w:szCs w:val="28"/>
                <w:highlight w:val="none"/>
                <w:shd w:val="clear" w:color="auto" w:fill="FFFFFF"/>
              </w:rPr>
              <w:t>滁州市第二人民医院（市传染病医院、市精神病医院）</w:t>
            </w:r>
            <w:r>
              <w:rPr>
                <w:rFonts w:hint="eastAsia" w:ascii="宋体" w:hAnsi="宋体"/>
                <w:color w:val="auto"/>
                <w:sz w:val="28"/>
                <w:szCs w:val="28"/>
                <w:highlight w:val="none"/>
              </w:rPr>
              <w:t xml:space="preserve"> </w:t>
            </w:r>
          </w:p>
          <w:p>
            <w:pPr>
              <w:adjustRightInd w:val="0"/>
              <w:snapToGrid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联系</w:t>
            </w:r>
            <w:r>
              <w:rPr>
                <w:rFonts w:hint="eastAsia" w:ascii="宋体" w:hAnsi="宋体" w:cs="宋体"/>
                <w:color w:val="auto"/>
                <w:sz w:val="28"/>
                <w:szCs w:val="28"/>
                <w:highlight w:val="none"/>
                <w:shd w:val="clear" w:color="auto" w:fill="FFFFFF"/>
              </w:rPr>
              <w:t>人：</w:t>
            </w:r>
            <w:r>
              <w:rPr>
                <w:rFonts w:hint="eastAsia" w:ascii="宋体" w:hAnsi="宋体" w:cs="宋体"/>
                <w:color w:val="auto"/>
                <w:sz w:val="28"/>
                <w:szCs w:val="28"/>
                <w:highlight w:val="none"/>
                <w:shd w:val="clear" w:color="auto" w:fill="FFFFFF"/>
                <w:lang w:eastAsia="zh-CN"/>
              </w:rPr>
              <w:t>招标办</w:t>
            </w:r>
            <w:r>
              <w:rPr>
                <w:rFonts w:hint="eastAsia" w:ascii="宋体" w:hAnsi="宋体" w:cs="宋体"/>
                <w:color w:val="auto"/>
                <w:sz w:val="28"/>
                <w:szCs w:val="28"/>
                <w:highlight w:val="none"/>
                <w:shd w:val="clear" w:color="auto" w:fill="FFFFFF"/>
              </w:rPr>
              <w:t xml:space="preserve"> </w:t>
            </w:r>
          </w:p>
          <w:p>
            <w:pPr>
              <w:adjustRightInd w:val="0"/>
              <w:snapToGrid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联系电话：</w:t>
            </w:r>
            <w:r>
              <w:rPr>
                <w:rFonts w:hint="eastAsia" w:hAnsi="宋体" w:cs="宋体"/>
                <w:color w:val="auto"/>
                <w:sz w:val="28"/>
                <w:szCs w:val="28"/>
                <w:highlight w:val="none"/>
                <w:shd w:val="clear" w:color="auto" w:fill="FFFFFF"/>
              </w:rPr>
              <w:t xml:space="preserve">0550-3523822 </w:t>
            </w:r>
          </w:p>
          <w:p>
            <w:pPr>
              <w:adjustRightInd w:val="0"/>
              <w:snapToGrid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                              </w:t>
            </w:r>
          </w:p>
          <w:p>
            <w:pPr>
              <w:pStyle w:val="49"/>
              <w:ind w:left="0" w:leftChars="0" w:firstLine="0" w:firstLineChars="0"/>
              <w:rPr>
                <w:color w:val="auto"/>
                <w:sz w:val="28"/>
                <w:szCs w:val="28"/>
                <w:highlight w:val="none"/>
              </w:rPr>
            </w:pPr>
          </w:p>
          <w:p>
            <w:pPr>
              <w:adjustRightInd w:val="0"/>
              <w:snapToGrid w:val="0"/>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                                        </w:t>
            </w:r>
          </w:p>
          <w:p>
            <w:pPr>
              <w:spacing w:line="560" w:lineRule="exact"/>
              <w:ind w:firstLine="280" w:firstLineChars="100"/>
              <w:jc w:val="right"/>
              <w:rPr>
                <w:rFonts w:ascii="宋体" w:hAnsi="宋体" w:cs="宋体"/>
                <w:color w:val="auto"/>
                <w:sz w:val="28"/>
                <w:szCs w:val="28"/>
                <w:highlight w:val="none"/>
              </w:rPr>
            </w:pPr>
            <w:r>
              <w:rPr>
                <w:rFonts w:hint="eastAsia" w:ascii="宋体" w:hAnsi="宋体" w:cs="宋体"/>
                <w:color w:val="auto"/>
                <w:sz w:val="28"/>
                <w:szCs w:val="28"/>
                <w:highlight w:val="none"/>
              </w:rPr>
              <w:t>（盖章）</w:t>
            </w:r>
          </w:p>
          <w:p>
            <w:pPr>
              <w:spacing w:line="560" w:lineRule="exact"/>
              <w:ind w:firstLine="280" w:firstLineChars="100"/>
              <w:jc w:val="right"/>
              <w:rPr>
                <w:color w:val="auto"/>
                <w:sz w:val="28"/>
                <w:szCs w:val="28"/>
                <w:highlight w:val="none"/>
              </w:rPr>
            </w:pPr>
            <w:r>
              <w:rPr>
                <w:rFonts w:hint="eastAsia" w:ascii="宋体" w:hAnsi="宋体" w:cs="宋体"/>
                <w:color w:val="auto"/>
                <w:sz w:val="28"/>
                <w:szCs w:val="28"/>
                <w:highlight w:val="none"/>
              </w:rPr>
              <w:t xml:space="preserve">          2024年</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jc w:val="center"/>
        </w:trPr>
        <w:tc>
          <w:tcPr>
            <w:tcW w:w="9880" w:type="dxa"/>
          </w:tcPr>
          <w:p>
            <w:pPr>
              <w:spacing w:line="560" w:lineRule="exact"/>
              <w:ind w:firstLine="560" w:firstLineChars="200"/>
              <w:rPr>
                <w:rFonts w:ascii="宋体" w:cs="宋体"/>
                <w:color w:val="auto"/>
                <w:sz w:val="28"/>
                <w:szCs w:val="28"/>
                <w:highlight w:val="none"/>
              </w:rPr>
            </w:pPr>
          </w:p>
          <w:p>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 xml:space="preserve">招标代理机构：江苏川页工程项目管理有限公司   </w:t>
            </w:r>
          </w:p>
          <w:p>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经办人：赵建飞</w:t>
            </w:r>
          </w:p>
          <w:p>
            <w:pPr>
              <w:spacing w:line="56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联系电话：18755018236</w:t>
            </w:r>
          </w:p>
          <w:p>
            <w:pPr>
              <w:spacing w:line="560" w:lineRule="exact"/>
              <w:ind w:firstLine="280" w:firstLineChars="100"/>
              <w:rPr>
                <w:rFonts w:ascii="宋体" w:hAnsi="宋体" w:cs="宋体"/>
                <w:color w:val="auto"/>
                <w:sz w:val="28"/>
                <w:szCs w:val="28"/>
                <w:highlight w:val="none"/>
              </w:rPr>
            </w:pPr>
            <w:r>
              <w:rPr>
                <w:rFonts w:hint="eastAsia" w:ascii="宋体" w:hAnsi="宋体" w:cs="宋体"/>
                <w:color w:val="auto"/>
                <w:sz w:val="28"/>
                <w:szCs w:val="28"/>
                <w:highlight w:val="none"/>
              </w:rPr>
              <w:t xml:space="preserve">                                  </w:t>
            </w:r>
          </w:p>
          <w:p>
            <w:pPr>
              <w:spacing w:line="560" w:lineRule="exact"/>
              <w:ind w:firstLine="280" w:firstLineChars="100"/>
              <w:rPr>
                <w:rFonts w:ascii="宋体" w:hAnsi="宋体" w:cs="宋体"/>
                <w:color w:val="auto"/>
                <w:sz w:val="28"/>
                <w:szCs w:val="28"/>
                <w:highlight w:val="none"/>
              </w:rPr>
            </w:pPr>
          </w:p>
          <w:p>
            <w:pPr>
              <w:pStyle w:val="2"/>
              <w:rPr>
                <w:color w:val="auto"/>
                <w:highlight w:val="none"/>
              </w:rPr>
            </w:pPr>
          </w:p>
          <w:p>
            <w:pPr>
              <w:spacing w:line="560" w:lineRule="exact"/>
              <w:ind w:firstLine="280" w:firstLineChars="100"/>
              <w:jc w:val="right"/>
              <w:rPr>
                <w:rFonts w:ascii="宋体" w:hAnsi="宋体" w:cs="宋体"/>
                <w:color w:val="auto"/>
                <w:sz w:val="28"/>
                <w:szCs w:val="28"/>
                <w:highlight w:val="none"/>
              </w:rPr>
            </w:pPr>
            <w:r>
              <w:rPr>
                <w:rFonts w:hint="eastAsia" w:ascii="宋体" w:hAnsi="宋体" w:cs="宋体"/>
                <w:color w:val="auto"/>
                <w:sz w:val="28"/>
                <w:szCs w:val="28"/>
                <w:highlight w:val="none"/>
              </w:rPr>
              <w:t xml:space="preserve">                                 </w:t>
            </w:r>
            <w:bookmarkStart w:id="591" w:name="_GoBack"/>
            <w:bookmarkEnd w:id="591"/>
            <w:r>
              <w:rPr>
                <w:rFonts w:hint="eastAsia" w:ascii="宋体" w:hAnsi="宋体" w:cs="宋体"/>
                <w:color w:val="auto"/>
                <w:sz w:val="28"/>
                <w:szCs w:val="28"/>
                <w:highlight w:val="none"/>
              </w:rPr>
              <w:t xml:space="preserve">         （单位盖章）</w:t>
            </w:r>
          </w:p>
          <w:p>
            <w:pPr>
              <w:spacing w:line="560" w:lineRule="exact"/>
              <w:ind w:firstLine="6300" w:firstLineChars="2250"/>
              <w:jc w:val="right"/>
              <w:rPr>
                <w:color w:val="auto"/>
                <w:sz w:val="28"/>
                <w:szCs w:val="28"/>
                <w:highlight w:val="none"/>
              </w:rPr>
            </w:pPr>
            <w:r>
              <w:rPr>
                <w:rFonts w:hint="eastAsia" w:ascii="宋体" w:hAnsi="宋体" w:cs="宋体"/>
                <w:color w:val="auto"/>
                <w:sz w:val="28"/>
                <w:szCs w:val="28"/>
                <w:highlight w:val="none"/>
              </w:rPr>
              <w:t xml:space="preserve">       2024年</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月</w:t>
            </w:r>
          </w:p>
        </w:tc>
      </w:tr>
    </w:tbl>
    <w:p>
      <w:pPr>
        <w:jc w:val="left"/>
        <w:rPr>
          <w:rFonts w:ascii="宋体" w:hAnsi="宋体" w:cs="宋体"/>
          <w:color w:val="auto"/>
          <w:sz w:val="28"/>
          <w:szCs w:val="28"/>
          <w:highlight w:val="none"/>
        </w:rPr>
      </w:pPr>
    </w:p>
    <w:sectPr>
      <w:headerReference r:id="rId8" w:type="default"/>
      <w:footerReference r:id="rId9" w:type="default"/>
      <w:pgSz w:w="11906" w:h="16838"/>
      <w:pgMar w:top="1134" w:right="1361" w:bottom="1077" w:left="1361"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54"/>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2</w:t>
                    </w:r>
                    <w:r>
                      <w:fldChar w:fldCharType="end"/>
                    </w:r>
                  </w:p>
                </w:txbxContent>
              </v:textbox>
            </v:shape>
          </w:pict>
        </mc:Fallback>
      </mc:AlternateContent>
    </w:r>
  </w:p>
  <w:p>
    <w:pPr>
      <w:pStyle w:val="29"/>
      <w:jc w:val="center"/>
      <w:rPr>
        <w:rFonts w:ascii="黑体" w:eastAsia="黑体"/>
        <w:b/>
        <w:bCs/>
        <w:kern w:val="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黑体" w:eastAsia="黑体"/>
        <w:b/>
        <w:bCs/>
        <w:kern w:val="0"/>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9"/>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rPr>
        <w:kern w:val="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45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qWcUuzAEAAJwDAAAOAAAAAAAAAAEAIAAAAB4BAABkcnMvZTJv&#10;RG9jLnhtbFBLBQYAAAAABgAGAFkBAABc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jc w:val="right"/>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45F89BED"/>
    <w:multiLevelType w:val="singleLevel"/>
    <w:tmpl w:val="45F89BED"/>
    <w:lvl w:ilvl="0" w:tentative="0">
      <w:start w:val="1"/>
      <w:numFmt w:val="decimal"/>
      <w:lvlText w:val="%1."/>
      <w:lvlJc w:val="left"/>
      <w:pPr>
        <w:ind w:left="425" w:hanging="425"/>
      </w:pPr>
      <w:rPr>
        <w:rFonts w:hint="default"/>
      </w:rPr>
    </w:lvl>
  </w:abstractNum>
  <w:abstractNum w:abstractNumId="2">
    <w:nsid w:val="617FFA09"/>
    <w:multiLevelType w:val="singleLevel"/>
    <w:tmpl w:val="617FFA09"/>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DM3ZmYxNDQ4Mjg3MDY3ZGJjOTVkODJjNTRhYTcifQ=="/>
    <w:docVar w:name="KSO_WPS_MARK_KEY" w:val="271179cf-a07a-4519-8064-711ee7006a07"/>
  </w:docVars>
  <w:rsids>
    <w:rsidRoot w:val="00172A27"/>
    <w:rsid w:val="00000F03"/>
    <w:rsid w:val="0000102C"/>
    <w:rsid w:val="00002296"/>
    <w:rsid w:val="00003341"/>
    <w:rsid w:val="00006820"/>
    <w:rsid w:val="0000765B"/>
    <w:rsid w:val="000133FD"/>
    <w:rsid w:val="00013CDB"/>
    <w:rsid w:val="000149CE"/>
    <w:rsid w:val="00014BE3"/>
    <w:rsid w:val="000152EF"/>
    <w:rsid w:val="00015E33"/>
    <w:rsid w:val="000163F2"/>
    <w:rsid w:val="0002000D"/>
    <w:rsid w:val="000210A3"/>
    <w:rsid w:val="00021731"/>
    <w:rsid w:val="0002303F"/>
    <w:rsid w:val="00024BEA"/>
    <w:rsid w:val="00025652"/>
    <w:rsid w:val="00027350"/>
    <w:rsid w:val="000275A3"/>
    <w:rsid w:val="00027B66"/>
    <w:rsid w:val="000301A2"/>
    <w:rsid w:val="0003022F"/>
    <w:rsid w:val="00030431"/>
    <w:rsid w:val="00031287"/>
    <w:rsid w:val="0003176B"/>
    <w:rsid w:val="000346D8"/>
    <w:rsid w:val="00034D00"/>
    <w:rsid w:val="000369B9"/>
    <w:rsid w:val="00036E1B"/>
    <w:rsid w:val="00037222"/>
    <w:rsid w:val="00041DC0"/>
    <w:rsid w:val="00043152"/>
    <w:rsid w:val="000455A4"/>
    <w:rsid w:val="00045A6A"/>
    <w:rsid w:val="000466F8"/>
    <w:rsid w:val="0004671B"/>
    <w:rsid w:val="00047776"/>
    <w:rsid w:val="000520E9"/>
    <w:rsid w:val="000534C0"/>
    <w:rsid w:val="00055AD6"/>
    <w:rsid w:val="0005658A"/>
    <w:rsid w:val="00056830"/>
    <w:rsid w:val="00056A2D"/>
    <w:rsid w:val="00056E3D"/>
    <w:rsid w:val="00061677"/>
    <w:rsid w:val="00063BED"/>
    <w:rsid w:val="00063C44"/>
    <w:rsid w:val="0006566F"/>
    <w:rsid w:val="0006584B"/>
    <w:rsid w:val="00065940"/>
    <w:rsid w:val="00065AAB"/>
    <w:rsid w:val="00070B50"/>
    <w:rsid w:val="00071845"/>
    <w:rsid w:val="000738CE"/>
    <w:rsid w:val="00077AAD"/>
    <w:rsid w:val="00080440"/>
    <w:rsid w:val="00080971"/>
    <w:rsid w:val="000818D5"/>
    <w:rsid w:val="000826E7"/>
    <w:rsid w:val="0008469B"/>
    <w:rsid w:val="0008521D"/>
    <w:rsid w:val="00085D26"/>
    <w:rsid w:val="00086AF9"/>
    <w:rsid w:val="00087577"/>
    <w:rsid w:val="00090F13"/>
    <w:rsid w:val="0009199E"/>
    <w:rsid w:val="00091D2B"/>
    <w:rsid w:val="0009306E"/>
    <w:rsid w:val="000944D8"/>
    <w:rsid w:val="00094759"/>
    <w:rsid w:val="00096398"/>
    <w:rsid w:val="00096946"/>
    <w:rsid w:val="000A0086"/>
    <w:rsid w:val="000A1B93"/>
    <w:rsid w:val="000A2A89"/>
    <w:rsid w:val="000A318B"/>
    <w:rsid w:val="000A3A88"/>
    <w:rsid w:val="000A4579"/>
    <w:rsid w:val="000A48D0"/>
    <w:rsid w:val="000A7358"/>
    <w:rsid w:val="000A77AA"/>
    <w:rsid w:val="000B026F"/>
    <w:rsid w:val="000B02B3"/>
    <w:rsid w:val="000B41C7"/>
    <w:rsid w:val="000B4E0B"/>
    <w:rsid w:val="000B5789"/>
    <w:rsid w:val="000B5D69"/>
    <w:rsid w:val="000B609D"/>
    <w:rsid w:val="000B734D"/>
    <w:rsid w:val="000B767F"/>
    <w:rsid w:val="000B7C36"/>
    <w:rsid w:val="000C2ACE"/>
    <w:rsid w:val="000C3844"/>
    <w:rsid w:val="000C423F"/>
    <w:rsid w:val="000C4FA9"/>
    <w:rsid w:val="000C5DC5"/>
    <w:rsid w:val="000C7A2C"/>
    <w:rsid w:val="000D069B"/>
    <w:rsid w:val="000D15D2"/>
    <w:rsid w:val="000D18C0"/>
    <w:rsid w:val="000D1BC7"/>
    <w:rsid w:val="000D2370"/>
    <w:rsid w:val="000D2998"/>
    <w:rsid w:val="000D2DEB"/>
    <w:rsid w:val="000D4F76"/>
    <w:rsid w:val="000D5B18"/>
    <w:rsid w:val="000E1E50"/>
    <w:rsid w:val="000E47C8"/>
    <w:rsid w:val="000E521D"/>
    <w:rsid w:val="000E6FF8"/>
    <w:rsid w:val="000F069A"/>
    <w:rsid w:val="000F0C54"/>
    <w:rsid w:val="000F1705"/>
    <w:rsid w:val="000F195C"/>
    <w:rsid w:val="000F1B02"/>
    <w:rsid w:val="000F294F"/>
    <w:rsid w:val="000F2FFA"/>
    <w:rsid w:val="000F309A"/>
    <w:rsid w:val="000F3685"/>
    <w:rsid w:val="000F36ED"/>
    <w:rsid w:val="000F3D46"/>
    <w:rsid w:val="000F5817"/>
    <w:rsid w:val="000F6B36"/>
    <w:rsid w:val="000F6D52"/>
    <w:rsid w:val="0010017C"/>
    <w:rsid w:val="00102075"/>
    <w:rsid w:val="00102231"/>
    <w:rsid w:val="00102B71"/>
    <w:rsid w:val="0010493B"/>
    <w:rsid w:val="00104F30"/>
    <w:rsid w:val="0010777D"/>
    <w:rsid w:val="001106F4"/>
    <w:rsid w:val="00113041"/>
    <w:rsid w:val="0011328D"/>
    <w:rsid w:val="0011593A"/>
    <w:rsid w:val="00116B46"/>
    <w:rsid w:val="00117639"/>
    <w:rsid w:val="001204FF"/>
    <w:rsid w:val="001205BC"/>
    <w:rsid w:val="00120BCE"/>
    <w:rsid w:val="00121F96"/>
    <w:rsid w:val="00124902"/>
    <w:rsid w:val="00124A35"/>
    <w:rsid w:val="001262D5"/>
    <w:rsid w:val="00126B13"/>
    <w:rsid w:val="00132AAF"/>
    <w:rsid w:val="0013331F"/>
    <w:rsid w:val="0013358F"/>
    <w:rsid w:val="001335D9"/>
    <w:rsid w:val="00133BE1"/>
    <w:rsid w:val="001347A9"/>
    <w:rsid w:val="00135313"/>
    <w:rsid w:val="00136C6C"/>
    <w:rsid w:val="001377FE"/>
    <w:rsid w:val="00140703"/>
    <w:rsid w:val="0014118D"/>
    <w:rsid w:val="001423BD"/>
    <w:rsid w:val="0014526A"/>
    <w:rsid w:val="00146FE8"/>
    <w:rsid w:val="00147D4A"/>
    <w:rsid w:val="00152C59"/>
    <w:rsid w:val="00153023"/>
    <w:rsid w:val="00153877"/>
    <w:rsid w:val="00153D68"/>
    <w:rsid w:val="00154767"/>
    <w:rsid w:val="00155483"/>
    <w:rsid w:val="0015793D"/>
    <w:rsid w:val="00161FAA"/>
    <w:rsid w:val="00164B9C"/>
    <w:rsid w:val="001653B4"/>
    <w:rsid w:val="001669A2"/>
    <w:rsid w:val="00166E69"/>
    <w:rsid w:val="00167272"/>
    <w:rsid w:val="00167E01"/>
    <w:rsid w:val="00167FF5"/>
    <w:rsid w:val="00170CC2"/>
    <w:rsid w:val="0017116A"/>
    <w:rsid w:val="00171479"/>
    <w:rsid w:val="00171A33"/>
    <w:rsid w:val="00172644"/>
    <w:rsid w:val="00172A27"/>
    <w:rsid w:val="00176EEA"/>
    <w:rsid w:val="00177929"/>
    <w:rsid w:val="00177A7A"/>
    <w:rsid w:val="00177B8F"/>
    <w:rsid w:val="00182E57"/>
    <w:rsid w:val="00184289"/>
    <w:rsid w:val="00184ABA"/>
    <w:rsid w:val="001858BE"/>
    <w:rsid w:val="00185A56"/>
    <w:rsid w:val="001864BC"/>
    <w:rsid w:val="00187590"/>
    <w:rsid w:val="00190C31"/>
    <w:rsid w:val="00191140"/>
    <w:rsid w:val="0019139D"/>
    <w:rsid w:val="001918E9"/>
    <w:rsid w:val="00192BDE"/>
    <w:rsid w:val="00193CE6"/>
    <w:rsid w:val="00194B8E"/>
    <w:rsid w:val="00195E66"/>
    <w:rsid w:val="001961BA"/>
    <w:rsid w:val="001975C9"/>
    <w:rsid w:val="001A0716"/>
    <w:rsid w:val="001A343D"/>
    <w:rsid w:val="001A435B"/>
    <w:rsid w:val="001A4465"/>
    <w:rsid w:val="001A5FB8"/>
    <w:rsid w:val="001A6F91"/>
    <w:rsid w:val="001B1526"/>
    <w:rsid w:val="001B1BD2"/>
    <w:rsid w:val="001B3012"/>
    <w:rsid w:val="001B520E"/>
    <w:rsid w:val="001B5BEF"/>
    <w:rsid w:val="001B6816"/>
    <w:rsid w:val="001B7766"/>
    <w:rsid w:val="001C22BC"/>
    <w:rsid w:val="001C5534"/>
    <w:rsid w:val="001C6CAF"/>
    <w:rsid w:val="001C7C71"/>
    <w:rsid w:val="001D06AD"/>
    <w:rsid w:val="001D2114"/>
    <w:rsid w:val="001D318D"/>
    <w:rsid w:val="001D5590"/>
    <w:rsid w:val="001D693B"/>
    <w:rsid w:val="001D70EE"/>
    <w:rsid w:val="001D7320"/>
    <w:rsid w:val="001D73C1"/>
    <w:rsid w:val="001D7424"/>
    <w:rsid w:val="001D750D"/>
    <w:rsid w:val="001E00E0"/>
    <w:rsid w:val="001E0EF7"/>
    <w:rsid w:val="001E191A"/>
    <w:rsid w:val="001E33F3"/>
    <w:rsid w:val="001E3C44"/>
    <w:rsid w:val="001E3DE5"/>
    <w:rsid w:val="001E452F"/>
    <w:rsid w:val="001E4B4F"/>
    <w:rsid w:val="001E535B"/>
    <w:rsid w:val="001E56A2"/>
    <w:rsid w:val="001E6B1C"/>
    <w:rsid w:val="001E6CD4"/>
    <w:rsid w:val="001E6FE6"/>
    <w:rsid w:val="001E6FFF"/>
    <w:rsid w:val="001F0084"/>
    <w:rsid w:val="001F064B"/>
    <w:rsid w:val="001F1335"/>
    <w:rsid w:val="001F16F3"/>
    <w:rsid w:val="001F1743"/>
    <w:rsid w:val="001F1CE0"/>
    <w:rsid w:val="001F2980"/>
    <w:rsid w:val="001F3B7C"/>
    <w:rsid w:val="001F403F"/>
    <w:rsid w:val="001F4495"/>
    <w:rsid w:val="001F471C"/>
    <w:rsid w:val="001F5059"/>
    <w:rsid w:val="001F50BB"/>
    <w:rsid w:val="001F7A46"/>
    <w:rsid w:val="0020030D"/>
    <w:rsid w:val="00200A9A"/>
    <w:rsid w:val="00202078"/>
    <w:rsid w:val="00202131"/>
    <w:rsid w:val="0020229E"/>
    <w:rsid w:val="002026A6"/>
    <w:rsid w:val="00203622"/>
    <w:rsid w:val="00203E74"/>
    <w:rsid w:val="002069FA"/>
    <w:rsid w:val="00207055"/>
    <w:rsid w:val="002075D4"/>
    <w:rsid w:val="00207958"/>
    <w:rsid w:val="002103CB"/>
    <w:rsid w:val="00210CEC"/>
    <w:rsid w:val="00211704"/>
    <w:rsid w:val="002125CB"/>
    <w:rsid w:val="0021262F"/>
    <w:rsid w:val="00217547"/>
    <w:rsid w:val="00220B91"/>
    <w:rsid w:val="002217F8"/>
    <w:rsid w:val="00225794"/>
    <w:rsid w:val="00225D3C"/>
    <w:rsid w:val="00227089"/>
    <w:rsid w:val="002306F3"/>
    <w:rsid w:val="00230AE3"/>
    <w:rsid w:val="00230C04"/>
    <w:rsid w:val="002314D2"/>
    <w:rsid w:val="0023165F"/>
    <w:rsid w:val="0023272C"/>
    <w:rsid w:val="00233E6F"/>
    <w:rsid w:val="00234A29"/>
    <w:rsid w:val="002361C8"/>
    <w:rsid w:val="002364B7"/>
    <w:rsid w:val="0023659C"/>
    <w:rsid w:val="00237147"/>
    <w:rsid w:val="00237352"/>
    <w:rsid w:val="002374BB"/>
    <w:rsid w:val="00237506"/>
    <w:rsid w:val="00240600"/>
    <w:rsid w:val="002417C1"/>
    <w:rsid w:val="00242BA3"/>
    <w:rsid w:val="00243C2B"/>
    <w:rsid w:val="00244312"/>
    <w:rsid w:val="00247A47"/>
    <w:rsid w:val="00247C5C"/>
    <w:rsid w:val="00250167"/>
    <w:rsid w:val="00251029"/>
    <w:rsid w:val="0025449E"/>
    <w:rsid w:val="0025467B"/>
    <w:rsid w:val="002551F6"/>
    <w:rsid w:val="002554CE"/>
    <w:rsid w:val="00255771"/>
    <w:rsid w:val="00255A95"/>
    <w:rsid w:val="002572D8"/>
    <w:rsid w:val="00260EB0"/>
    <w:rsid w:val="00262F82"/>
    <w:rsid w:val="00264BBB"/>
    <w:rsid w:val="00265844"/>
    <w:rsid w:val="002667A5"/>
    <w:rsid w:val="00266FC3"/>
    <w:rsid w:val="002676DA"/>
    <w:rsid w:val="00270D00"/>
    <w:rsid w:val="00271288"/>
    <w:rsid w:val="00272A64"/>
    <w:rsid w:val="002731BD"/>
    <w:rsid w:val="0027387D"/>
    <w:rsid w:val="0027549B"/>
    <w:rsid w:val="00276C5E"/>
    <w:rsid w:val="00277233"/>
    <w:rsid w:val="002776CD"/>
    <w:rsid w:val="002803FA"/>
    <w:rsid w:val="00281D13"/>
    <w:rsid w:val="002827C7"/>
    <w:rsid w:val="00283A63"/>
    <w:rsid w:val="0028592E"/>
    <w:rsid w:val="002859F8"/>
    <w:rsid w:val="0028605D"/>
    <w:rsid w:val="00286788"/>
    <w:rsid w:val="0028772F"/>
    <w:rsid w:val="002905A9"/>
    <w:rsid w:val="002929A8"/>
    <w:rsid w:val="00293E15"/>
    <w:rsid w:val="00295785"/>
    <w:rsid w:val="00295C9B"/>
    <w:rsid w:val="00297553"/>
    <w:rsid w:val="00297DCF"/>
    <w:rsid w:val="002A0361"/>
    <w:rsid w:val="002A046B"/>
    <w:rsid w:val="002A3922"/>
    <w:rsid w:val="002A4679"/>
    <w:rsid w:val="002A47B5"/>
    <w:rsid w:val="002A47BA"/>
    <w:rsid w:val="002A65E6"/>
    <w:rsid w:val="002A7F0C"/>
    <w:rsid w:val="002B1205"/>
    <w:rsid w:val="002B16F4"/>
    <w:rsid w:val="002B1B17"/>
    <w:rsid w:val="002B3094"/>
    <w:rsid w:val="002B4D0B"/>
    <w:rsid w:val="002B651F"/>
    <w:rsid w:val="002B675A"/>
    <w:rsid w:val="002C11D0"/>
    <w:rsid w:val="002C40AB"/>
    <w:rsid w:val="002C5707"/>
    <w:rsid w:val="002C6355"/>
    <w:rsid w:val="002D0466"/>
    <w:rsid w:val="002D21A0"/>
    <w:rsid w:val="002D3B50"/>
    <w:rsid w:val="002D500A"/>
    <w:rsid w:val="002D619C"/>
    <w:rsid w:val="002D7D16"/>
    <w:rsid w:val="002E0AA9"/>
    <w:rsid w:val="002E2295"/>
    <w:rsid w:val="002E31E3"/>
    <w:rsid w:val="002E349E"/>
    <w:rsid w:val="002E5DF0"/>
    <w:rsid w:val="002E6A21"/>
    <w:rsid w:val="002E6C2C"/>
    <w:rsid w:val="002E6EA9"/>
    <w:rsid w:val="002E74CD"/>
    <w:rsid w:val="002F04F4"/>
    <w:rsid w:val="002F0F7B"/>
    <w:rsid w:val="002F1AD0"/>
    <w:rsid w:val="002F1B12"/>
    <w:rsid w:val="002F2ADD"/>
    <w:rsid w:val="002F3CA0"/>
    <w:rsid w:val="002F4C7B"/>
    <w:rsid w:val="002F5F35"/>
    <w:rsid w:val="0030036D"/>
    <w:rsid w:val="00301E56"/>
    <w:rsid w:val="00302DA4"/>
    <w:rsid w:val="00303C49"/>
    <w:rsid w:val="003043D3"/>
    <w:rsid w:val="00304853"/>
    <w:rsid w:val="00305612"/>
    <w:rsid w:val="00306E36"/>
    <w:rsid w:val="00310228"/>
    <w:rsid w:val="00310232"/>
    <w:rsid w:val="00311D50"/>
    <w:rsid w:val="003138BA"/>
    <w:rsid w:val="003141E9"/>
    <w:rsid w:val="003158DD"/>
    <w:rsid w:val="003169B1"/>
    <w:rsid w:val="0031701A"/>
    <w:rsid w:val="0031777C"/>
    <w:rsid w:val="00320EB5"/>
    <w:rsid w:val="00321760"/>
    <w:rsid w:val="00321CF0"/>
    <w:rsid w:val="003222D9"/>
    <w:rsid w:val="00323DA3"/>
    <w:rsid w:val="00323F93"/>
    <w:rsid w:val="003247E8"/>
    <w:rsid w:val="00324A98"/>
    <w:rsid w:val="00324C0D"/>
    <w:rsid w:val="00324D18"/>
    <w:rsid w:val="0032587D"/>
    <w:rsid w:val="00326B4A"/>
    <w:rsid w:val="003302B5"/>
    <w:rsid w:val="003302C4"/>
    <w:rsid w:val="0033132E"/>
    <w:rsid w:val="0033158A"/>
    <w:rsid w:val="00331F03"/>
    <w:rsid w:val="003342B7"/>
    <w:rsid w:val="00335113"/>
    <w:rsid w:val="0033662A"/>
    <w:rsid w:val="00337E67"/>
    <w:rsid w:val="003401B5"/>
    <w:rsid w:val="00342330"/>
    <w:rsid w:val="00344118"/>
    <w:rsid w:val="00344273"/>
    <w:rsid w:val="003443AF"/>
    <w:rsid w:val="0034546A"/>
    <w:rsid w:val="00346627"/>
    <w:rsid w:val="00346C50"/>
    <w:rsid w:val="00346EA4"/>
    <w:rsid w:val="003475EF"/>
    <w:rsid w:val="00347664"/>
    <w:rsid w:val="003511A6"/>
    <w:rsid w:val="00351636"/>
    <w:rsid w:val="003524FA"/>
    <w:rsid w:val="003536AA"/>
    <w:rsid w:val="00355A17"/>
    <w:rsid w:val="0035744E"/>
    <w:rsid w:val="00360343"/>
    <w:rsid w:val="00360FCD"/>
    <w:rsid w:val="00364C68"/>
    <w:rsid w:val="00364E31"/>
    <w:rsid w:val="00365426"/>
    <w:rsid w:val="003663FF"/>
    <w:rsid w:val="0036743A"/>
    <w:rsid w:val="00371602"/>
    <w:rsid w:val="00371A69"/>
    <w:rsid w:val="00371DCC"/>
    <w:rsid w:val="00372DA3"/>
    <w:rsid w:val="00372FCD"/>
    <w:rsid w:val="0037516A"/>
    <w:rsid w:val="00375399"/>
    <w:rsid w:val="003761A0"/>
    <w:rsid w:val="003761C3"/>
    <w:rsid w:val="0037637D"/>
    <w:rsid w:val="00376403"/>
    <w:rsid w:val="0038095F"/>
    <w:rsid w:val="00382134"/>
    <w:rsid w:val="00383809"/>
    <w:rsid w:val="0038572D"/>
    <w:rsid w:val="00390F55"/>
    <w:rsid w:val="003937D5"/>
    <w:rsid w:val="003943F6"/>
    <w:rsid w:val="00395BBA"/>
    <w:rsid w:val="0039655F"/>
    <w:rsid w:val="00397438"/>
    <w:rsid w:val="003975C9"/>
    <w:rsid w:val="00397B4E"/>
    <w:rsid w:val="003A0B6C"/>
    <w:rsid w:val="003A0C50"/>
    <w:rsid w:val="003A1E88"/>
    <w:rsid w:val="003A20C8"/>
    <w:rsid w:val="003A262E"/>
    <w:rsid w:val="003A2D98"/>
    <w:rsid w:val="003A3492"/>
    <w:rsid w:val="003A644A"/>
    <w:rsid w:val="003A7366"/>
    <w:rsid w:val="003B0EB7"/>
    <w:rsid w:val="003B2002"/>
    <w:rsid w:val="003B2911"/>
    <w:rsid w:val="003B4EF8"/>
    <w:rsid w:val="003B5149"/>
    <w:rsid w:val="003C03B5"/>
    <w:rsid w:val="003C22A2"/>
    <w:rsid w:val="003C2A63"/>
    <w:rsid w:val="003C44C4"/>
    <w:rsid w:val="003C5296"/>
    <w:rsid w:val="003C59FB"/>
    <w:rsid w:val="003C5D63"/>
    <w:rsid w:val="003D17A0"/>
    <w:rsid w:val="003D26E9"/>
    <w:rsid w:val="003D4696"/>
    <w:rsid w:val="003D7923"/>
    <w:rsid w:val="003D7DB9"/>
    <w:rsid w:val="003E2E02"/>
    <w:rsid w:val="003E2FF1"/>
    <w:rsid w:val="003E373D"/>
    <w:rsid w:val="003E68BB"/>
    <w:rsid w:val="003E6AC9"/>
    <w:rsid w:val="003E6F9D"/>
    <w:rsid w:val="003E74A0"/>
    <w:rsid w:val="003E7AC5"/>
    <w:rsid w:val="003F0472"/>
    <w:rsid w:val="003F09CD"/>
    <w:rsid w:val="003F0FFD"/>
    <w:rsid w:val="003F17A7"/>
    <w:rsid w:val="003F20F4"/>
    <w:rsid w:val="003F41C1"/>
    <w:rsid w:val="003F5BC4"/>
    <w:rsid w:val="003F79A3"/>
    <w:rsid w:val="004013B7"/>
    <w:rsid w:val="0040223B"/>
    <w:rsid w:val="004031CE"/>
    <w:rsid w:val="00403273"/>
    <w:rsid w:val="00403850"/>
    <w:rsid w:val="004041B9"/>
    <w:rsid w:val="00405D43"/>
    <w:rsid w:val="00406D2A"/>
    <w:rsid w:val="00407710"/>
    <w:rsid w:val="00410283"/>
    <w:rsid w:val="004105DD"/>
    <w:rsid w:val="00411467"/>
    <w:rsid w:val="0041233E"/>
    <w:rsid w:val="00412398"/>
    <w:rsid w:val="0041327B"/>
    <w:rsid w:val="00414D10"/>
    <w:rsid w:val="004157B9"/>
    <w:rsid w:val="00415B46"/>
    <w:rsid w:val="00416ABA"/>
    <w:rsid w:val="0041712A"/>
    <w:rsid w:val="00420B93"/>
    <w:rsid w:val="00420C62"/>
    <w:rsid w:val="00421651"/>
    <w:rsid w:val="004225D0"/>
    <w:rsid w:val="00424D5D"/>
    <w:rsid w:val="004253E4"/>
    <w:rsid w:val="00426BDD"/>
    <w:rsid w:val="00427693"/>
    <w:rsid w:val="00427A07"/>
    <w:rsid w:val="004302AF"/>
    <w:rsid w:val="00430BDB"/>
    <w:rsid w:val="00432ABD"/>
    <w:rsid w:val="0043366A"/>
    <w:rsid w:val="0043376F"/>
    <w:rsid w:val="00435256"/>
    <w:rsid w:val="004353DC"/>
    <w:rsid w:val="00435B05"/>
    <w:rsid w:val="0043732A"/>
    <w:rsid w:val="004400DA"/>
    <w:rsid w:val="00441308"/>
    <w:rsid w:val="004416C1"/>
    <w:rsid w:val="00444AD0"/>
    <w:rsid w:val="00446296"/>
    <w:rsid w:val="004468C6"/>
    <w:rsid w:val="004468CB"/>
    <w:rsid w:val="00447841"/>
    <w:rsid w:val="00447AAA"/>
    <w:rsid w:val="0045023F"/>
    <w:rsid w:val="0045025A"/>
    <w:rsid w:val="00455DDC"/>
    <w:rsid w:val="004600E6"/>
    <w:rsid w:val="004603B0"/>
    <w:rsid w:val="0046040E"/>
    <w:rsid w:val="0046061F"/>
    <w:rsid w:val="00460DDB"/>
    <w:rsid w:val="00461843"/>
    <w:rsid w:val="00461BA1"/>
    <w:rsid w:val="00464B9D"/>
    <w:rsid w:val="004656AF"/>
    <w:rsid w:val="0046571A"/>
    <w:rsid w:val="00465895"/>
    <w:rsid w:val="0046617E"/>
    <w:rsid w:val="00466BBB"/>
    <w:rsid w:val="0047080E"/>
    <w:rsid w:val="004713DB"/>
    <w:rsid w:val="0047228F"/>
    <w:rsid w:val="00472BAD"/>
    <w:rsid w:val="004736CC"/>
    <w:rsid w:val="00474761"/>
    <w:rsid w:val="00476C92"/>
    <w:rsid w:val="00476DDE"/>
    <w:rsid w:val="00480FD2"/>
    <w:rsid w:val="004855C6"/>
    <w:rsid w:val="0048589A"/>
    <w:rsid w:val="00487CA1"/>
    <w:rsid w:val="004901BC"/>
    <w:rsid w:val="00490C17"/>
    <w:rsid w:val="004943F2"/>
    <w:rsid w:val="00496A03"/>
    <w:rsid w:val="00496EA9"/>
    <w:rsid w:val="0049719D"/>
    <w:rsid w:val="004975BD"/>
    <w:rsid w:val="004977AC"/>
    <w:rsid w:val="00497D2A"/>
    <w:rsid w:val="004A0266"/>
    <w:rsid w:val="004A107E"/>
    <w:rsid w:val="004A14BB"/>
    <w:rsid w:val="004A19A5"/>
    <w:rsid w:val="004A2C79"/>
    <w:rsid w:val="004A4A83"/>
    <w:rsid w:val="004A59B8"/>
    <w:rsid w:val="004A6F04"/>
    <w:rsid w:val="004A701E"/>
    <w:rsid w:val="004A7435"/>
    <w:rsid w:val="004B0292"/>
    <w:rsid w:val="004B08FF"/>
    <w:rsid w:val="004B0D22"/>
    <w:rsid w:val="004B2353"/>
    <w:rsid w:val="004B275B"/>
    <w:rsid w:val="004B3355"/>
    <w:rsid w:val="004B5590"/>
    <w:rsid w:val="004B5FC4"/>
    <w:rsid w:val="004B7C6E"/>
    <w:rsid w:val="004C09BE"/>
    <w:rsid w:val="004C10CE"/>
    <w:rsid w:val="004C22BD"/>
    <w:rsid w:val="004C244A"/>
    <w:rsid w:val="004C2E4C"/>
    <w:rsid w:val="004C2F1D"/>
    <w:rsid w:val="004C37DC"/>
    <w:rsid w:val="004C4475"/>
    <w:rsid w:val="004C4B61"/>
    <w:rsid w:val="004C507C"/>
    <w:rsid w:val="004C5142"/>
    <w:rsid w:val="004D08FC"/>
    <w:rsid w:val="004D1A10"/>
    <w:rsid w:val="004D1C17"/>
    <w:rsid w:val="004D2711"/>
    <w:rsid w:val="004D3DC9"/>
    <w:rsid w:val="004D404C"/>
    <w:rsid w:val="004D42D2"/>
    <w:rsid w:val="004D4592"/>
    <w:rsid w:val="004D4B74"/>
    <w:rsid w:val="004D64ED"/>
    <w:rsid w:val="004D77BA"/>
    <w:rsid w:val="004E2450"/>
    <w:rsid w:val="004E28A4"/>
    <w:rsid w:val="004E4F3A"/>
    <w:rsid w:val="004E62B4"/>
    <w:rsid w:val="004E6950"/>
    <w:rsid w:val="004F1398"/>
    <w:rsid w:val="004F18A1"/>
    <w:rsid w:val="004F37DA"/>
    <w:rsid w:val="004F4318"/>
    <w:rsid w:val="004F449E"/>
    <w:rsid w:val="004F5D47"/>
    <w:rsid w:val="004F623E"/>
    <w:rsid w:val="004F642B"/>
    <w:rsid w:val="004F6987"/>
    <w:rsid w:val="004F6A86"/>
    <w:rsid w:val="004F7068"/>
    <w:rsid w:val="004F7369"/>
    <w:rsid w:val="004F7AC3"/>
    <w:rsid w:val="004F7E98"/>
    <w:rsid w:val="005002DE"/>
    <w:rsid w:val="00500C1C"/>
    <w:rsid w:val="00502495"/>
    <w:rsid w:val="00502A52"/>
    <w:rsid w:val="005032B2"/>
    <w:rsid w:val="00503834"/>
    <w:rsid w:val="00503E36"/>
    <w:rsid w:val="005040B4"/>
    <w:rsid w:val="00504163"/>
    <w:rsid w:val="005072D6"/>
    <w:rsid w:val="00510889"/>
    <w:rsid w:val="00510D92"/>
    <w:rsid w:val="005135C5"/>
    <w:rsid w:val="005150CB"/>
    <w:rsid w:val="005151EE"/>
    <w:rsid w:val="00515BB3"/>
    <w:rsid w:val="00516B05"/>
    <w:rsid w:val="00517F92"/>
    <w:rsid w:val="0052099E"/>
    <w:rsid w:val="00521401"/>
    <w:rsid w:val="005239B8"/>
    <w:rsid w:val="005242A3"/>
    <w:rsid w:val="00525A4E"/>
    <w:rsid w:val="00525F54"/>
    <w:rsid w:val="005301F8"/>
    <w:rsid w:val="005309C6"/>
    <w:rsid w:val="00530D02"/>
    <w:rsid w:val="00531AF8"/>
    <w:rsid w:val="00531D68"/>
    <w:rsid w:val="00535CD7"/>
    <w:rsid w:val="00535D1E"/>
    <w:rsid w:val="00536151"/>
    <w:rsid w:val="00537E97"/>
    <w:rsid w:val="00541866"/>
    <w:rsid w:val="0054274E"/>
    <w:rsid w:val="005430D1"/>
    <w:rsid w:val="0054452A"/>
    <w:rsid w:val="00545C7C"/>
    <w:rsid w:val="00546D32"/>
    <w:rsid w:val="00547C0D"/>
    <w:rsid w:val="005509E2"/>
    <w:rsid w:val="00551EEF"/>
    <w:rsid w:val="00552084"/>
    <w:rsid w:val="00552AC0"/>
    <w:rsid w:val="0055306C"/>
    <w:rsid w:val="00553DAD"/>
    <w:rsid w:val="00554E3C"/>
    <w:rsid w:val="005552E6"/>
    <w:rsid w:val="0055588D"/>
    <w:rsid w:val="005565B5"/>
    <w:rsid w:val="00557CFD"/>
    <w:rsid w:val="00557E1B"/>
    <w:rsid w:val="00561D45"/>
    <w:rsid w:val="00562961"/>
    <w:rsid w:val="00562AA3"/>
    <w:rsid w:val="005630FF"/>
    <w:rsid w:val="00564171"/>
    <w:rsid w:val="00564373"/>
    <w:rsid w:val="0056463A"/>
    <w:rsid w:val="00566D7A"/>
    <w:rsid w:val="0056759A"/>
    <w:rsid w:val="00567DAC"/>
    <w:rsid w:val="005708B7"/>
    <w:rsid w:val="00571B93"/>
    <w:rsid w:val="00571E2A"/>
    <w:rsid w:val="00572BEE"/>
    <w:rsid w:val="00574020"/>
    <w:rsid w:val="005741F7"/>
    <w:rsid w:val="005744A3"/>
    <w:rsid w:val="005749B6"/>
    <w:rsid w:val="0057517D"/>
    <w:rsid w:val="00575403"/>
    <w:rsid w:val="00577AA3"/>
    <w:rsid w:val="00581688"/>
    <w:rsid w:val="0058258E"/>
    <w:rsid w:val="0058263E"/>
    <w:rsid w:val="00583264"/>
    <w:rsid w:val="00583B5A"/>
    <w:rsid w:val="00584D4C"/>
    <w:rsid w:val="00584F8C"/>
    <w:rsid w:val="0058512E"/>
    <w:rsid w:val="00585A64"/>
    <w:rsid w:val="00585CA5"/>
    <w:rsid w:val="00586A21"/>
    <w:rsid w:val="005876CA"/>
    <w:rsid w:val="00587C36"/>
    <w:rsid w:val="00591589"/>
    <w:rsid w:val="00593083"/>
    <w:rsid w:val="00597F8B"/>
    <w:rsid w:val="005A00B3"/>
    <w:rsid w:val="005A12A2"/>
    <w:rsid w:val="005A1A29"/>
    <w:rsid w:val="005A1DAD"/>
    <w:rsid w:val="005A1E4E"/>
    <w:rsid w:val="005A29EF"/>
    <w:rsid w:val="005A2FE4"/>
    <w:rsid w:val="005A3BBC"/>
    <w:rsid w:val="005A46D0"/>
    <w:rsid w:val="005A5510"/>
    <w:rsid w:val="005A6DD8"/>
    <w:rsid w:val="005A756A"/>
    <w:rsid w:val="005A769F"/>
    <w:rsid w:val="005A796D"/>
    <w:rsid w:val="005B0436"/>
    <w:rsid w:val="005B18CB"/>
    <w:rsid w:val="005B29BA"/>
    <w:rsid w:val="005B376A"/>
    <w:rsid w:val="005B38AF"/>
    <w:rsid w:val="005B5E46"/>
    <w:rsid w:val="005B6E96"/>
    <w:rsid w:val="005B7245"/>
    <w:rsid w:val="005C0379"/>
    <w:rsid w:val="005C0BA9"/>
    <w:rsid w:val="005C0CEA"/>
    <w:rsid w:val="005C12B1"/>
    <w:rsid w:val="005C191F"/>
    <w:rsid w:val="005C35BD"/>
    <w:rsid w:val="005C3ECE"/>
    <w:rsid w:val="005C73E4"/>
    <w:rsid w:val="005D2D33"/>
    <w:rsid w:val="005D3A6E"/>
    <w:rsid w:val="005D47B3"/>
    <w:rsid w:val="005D4810"/>
    <w:rsid w:val="005D4EC1"/>
    <w:rsid w:val="005D5680"/>
    <w:rsid w:val="005E15BA"/>
    <w:rsid w:val="005E21F1"/>
    <w:rsid w:val="005E2E7D"/>
    <w:rsid w:val="005E3F07"/>
    <w:rsid w:val="005E548C"/>
    <w:rsid w:val="005E7AEA"/>
    <w:rsid w:val="005E7B30"/>
    <w:rsid w:val="005F0F4B"/>
    <w:rsid w:val="005F5D7E"/>
    <w:rsid w:val="005F66CB"/>
    <w:rsid w:val="00600161"/>
    <w:rsid w:val="00601BDC"/>
    <w:rsid w:val="00601E1B"/>
    <w:rsid w:val="00602ADB"/>
    <w:rsid w:val="00603E5B"/>
    <w:rsid w:val="006042BB"/>
    <w:rsid w:val="00604878"/>
    <w:rsid w:val="006057D0"/>
    <w:rsid w:val="006072F8"/>
    <w:rsid w:val="0060732C"/>
    <w:rsid w:val="00612246"/>
    <w:rsid w:val="006152B5"/>
    <w:rsid w:val="00615703"/>
    <w:rsid w:val="00615BCD"/>
    <w:rsid w:val="00617513"/>
    <w:rsid w:val="00620484"/>
    <w:rsid w:val="00622E88"/>
    <w:rsid w:val="00623183"/>
    <w:rsid w:val="0062395D"/>
    <w:rsid w:val="00624573"/>
    <w:rsid w:val="006268A1"/>
    <w:rsid w:val="00626ADD"/>
    <w:rsid w:val="00626DE0"/>
    <w:rsid w:val="00626F74"/>
    <w:rsid w:val="00630A6B"/>
    <w:rsid w:val="006340A8"/>
    <w:rsid w:val="00634896"/>
    <w:rsid w:val="00634D10"/>
    <w:rsid w:val="00637ADC"/>
    <w:rsid w:val="0064323F"/>
    <w:rsid w:val="006436C9"/>
    <w:rsid w:val="006453A0"/>
    <w:rsid w:val="00645845"/>
    <w:rsid w:val="006464E3"/>
    <w:rsid w:val="006468BE"/>
    <w:rsid w:val="00647F40"/>
    <w:rsid w:val="006532AF"/>
    <w:rsid w:val="00654C94"/>
    <w:rsid w:val="00656435"/>
    <w:rsid w:val="0065645F"/>
    <w:rsid w:val="00656C0D"/>
    <w:rsid w:val="00656C74"/>
    <w:rsid w:val="00657718"/>
    <w:rsid w:val="00660BBB"/>
    <w:rsid w:val="006615E0"/>
    <w:rsid w:val="006634B6"/>
    <w:rsid w:val="00664644"/>
    <w:rsid w:val="00664836"/>
    <w:rsid w:val="006651EA"/>
    <w:rsid w:val="0067051E"/>
    <w:rsid w:val="00670558"/>
    <w:rsid w:val="00671228"/>
    <w:rsid w:val="00671FDF"/>
    <w:rsid w:val="00673439"/>
    <w:rsid w:val="00673900"/>
    <w:rsid w:val="006749F3"/>
    <w:rsid w:val="00674EFD"/>
    <w:rsid w:val="0067543E"/>
    <w:rsid w:val="006757BA"/>
    <w:rsid w:val="00675E3C"/>
    <w:rsid w:val="00677085"/>
    <w:rsid w:val="00680234"/>
    <w:rsid w:val="006807DE"/>
    <w:rsid w:val="00680AD3"/>
    <w:rsid w:val="00680FFC"/>
    <w:rsid w:val="006812B6"/>
    <w:rsid w:val="00681ED3"/>
    <w:rsid w:val="006846D8"/>
    <w:rsid w:val="0068518B"/>
    <w:rsid w:val="00685705"/>
    <w:rsid w:val="00685A38"/>
    <w:rsid w:val="0068633D"/>
    <w:rsid w:val="00694297"/>
    <w:rsid w:val="006953DF"/>
    <w:rsid w:val="0069570F"/>
    <w:rsid w:val="00697625"/>
    <w:rsid w:val="00697A1E"/>
    <w:rsid w:val="00697A7A"/>
    <w:rsid w:val="006A0EDC"/>
    <w:rsid w:val="006A135B"/>
    <w:rsid w:val="006A19BE"/>
    <w:rsid w:val="006A1D37"/>
    <w:rsid w:val="006A2999"/>
    <w:rsid w:val="006A3699"/>
    <w:rsid w:val="006A520E"/>
    <w:rsid w:val="006A5DC3"/>
    <w:rsid w:val="006A621D"/>
    <w:rsid w:val="006A6696"/>
    <w:rsid w:val="006A7072"/>
    <w:rsid w:val="006A768A"/>
    <w:rsid w:val="006A7898"/>
    <w:rsid w:val="006B1F6A"/>
    <w:rsid w:val="006B2CDB"/>
    <w:rsid w:val="006B2D22"/>
    <w:rsid w:val="006B5C9D"/>
    <w:rsid w:val="006B5F07"/>
    <w:rsid w:val="006B611B"/>
    <w:rsid w:val="006B79ED"/>
    <w:rsid w:val="006C095F"/>
    <w:rsid w:val="006C1D99"/>
    <w:rsid w:val="006C1E14"/>
    <w:rsid w:val="006C1F48"/>
    <w:rsid w:val="006C2335"/>
    <w:rsid w:val="006C2D83"/>
    <w:rsid w:val="006C40BB"/>
    <w:rsid w:val="006C40D2"/>
    <w:rsid w:val="006C41C4"/>
    <w:rsid w:val="006C465B"/>
    <w:rsid w:val="006C5436"/>
    <w:rsid w:val="006C5A59"/>
    <w:rsid w:val="006C7CE3"/>
    <w:rsid w:val="006D0E50"/>
    <w:rsid w:val="006D30AB"/>
    <w:rsid w:val="006D6654"/>
    <w:rsid w:val="006D6DEC"/>
    <w:rsid w:val="006E0E73"/>
    <w:rsid w:val="006E3A98"/>
    <w:rsid w:val="006E465D"/>
    <w:rsid w:val="006E504F"/>
    <w:rsid w:val="006E59DA"/>
    <w:rsid w:val="006E76C8"/>
    <w:rsid w:val="006F2FE8"/>
    <w:rsid w:val="006F3628"/>
    <w:rsid w:val="006F3D66"/>
    <w:rsid w:val="006F45F4"/>
    <w:rsid w:val="006F4F0D"/>
    <w:rsid w:val="006F580F"/>
    <w:rsid w:val="006F670E"/>
    <w:rsid w:val="006F74C9"/>
    <w:rsid w:val="007001C2"/>
    <w:rsid w:val="00700D62"/>
    <w:rsid w:val="00701808"/>
    <w:rsid w:val="00701D18"/>
    <w:rsid w:val="007070E8"/>
    <w:rsid w:val="00710D04"/>
    <w:rsid w:val="00711BDE"/>
    <w:rsid w:val="0071205D"/>
    <w:rsid w:val="00714616"/>
    <w:rsid w:val="007153D8"/>
    <w:rsid w:val="00717703"/>
    <w:rsid w:val="00717AC6"/>
    <w:rsid w:val="00717C59"/>
    <w:rsid w:val="00717E25"/>
    <w:rsid w:val="007200A1"/>
    <w:rsid w:val="00720EE1"/>
    <w:rsid w:val="00721824"/>
    <w:rsid w:val="00721D94"/>
    <w:rsid w:val="0072291C"/>
    <w:rsid w:val="00723AC9"/>
    <w:rsid w:val="00724184"/>
    <w:rsid w:val="00724FC3"/>
    <w:rsid w:val="0072542E"/>
    <w:rsid w:val="00725A14"/>
    <w:rsid w:val="00725BA1"/>
    <w:rsid w:val="00725C03"/>
    <w:rsid w:val="007266A4"/>
    <w:rsid w:val="007268AE"/>
    <w:rsid w:val="00727733"/>
    <w:rsid w:val="00731E06"/>
    <w:rsid w:val="00733098"/>
    <w:rsid w:val="00735067"/>
    <w:rsid w:val="00735690"/>
    <w:rsid w:val="007405BD"/>
    <w:rsid w:val="0074065A"/>
    <w:rsid w:val="007418BD"/>
    <w:rsid w:val="007418DD"/>
    <w:rsid w:val="00742073"/>
    <w:rsid w:val="007438BB"/>
    <w:rsid w:val="007439CB"/>
    <w:rsid w:val="0074472C"/>
    <w:rsid w:val="007457FD"/>
    <w:rsid w:val="007461C9"/>
    <w:rsid w:val="0074662A"/>
    <w:rsid w:val="0074673E"/>
    <w:rsid w:val="00746A2E"/>
    <w:rsid w:val="00746B88"/>
    <w:rsid w:val="00751074"/>
    <w:rsid w:val="0075204F"/>
    <w:rsid w:val="00753614"/>
    <w:rsid w:val="007539EB"/>
    <w:rsid w:val="00753CB2"/>
    <w:rsid w:val="00755446"/>
    <w:rsid w:val="0075655D"/>
    <w:rsid w:val="00756723"/>
    <w:rsid w:val="00756EE8"/>
    <w:rsid w:val="00757D67"/>
    <w:rsid w:val="007608CF"/>
    <w:rsid w:val="007617AB"/>
    <w:rsid w:val="00761D59"/>
    <w:rsid w:val="00761E3D"/>
    <w:rsid w:val="00762A00"/>
    <w:rsid w:val="00763F41"/>
    <w:rsid w:val="00764279"/>
    <w:rsid w:val="007645CE"/>
    <w:rsid w:val="007718D9"/>
    <w:rsid w:val="00771C55"/>
    <w:rsid w:val="007727DC"/>
    <w:rsid w:val="00772924"/>
    <w:rsid w:val="007740E7"/>
    <w:rsid w:val="007742F2"/>
    <w:rsid w:val="0077509A"/>
    <w:rsid w:val="00775258"/>
    <w:rsid w:val="007760E4"/>
    <w:rsid w:val="00777707"/>
    <w:rsid w:val="00777E42"/>
    <w:rsid w:val="00780362"/>
    <w:rsid w:val="007804C2"/>
    <w:rsid w:val="007822F8"/>
    <w:rsid w:val="00782692"/>
    <w:rsid w:val="00782E4C"/>
    <w:rsid w:val="00783A74"/>
    <w:rsid w:val="00783ED4"/>
    <w:rsid w:val="00786863"/>
    <w:rsid w:val="007879B7"/>
    <w:rsid w:val="007904D3"/>
    <w:rsid w:val="00790EF3"/>
    <w:rsid w:val="00791C31"/>
    <w:rsid w:val="00793378"/>
    <w:rsid w:val="00793B2F"/>
    <w:rsid w:val="0079540A"/>
    <w:rsid w:val="00796AA5"/>
    <w:rsid w:val="00797AC5"/>
    <w:rsid w:val="007A0590"/>
    <w:rsid w:val="007A1353"/>
    <w:rsid w:val="007A1D36"/>
    <w:rsid w:val="007A2739"/>
    <w:rsid w:val="007A446C"/>
    <w:rsid w:val="007A479A"/>
    <w:rsid w:val="007A699A"/>
    <w:rsid w:val="007A7280"/>
    <w:rsid w:val="007A7600"/>
    <w:rsid w:val="007A7B59"/>
    <w:rsid w:val="007B0591"/>
    <w:rsid w:val="007B070B"/>
    <w:rsid w:val="007B1597"/>
    <w:rsid w:val="007B16B9"/>
    <w:rsid w:val="007B1C08"/>
    <w:rsid w:val="007B21B3"/>
    <w:rsid w:val="007B3869"/>
    <w:rsid w:val="007B5297"/>
    <w:rsid w:val="007B5E1E"/>
    <w:rsid w:val="007B6240"/>
    <w:rsid w:val="007B6AF6"/>
    <w:rsid w:val="007C100C"/>
    <w:rsid w:val="007C3517"/>
    <w:rsid w:val="007C40C9"/>
    <w:rsid w:val="007C5870"/>
    <w:rsid w:val="007C6B82"/>
    <w:rsid w:val="007C6CA1"/>
    <w:rsid w:val="007C7D44"/>
    <w:rsid w:val="007D19D5"/>
    <w:rsid w:val="007D353E"/>
    <w:rsid w:val="007D5307"/>
    <w:rsid w:val="007D642B"/>
    <w:rsid w:val="007D6827"/>
    <w:rsid w:val="007D6A3D"/>
    <w:rsid w:val="007D6E9F"/>
    <w:rsid w:val="007D75A3"/>
    <w:rsid w:val="007D7750"/>
    <w:rsid w:val="007D7CC1"/>
    <w:rsid w:val="007E115D"/>
    <w:rsid w:val="007E195E"/>
    <w:rsid w:val="007E45BC"/>
    <w:rsid w:val="007E7C3A"/>
    <w:rsid w:val="007F0B8F"/>
    <w:rsid w:val="007F0CDB"/>
    <w:rsid w:val="007F0FEE"/>
    <w:rsid w:val="007F16BE"/>
    <w:rsid w:val="007F2CB0"/>
    <w:rsid w:val="007F4D77"/>
    <w:rsid w:val="007F68FA"/>
    <w:rsid w:val="00800AA5"/>
    <w:rsid w:val="008019A2"/>
    <w:rsid w:val="008025AA"/>
    <w:rsid w:val="00802AA3"/>
    <w:rsid w:val="00803D69"/>
    <w:rsid w:val="00803F30"/>
    <w:rsid w:val="00803F4D"/>
    <w:rsid w:val="00804BB8"/>
    <w:rsid w:val="00805D51"/>
    <w:rsid w:val="00806ED0"/>
    <w:rsid w:val="008072C4"/>
    <w:rsid w:val="00807816"/>
    <w:rsid w:val="008102F1"/>
    <w:rsid w:val="00810845"/>
    <w:rsid w:val="00811A4E"/>
    <w:rsid w:val="00811B14"/>
    <w:rsid w:val="00812C6B"/>
    <w:rsid w:val="0081302E"/>
    <w:rsid w:val="00813B68"/>
    <w:rsid w:val="008152F4"/>
    <w:rsid w:val="00815D46"/>
    <w:rsid w:val="00817EA7"/>
    <w:rsid w:val="0082132C"/>
    <w:rsid w:val="00822ADF"/>
    <w:rsid w:val="00824EBF"/>
    <w:rsid w:val="00830C08"/>
    <w:rsid w:val="00832103"/>
    <w:rsid w:val="008346D4"/>
    <w:rsid w:val="008360AA"/>
    <w:rsid w:val="0083752C"/>
    <w:rsid w:val="00841390"/>
    <w:rsid w:val="008427BE"/>
    <w:rsid w:val="00842E23"/>
    <w:rsid w:val="00843DD3"/>
    <w:rsid w:val="00846315"/>
    <w:rsid w:val="00847A35"/>
    <w:rsid w:val="00847E3C"/>
    <w:rsid w:val="008502E3"/>
    <w:rsid w:val="008513E1"/>
    <w:rsid w:val="00852177"/>
    <w:rsid w:val="00852490"/>
    <w:rsid w:val="00853388"/>
    <w:rsid w:val="008540F4"/>
    <w:rsid w:val="0085435A"/>
    <w:rsid w:val="0085436C"/>
    <w:rsid w:val="0085479A"/>
    <w:rsid w:val="00855726"/>
    <w:rsid w:val="008571DA"/>
    <w:rsid w:val="008608B9"/>
    <w:rsid w:val="00861E2A"/>
    <w:rsid w:val="008649AA"/>
    <w:rsid w:val="008657A8"/>
    <w:rsid w:val="008662E0"/>
    <w:rsid w:val="008670EB"/>
    <w:rsid w:val="00867B45"/>
    <w:rsid w:val="008701D6"/>
    <w:rsid w:val="00870C16"/>
    <w:rsid w:val="00872B85"/>
    <w:rsid w:val="00874E64"/>
    <w:rsid w:val="008772D8"/>
    <w:rsid w:val="0087734D"/>
    <w:rsid w:val="00877A42"/>
    <w:rsid w:val="00880451"/>
    <w:rsid w:val="008828FA"/>
    <w:rsid w:val="00883ECC"/>
    <w:rsid w:val="008850BA"/>
    <w:rsid w:val="00885DBC"/>
    <w:rsid w:val="00886656"/>
    <w:rsid w:val="008868B6"/>
    <w:rsid w:val="00886F05"/>
    <w:rsid w:val="0088726B"/>
    <w:rsid w:val="00887B47"/>
    <w:rsid w:val="00890AC6"/>
    <w:rsid w:val="00890FDA"/>
    <w:rsid w:val="00891D2C"/>
    <w:rsid w:val="008935BC"/>
    <w:rsid w:val="00893C10"/>
    <w:rsid w:val="00893CD8"/>
    <w:rsid w:val="00894DED"/>
    <w:rsid w:val="00895BD6"/>
    <w:rsid w:val="00895CDD"/>
    <w:rsid w:val="008A004B"/>
    <w:rsid w:val="008A19E4"/>
    <w:rsid w:val="008A25C5"/>
    <w:rsid w:val="008A3234"/>
    <w:rsid w:val="008A4655"/>
    <w:rsid w:val="008A4B33"/>
    <w:rsid w:val="008A4CCA"/>
    <w:rsid w:val="008A5BE8"/>
    <w:rsid w:val="008A6556"/>
    <w:rsid w:val="008A6672"/>
    <w:rsid w:val="008A6EB3"/>
    <w:rsid w:val="008A7342"/>
    <w:rsid w:val="008A7D31"/>
    <w:rsid w:val="008A7EC1"/>
    <w:rsid w:val="008A7F02"/>
    <w:rsid w:val="008B05E0"/>
    <w:rsid w:val="008B272F"/>
    <w:rsid w:val="008B3F10"/>
    <w:rsid w:val="008B45F0"/>
    <w:rsid w:val="008B4C41"/>
    <w:rsid w:val="008B569F"/>
    <w:rsid w:val="008B5A51"/>
    <w:rsid w:val="008B5DD4"/>
    <w:rsid w:val="008B5DD5"/>
    <w:rsid w:val="008B6DCB"/>
    <w:rsid w:val="008B7144"/>
    <w:rsid w:val="008B7455"/>
    <w:rsid w:val="008C04D4"/>
    <w:rsid w:val="008C1894"/>
    <w:rsid w:val="008C6033"/>
    <w:rsid w:val="008D0A4B"/>
    <w:rsid w:val="008D1071"/>
    <w:rsid w:val="008D11A5"/>
    <w:rsid w:val="008D1A13"/>
    <w:rsid w:val="008D31E5"/>
    <w:rsid w:val="008D4A0B"/>
    <w:rsid w:val="008D575F"/>
    <w:rsid w:val="008D5DEB"/>
    <w:rsid w:val="008D6B33"/>
    <w:rsid w:val="008D7835"/>
    <w:rsid w:val="008E0064"/>
    <w:rsid w:val="008E0448"/>
    <w:rsid w:val="008E0818"/>
    <w:rsid w:val="008E12A4"/>
    <w:rsid w:val="008E2413"/>
    <w:rsid w:val="008E2D08"/>
    <w:rsid w:val="008E3227"/>
    <w:rsid w:val="008E38E2"/>
    <w:rsid w:val="008E4876"/>
    <w:rsid w:val="008E51D1"/>
    <w:rsid w:val="008F39E4"/>
    <w:rsid w:val="008F4224"/>
    <w:rsid w:val="008F6A8A"/>
    <w:rsid w:val="008F7C44"/>
    <w:rsid w:val="009012C8"/>
    <w:rsid w:val="009015F6"/>
    <w:rsid w:val="0090539D"/>
    <w:rsid w:val="00910F20"/>
    <w:rsid w:val="00911704"/>
    <w:rsid w:val="00912004"/>
    <w:rsid w:val="0091363E"/>
    <w:rsid w:val="009139EA"/>
    <w:rsid w:val="00914016"/>
    <w:rsid w:val="0091660C"/>
    <w:rsid w:val="0092108B"/>
    <w:rsid w:val="009211B2"/>
    <w:rsid w:val="00921A5C"/>
    <w:rsid w:val="00922315"/>
    <w:rsid w:val="00923218"/>
    <w:rsid w:val="00923B2B"/>
    <w:rsid w:val="00923F57"/>
    <w:rsid w:val="00924180"/>
    <w:rsid w:val="009245FC"/>
    <w:rsid w:val="00925375"/>
    <w:rsid w:val="00925887"/>
    <w:rsid w:val="00927312"/>
    <w:rsid w:val="009330A4"/>
    <w:rsid w:val="009340B8"/>
    <w:rsid w:val="00934534"/>
    <w:rsid w:val="00934732"/>
    <w:rsid w:val="00934E35"/>
    <w:rsid w:val="009373EB"/>
    <w:rsid w:val="0094209E"/>
    <w:rsid w:val="00942C94"/>
    <w:rsid w:val="00944548"/>
    <w:rsid w:val="00945CD8"/>
    <w:rsid w:val="00946731"/>
    <w:rsid w:val="009471E0"/>
    <w:rsid w:val="00950140"/>
    <w:rsid w:val="009513E7"/>
    <w:rsid w:val="00951517"/>
    <w:rsid w:val="00951775"/>
    <w:rsid w:val="00951E68"/>
    <w:rsid w:val="0095200B"/>
    <w:rsid w:val="009520E4"/>
    <w:rsid w:val="009544E5"/>
    <w:rsid w:val="009549EF"/>
    <w:rsid w:val="009558C2"/>
    <w:rsid w:val="00955B49"/>
    <w:rsid w:val="00955DBA"/>
    <w:rsid w:val="009560FD"/>
    <w:rsid w:val="009561AF"/>
    <w:rsid w:val="00960639"/>
    <w:rsid w:val="00960DAB"/>
    <w:rsid w:val="00961EDE"/>
    <w:rsid w:val="009626CF"/>
    <w:rsid w:val="00962AC0"/>
    <w:rsid w:val="0097231C"/>
    <w:rsid w:val="00972519"/>
    <w:rsid w:val="00972835"/>
    <w:rsid w:val="00973169"/>
    <w:rsid w:val="0097364E"/>
    <w:rsid w:val="009736C5"/>
    <w:rsid w:val="00974260"/>
    <w:rsid w:val="00974598"/>
    <w:rsid w:val="00975072"/>
    <w:rsid w:val="009764EE"/>
    <w:rsid w:val="009775D6"/>
    <w:rsid w:val="009808AD"/>
    <w:rsid w:val="00980C18"/>
    <w:rsid w:val="00981635"/>
    <w:rsid w:val="00981CEE"/>
    <w:rsid w:val="009824BD"/>
    <w:rsid w:val="00982BA1"/>
    <w:rsid w:val="00983575"/>
    <w:rsid w:val="009849EF"/>
    <w:rsid w:val="00985176"/>
    <w:rsid w:val="00986703"/>
    <w:rsid w:val="00986D91"/>
    <w:rsid w:val="00990A46"/>
    <w:rsid w:val="009913A5"/>
    <w:rsid w:val="00991678"/>
    <w:rsid w:val="00992639"/>
    <w:rsid w:val="00993654"/>
    <w:rsid w:val="00994B6F"/>
    <w:rsid w:val="009958C4"/>
    <w:rsid w:val="00995D95"/>
    <w:rsid w:val="00996AE4"/>
    <w:rsid w:val="00997965"/>
    <w:rsid w:val="00997E22"/>
    <w:rsid w:val="00997EA3"/>
    <w:rsid w:val="009A05F4"/>
    <w:rsid w:val="009A1197"/>
    <w:rsid w:val="009A22FE"/>
    <w:rsid w:val="009A2492"/>
    <w:rsid w:val="009A27D1"/>
    <w:rsid w:val="009A3F43"/>
    <w:rsid w:val="009A4237"/>
    <w:rsid w:val="009A4671"/>
    <w:rsid w:val="009A50B0"/>
    <w:rsid w:val="009A514D"/>
    <w:rsid w:val="009A55E9"/>
    <w:rsid w:val="009A666A"/>
    <w:rsid w:val="009A6B7D"/>
    <w:rsid w:val="009A6BA0"/>
    <w:rsid w:val="009A6F8A"/>
    <w:rsid w:val="009B06F4"/>
    <w:rsid w:val="009B427C"/>
    <w:rsid w:val="009B55C9"/>
    <w:rsid w:val="009B5FC2"/>
    <w:rsid w:val="009C0917"/>
    <w:rsid w:val="009C282C"/>
    <w:rsid w:val="009C2FFD"/>
    <w:rsid w:val="009C3AA6"/>
    <w:rsid w:val="009C3B97"/>
    <w:rsid w:val="009C3FEE"/>
    <w:rsid w:val="009C6E20"/>
    <w:rsid w:val="009C79B7"/>
    <w:rsid w:val="009D0C76"/>
    <w:rsid w:val="009D0E0C"/>
    <w:rsid w:val="009D1121"/>
    <w:rsid w:val="009D1440"/>
    <w:rsid w:val="009D1F58"/>
    <w:rsid w:val="009D5584"/>
    <w:rsid w:val="009D623A"/>
    <w:rsid w:val="009D6A23"/>
    <w:rsid w:val="009E26A3"/>
    <w:rsid w:val="009E34E0"/>
    <w:rsid w:val="009E6222"/>
    <w:rsid w:val="009F020D"/>
    <w:rsid w:val="009F1E97"/>
    <w:rsid w:val="009F3B47"/>
    <w:rsid w:val="009F45E1"/>
    <w:rsid w:val="009F4A7F"/>
    <w:rsid w:val="009F4CC3"/>
    <w:rsid w:val="00A020A3"/>
    <w:rsid w:val="00A02D76"/>
    <w:rsid w:val="00A02E86"/>
    <w:rsid w:val="00A03E16"/>
    <w:rsid w:val="00A050AF"/>
    <w:rsid w:val="00A05700"/>
    <w:rsid w:val="00A06DE8"/>
    <w:rsid w:val="00A06FF2"/>
    <w:rsid w:val="00A07105"/>
    <w:rsid w:val="00A07B99"/>
    <w:rsid w:val="00A07E93"/>
    <w:rsid w:val="00A1003F"/>
    <w:rsid w:val="00A10FA2"/>
    <w:rsid w:val="00A11377"/>
    <w:rsid w:val="00A114D8"/>
    <w:rsid w:val="00A11932"/>
    <w:rsid w:val="00A11A83"/>
    <w:rsid w:val="00A12983"/>
    <w:rsid w:val="00A12BFA"/>
    <w:rsid w:val="00A12F46"/>
    <w:rsid w:val="00A134B6"/>
    <w:rsid w:val="00A13737"/>
    <w:rsid w:val="00A139A6"/>
    <w:rsid w:val="00A13BF1"/>
    <w:rsid w:val="00A14031"/>
    <w:rsid w:val="00A1596A"/>
    <w:rsid w:val="00A20282"/>
    <w:rsid w:val="00A21F13"/>
    <w:rsid w:val="00A22342"/>
    <w:rsid w:val="00A23E8C"/>
    <w:rsid w:val="00A24378"/>
    <w:rsid w:val="00A249BC"/>
    <w:rsid w:val="00A250B0"/>
    <w:rsid w:val="00A269BA"/>
    <w:rsid w:val="00A26AF6"/>
    <w:rsid w:val="00A26E06"/>
    <w:rsid w:val="00A27338"/>
    <w:rsid w:val="00A30638"/>
    <w:rsid w:val="00A334D3"/>
    <w:rsid w:val="00A340DC"/>
    <w:rsid w:val="00A34BF7"/>
    <w:rsid w:val="00A34D15"/>
    <w:rsid w:val="00A3583F"/>
    <w:rsid w:val="00A35BE1"/>
    <w:rsid w:val="00A36839"/>
    <w:rsid w:val="00A36B32"/>
    <w:rsid w:val="00A37FC0"/>
    <w:rsid w:val="00A407DB"/>
    <w:rsid w:val="00A40CCD"/>
    <w:rsid w:val="00A41417"/>
    <w:rsid w:val="00A42EB2"/>
    <w:rsid w:val="00A44F0B"/>
    <w:rsid w:val="00A4507F"/>
    <w:rsid w:val="00A45877"/>
    <w:rsid w:val="00A46D49"/>
    <w:rsid w:val="00A478CF"/>
    <w:rsid w:val="00A5059B"/>
    <w:rsid w:val="00A539BF"/>
    <w:rsid w:val="00A54E02"/>
    <w:rsid w:val="00A564AB"/>
    <w:rsid w:val="00A57619"/>
    <w:rsid w:val="00A57735"/>
    <w:rsid w:val="00A57EFA"/>
    <w:rsid w:val="00A60914"/>
    <w:rsid w:val="00A60E71"/>
    <w:rsid w:val="00A63045"/>
    <w:rsid w:val="00A63E8E"/>
    <w:rsid w:val="00A63FBF"/>
    <w:rsid w:val="00A65558"/>
    <w:rsid w:val="00A65EB0"/>
    <w:rsid w:val="00A670D5"/>
    <w:rsid w:val="00A67664"/>
    <w:rsid w:val="00A67ADE"/>
    <w:rsid w:val="00A67EBC"/>
    <w:rsid w:val="00A70F16"/>
    <w:rsid w:val="00A72750"/>
    <w:rsid w:val="00A7795C"/>
    <w:rsid w:val="00A81FF0"/>
    <w:rsid w:val="00A8302D"/>
    <w:rsid w:val="00A8408D"/>
    <w:rsid w:val="00A8471F"/>
    <w:rsid w:val="00A85218"/>
    <w:rsid w:val="00A858C1"/>
    <w:rsid w:val="00A901AC"/>
    <w:rsid w:val="00A921B3"/>
    <w:rsid w:val="00A92FAA"/>
    <w:rsid w:val="00A93FFA"/>
    <w:rsid w:val="00A94C6F"/>
    <w:rsid w:val="00A958A5"/>
    <w:rsid w:val="00A963F3"/>
    <w:rsid w:val="00A96438"/>
    <w:rsid w:val="00A97618"/>
    <w:rsid w:val="00A9794D"/>
    <w:rsid w:val="00AA232C"/>
    <w:rsid w:val="00AA26AA"/>
    <w:rsid w:val="00AA431E"/>
    <w:rsid w:val="00AA511A"/>
    <w:rsid w:val="00AA58FF"/>
    <w:rsid w:val="00AA5FE1"/>
    <w:rsid w:val="00AA61A1"/>
    <w:rsid w:val="00AA7100"/>
    <w:rsid w:val="00AB13AE"/>
    <w:rsid w:val="00AB2E6C"/>
    <w:rsid w:val="00AB3523"/>
    <w:rsid w:val="00AB475F"/>
    <w:rsid w:val="00AB518C"/>
    <w:rsid w:val="00AB69B8"/>
    <w:rsid w:val="00AB7CE0"/>
    <w:rsid w:val="00AB7E8A"/>
    <w:rsid w:val="00AC0FA4"/>
    <w:rsid w:val="00AC1D8B"/>
    <w:rsid w:val="00AC3AC0"/>
    <w:rsid w:val="00AC589C"/>
    <w:rsid w:val="00AC661F"/>
    <w:rsid w:val="00AC6A21"/>
    <w:rsid w:val="00AC7295"/>
    <w:rsid w:val="00AC7F66"/>
    <w:rsid w:val="00AC7FC1"/>
    <w:rsid w:val="00AD124B"/>
    <w:rsid w:val="00AD1B2A"/>
    <w:rsid w:val="00AD1B43"/>
    <w:rsid w:val="00AD2630"/>
    <w:rsid w:val="00AD2ACD"/>
    <w:rsid w:val="00AD2F5A"/>
    <w:rsid w:val="00AD70A0"/>
    <w:rsid w:val="00AD7E77"/>
    <w:rsid w:val="00AD7FFD"/>
    <w:rsid w:val="00AE072C"/>
    <w:rsid w:val="00AE0734"/>
    <w:rsid w:val="00AE1018"/>
    <w:rsid w:val="00AE2E50"/>
    <w:rsid w:val="00AE31AF"/>
    <w:rsid w:val="00AE58B8"/>
    <w:rsid w:val="00AE5948"/>
    <w:rsid w:val="00AF00C1"/>
    <w:rsid w:val="00AF0B91"/>
    <w:rsid w:val="00AF0B93"/>
    <w:rsid w:val="00AF0E09"/>
    <w:rsid w:val="00AF17CB"/>
    <w:rsid w:val="00AF381F"/>
    <w:rsid w:val="00AF38BF"/>
    <w:rsid w:val="00AF522C"/>
    <w:rsid w:val="00AF5297"/>
    <w:rsid w:val="00AF584E"/>
    <w:rsid w:val="00AF6B87"/>
    <w:rsid w:val="00AF6D59"/>
    <w:rsid w:val="00B00230"/>
    <w:rsid w:val="00B00AF0"/>
    <w:rsid w:val="00B01FDC"/>
    <w:rsid w:val="00B02546"/>
    <w:rsid w:val="00B039C0"/>
    <w:rsid w:val="00B0400E"/>
    <w:rsid w:val="00B053D1"/>
    <w:rsid w:val="00B105FD"/>
    <w:rsid w:val="00B10676"/>
    <w:rsid w:val="00B11306"/>
    <w:rsid w:val="00B11FE9"/>
    <w:rsid w:val="00B12433"/>
    <w:rsid w:val="00B1287F"/>
    <w:rsid w:val="00B13C03"/>
    <w:rsid w:val="00B14B4F"/>
    <w:rsid w:val="00B14C46"/>
    <w:rsid w:val="00B14D75"/>
    <w:rsid w:val="00B15FA8"/>
    <w:rsid w:val="00B16067"/>
    <w:rsid w:val="00B16AD8"/>
    <w:rsid w:val="00B17516"/>
    <w:rsid w:val="00B20265"/>
    <w:rsid w:val="00B20E9B"/>
    <w:rsid w:val="00B220D1"/>
    <w:rsid w:val="00B22550"/>
    <w:rsid w:val="00B23830"/>
    <w:rsid w:val="00B24BA3"/>
    <w:rsid w:val="00B252DB"/>
    <w:rsid w:val="00B3008F"/>
    <w:rsid w:val="00B304CC"/>
    <w:rsid w:val="00B309E5"/>
    <w:rsid w:val="00B311AF"/>
    <w:rsid w:val="00B31322"/>
    <w:rsid w:val="00B32963"/>
    <w:rsid w:val="00B32B8F"/>
    <w:rsid w:val="00B338D0"/>
    <w:rsid w:val="00B34748"/>
    <w:rsid w:val="00B347CD"/>
    <w:rsid w:val="00B35D1E"/>
    <w:rsid w:val="00B36433"/>
    <w:rsid w:val="00B364C5"/>
    <w:rsid w:val="00B37B56"/>
    <w:rsid w:val="00B37C5E"/>
    <w:rsid w:val="00B407FF"/>
    <w:rsid w:val="00B43532"/>
    <w:rsid w:val="00B44B34"/>
    <w:rsid w:val="00B4665F"/>
    <w:rsid w:val="00B46F06"/>
    <w:rsid w:val="00B51EFF"/>
    <w:rsid w:val="00B52115"/>
    <w:rsid w:val="00B52806"/>
    <w:rsid w:val="00B566BD"/>
    <w:rsid w:val="00B57605"/>
    <w:rsid w:val="00B600F4"/>
    <w:rsid w:val="00B60F2F"/>
    <w:rsid w:val="00B61818"/>
    <w:rsid w:val="00B61F22"/>
    <w:rsid w:val="00B632B1"/>
    <w:rsid w:val="00B64656"/>
    <w:rsid w:val="00B64B16"/>
    <w:rsid w:val="00B65881"/>
    <w:rsid w:val="00B65B5E"/>
    <w:rsid w:val="00B67FF5"/>
    <w:rsid w:val="00B704E1"/>
    <w:rsid w:val="00B7098D"/>
    <w:rsid w:val="00B7138B"/>
    <w:rsid w:val="00B720BF"/>
    <w:rsid w:val="00B735A7"/>
    <w:rsid w:val="00B735D1"/>
    <w:rsid w:val="00B744C7"/>
    <w:rsid w:val="00B74B7B"/>
    <w:rsid w:val="00B76106"/>
    <w:rsid w:val="00B765D5"/>
    <w:rsid w:val="00B769C1"/>
    <w:rsid w:val="00B76B5E"/>
    <w:rsid w:val="00B77F5D"/>
    <w:rsid w:val="00B806C9"/>
    <w:rsid w:val="00B81D85"/>
    <w:rsid w:val="00B81F66"/>
    <w:rsid w:val="00B8388E"/>
    <w:rsid w:val="00B85724"/>
    <w:rsid w:val="00B86867"/>
    <w:rsid w:val="00B86FCE"/>
    <w:rsid w:val="00B87F94"/>
    <w:rsid w:val="00B901EB"/>
    <w:rsid w:val="00B907CA"/>
    <w:rsid w:val="00B9208B"/>
    <w:rsid w:val="00B9221A"/>
    <w:rsid w:val="00B936C1"/>
    <w:rsid w:val="00B946B3"/>
    <w:rsid w:val="00B94B45"/>
    <w:rsid w:val="00B9502E"/>
    <w:rsid w:val="00B95527"/>
    <w:rsid w:val="00B9599F"/>
    <w:rsid w:val="00B96673"/>
    <w:rsid w:val="00B97999"/>
    <w:rsid w:val="00BA0936"/>
    <w:rsid w:val="00BA217D"/>
    <w:rsid w:val="00BA26EA"/>
    <w:rsid w:val="00BA3CD4"/>
    <w:rsid w:val="00BA4277"/>
    <w:rsid w:val="00BB61AA"/>
    <w:rsid w:val="00BB692C"/>
    <w:rsid w:val="00BC0A51"/>
    <w:rsid w:val="00BC0A55"/>
    <w:rsid w:val="00BC0B0C"/>
    <w:rsid w:val="00BC1696"/>
    <w:rsid w:val="00BC2CB9"/>
    <w:rsid w:val="00BC2D37"/>
    <w:rsid w:val="00BC3B48"/>
    <w:rsid w:val="00BC3E38"/>
    <w:rsid w:val="00BC5473"/>
    <w:rsid w:val="00BC549F"/>
    <w:rsid w:val="00BC5B03"/>
    <w:rsid w:val="00BC7AFC"/>
    <w:rsid w:val="00BD00E8"/>
    <w:rsid w:val="00BD130F"/>
    <w:rsid w:val="00BD182B"/>
    <w:rsid w:val="00BD1A2F"/>
    <w:rsid w:val="00BD2493"/>
    <w:rsid w:val="00BD43DE"/>
    <w:rsid w:val="00BD4FD4"/>
    <w:rsid w:val="00BD5575"/>
    <w:rsid w:val="00BD5969"/>
    <w:rsid w:val="00BD5E69"/>
    <w:rsid w:val="00BE0A69"/>
    <w:rsid w:val="00BE2F1C"/>
    <w:rsid w:val="00BE3470"/>
    <w:rsid w:val="00BE348A"/>
    <w:rsid w:val="00BE487F"/>
    <w:rsid w:val="00BE6850"/>
    <w:rsid w:val="00BF186C"/>
    <w:rsid w:val="00BF5431"/>
    <w:rsid w:val="00BF5702"/>
    <w:rsid w:val="00BF6DD9"/>
    <w:rsid w:val="00C001DE"/>
    <w:rsid w:val="00C00309"/>
    <w:rsid w:val="00C00BCC"/>
    <w:rsid w:val="00C00F80"/>
    <w:rsid w:val="00C01552"/>
    <w:rsid w:val="00C0308C"/>
    <w:rsid w:val="00C0439B"/>
    <w:rsid w:val="00C04EC9"/>
    <w:rsid w:val="00C052E4"/>
    <w:rsid w:val="00C06E39"/>
    <w:rsid w:val="00C07541"/>
    <w:rsid w:val="00C12619"/>
    <w:rsid w:val="00C1338E"/>
    <w:rsid w:val="00C15742"/>
    <w:rsid w:val="00C16C62"/>
    <w:rsid w:val="00C17DB5"/>
    <w:rsid w:val="00C20032"/>
    <w:rsid w:val="00C20121"/>
    <w:rsid w:val="00C21E98"/>
    <w:rsid w:val="00C22DC2"/>
    <w:rsid w:val="00C23A19"/>
    <w:rsid w:val="00C23B0D"/>
    <w:rsid w:val="00C2496D"/>
    <w:rsid w:val="00C267CA"/>
    <w:rsid w:val="00C26D09"/>
    <w:rsid w:val="00C30A43"/>
    <w:rsid w:val="00C3247F"/>
    <w:rsid w:val="00C324C4"/>
    <w:rsid w:val="00C3289D"/>
    <w:rsid w:val="00C332C5"/>
    <w:rsid w:val="00C378A4"/>
    <w:rsid w:val="00C406FE"/>
    <w:rsid w:val="00C4321A"/>
    <w:rsid w:val="00C43A24"/>
    <w:rsid w:val="00C445B3"/>
    <w:rsid w:val="00C46637"/>
    <w:rsid w:val="00C47389"/>
    <w:rsid w:val="00C50A40"/>
    <w:rsid w:val="00C524FD"/>
    <w:rsid w:val="00C533EC"/>
    <w:rsid w:val="00C53DA6"/>
    <w:rsid w:val="00C54861"/>
    <w:rsid w:val="00C5498D"/>
    <w:rsid w:val="00C564A2"/>
    <w:rsid w:val="00C57671"/>
    <w:rsid w:val="00C577BF"/>
    <w:rsid w:val="00C57B3C"/>
    <w:rsid w:val="00C6036A"/>
    <w:rsid w:val="00C60A5B"/>
    <w:rsid w:val="00C60F14"/>
    <w:rsid w:val="00C61EEF"/>
    <w:rsid w:val="00C629EB"/>
    <w:rsid w:val="00C62D64"/>
    <w:rsid w:val="00C63F46"/>
    <w:rsid w:val="00C64375"/>
    <w:rsid w:val="00C64E69"/>
    <w:rsid w:val="00C65102"/>
    <w:rsid w:val="00C65198"/>
    <w:rsid w:val="00C65B17"/>
    <w:rsid w:val="00C66142"/>
    <w:rsid w:val="00C6635A"/>
    <w:rsid w:val="00C66693"/>
    <w:rsid w:val="00C6683B"/>
    <w:rsid w:val="00C66AD3"/>
    <w:rsid w:val="00C67E7C"/>
    <w:rsid w:val="00C70069"/>
    <w:rsid w:val="00C7185C"/>
    <w:rsid w:val="00C74F31"/>
    <w:rsid w:val="00C76EB7"/>
    <w:rsid w:val="00C77353"/>
    <w:rsid w:val="00C77854"/>
    <w:rsid w:val="00C82016"/>
    <w:rsid w:val="00C8212B"/>
    <w:rsid w:val="00C85BA0"/>
    <w:rsid w:val="00C87CEA"/>
    <w:rsid w:val="00C90067"/>
    <w:rsid w:val="00C90F61"/>
    <w:rsid w:val="00C9183F"/>
    <w:rsid w:val="00C92203"/>
    <w:rsid w:val="00C94759"/>
    <w:rsid w:val="00C95E13"/>
    <w:rsid w:val="00C96C6F"/>
    <w:rsid w:val="00CA0D47"/>
    <w:rsid w:val="00CA0FAB"/>
    <w:rsid w:val="00CA11AE"/>
    <w:rsid w:val="00CA1800"/>
    <w:rsid w:val="00CA19E5"/>
    <w:rsid w:val="00CA24C1"/>
    <w:rsid w:val="00CA26C4"/>
    <w:rsid w:val="00CA29E3"/>
    <w:rsid w:val="00CA40E1"/>
    <w:rsid w:val="00CA4566"/>
    <w:rsid w:val="00CA4C96"/>
    <w:rsid w:val="00CA58FC"/>
    <w:rsid w:val="00CA6EB7"/>
    <w:rsid w:val="00CA757A"/>
    <w:rsid w:val="00CB0075"/>
    <w:rsid w:val="00CB4CC7"/>
    <w:rsid w:val="00CB6A55"/>
    <w:rsid w:val="00CB7BB7"/>
    <w:rsid w:val="00CB7BCE"/>
    <w:rsid w:val="00CC2B0B"/>
    <w:rsid w:val="00CC2C50"/>
    <w:rsid w:val="00CC2C94"/>
    <w:rsid w:val="00CC2F60"/>
    <w:rsid w:val="00CC3983"/>
    <w:rsid w:val="00CC67A1"/>
    <w:rsid w:val="00CC78BD"/>
    <w:rsid w:val="00CD0EE9"/>
    <w:rsid w:val="00CD22E8"/>
    <w:rsid w:val="00CD3365"/>
    <w:rsid w:val="00CD3746"/>
    <w:rsid w:val="00CD44EF"/>
    <w:rsid w:val="00CD5BC4"/>
    <w:rsid w:val="00CD69B1"/>
    <w:rsid w:val="00CD731A"/>
    <w:rsid w:val="00CD742A"/>
    <w:rsid w:val="00CE0106"/>
    <w:rsid w:val="00CE2941"/>
    <w:rsid w:val="00CE294E"/>
    <w:rsid w:val="00CE4107"/>
    <w:rsid w:val="00CE61F1"/>
    <w:rsid w:val="00CE6B67"/>
    <w:rsid w:val="00CF0DE0"/>
    <w:rsid w:val="00CF11AD"/>
    <w:rsid w:val="00CF3E31"/>
    <w:rsid w:val="00CF4E88"/>
    <w:rsid w:val="00CF4E8D"/>
    <w:rsid w:val="00CF56A3"/>
    <w:rsid w:val="00CF6E08"/>
    <w:rsid w:val="00CF6F02"/>
    <w:rsid w:val="00CF6FC2"/>
    <w:rsid w:val="00D02681"/>
    <w:rsid w:val="00D04FD6"/>
    <w:rsid w:val="00D051C2"/>
    <w:rsid w:val="00D06276"/>
    <w:rsid w:val="00D07243"/>
    <w:rsid w:val="00D123BA"/>
    <w:rsid w:val="00D1278F"/>
    <w:rsid w:val="00D14DAA"/>
    <w:rsid w:val="00D1644D"/>
    <w:rsid w:val="00D165A4"/>
    <w:rsid w:val="00D16D23"/>
    <w:rsid w:val="00D16DDF"/>
    <w:rsid w:val="00D1783B"/>
    <w:rsid w:val="00D206AF"/>
    <w:rsid w:val="00D20CE4"/>
    <w:rsid w:val="00D21F8C"/>
    <w:rsid w:val="00D221AC"/>
    <w:rsid w:val="00D22ACA"/>
    <w:rsid w:val="00D26070"/>
    <w:rsid w:val="00D26489"/>
    <w:rsid w:val="00D27353"/>
    <w:rsid w:val="00D30D0F"/>
    <w:rsid w:val="00D3177B"/>
    <w:rsid w:val="00D31D54"/>
    <w:rsid w:val="00D33F73"/>
    <w:rsid w:val="00D35A5C"/>
    <w:rsid w:val="00D36F8F"/>
    <w:rsid w:val="00D37AF5"/>
    <w:rsid w:val="00D40E0F"/>
    <w:rsid w:val="00D421B3"/>
    <w:rsid w:val="00D42CC9"/>
    <w:rsid w:val="00D42E35"/>
    <w:rsid w:val="00D4319C"/>
    <w:rsid w:val="00D446D6"/>
    <w:rsid w:val="00D47964"/>
    <w:rsid w:val="00D47CD9"/>
    <w:rsid w:val="00D50DDE"/>
    <w:rsid w:val="00D514D0"/>
    <w:rsid w:val="00D515BF"/>
    <w:rsid w:val="00D51B52"/>
    <w:rsid w:val="00D53BF3"/>
    <w:rsid w:val="00D53FD3"/>
    <w:rsid w:val="00D54716"/>
    <w:rsid w:val="00D60174"/>
    <w:rsid w:val="00D61A99"/>
    <w:rsid w:val="00D624DF"/>
    <w:rsid w:val="00D634E7"/>
    <w:rsid w:val="00D662C0"/>
    <w:rsid w:val="00D70B66"/>
    <w:rsid w:val="00D70F97"/>
    <w:rsid w:val="00D72D4B"/>
    <w:rsid w:val="00D73A0B"/>
    <w:rsid w:val="00D758E9"/>
    <w:rsid w:val="00D762A4"/>
    <w:rsid w:val="00D762ED"/>
    <w:rsid w:val="00D77E3B"/>
    <w:rsid w:val="00D800CA"/>
    <w:rsid w:val="00D80D20"/>
    <w:rsid w:val="00D81620"/>
    <w:rsid w:val="00D830A1"/>
    <w:rsid w:val="00D8340E"/>
    <w:rsid w:val="00D84752"/>
    <w:rsid w:val="00D84A5A"/>
    <w:rsid w:val="00D902CF"/>
    <w:rsid w:val="00D9040C"/>
    <w:rsid w:val="00D90D51"/>
    <w:rsid w:val="00D91806"/>
    <w:rsid w:val="00D91980"/>
    <w:rsid w:val="00D92E99"/>
    <w:rsid w:val="00D948E5"/>
    <w:rsid w:val="00D959CF"/>
    <w:rsid w:val="00D95D51"/>
    <w:rsid w:val="00D97CB7"/>
    <w:rsid w:val="00DA0812"/>
    <w:rsid w:val="00DA328F"/>
    <w:rsid w:val="00DA449E"/>
    <w:rsid w:val="00DA4A4F"/>
    <w:rsid w:val="00DA5983"/>
    <w:rsid w:val="00DA6556"/>
    <w:rsid w:val="00DA680B"/>
    <w:rsid w:val="00DB1A8A"/>
    <w:rsid w:val="00DB37DC"/>
    <w:rsid w:val="00DB59D0"/>
    <w:rsid w:val="00DB7A14"/>
    <w:rsid w:val="00DB7ADD"/>
    <w:rsid w:val="00DC072B"/>
    <w:rsid w:val="00DC1D6A"/>
    <w:rsid w:val="00DC253B"/>
    <w:rsid w:val="00DC4F8B"/>
    <w:rsid w:val="00DC686D"/>
    <w:rsid w:val="00DC7659"/>
    <w:rsid w:val="00DC7C5F"/>
    <w:rsid w:val="00DD031B"/>
    <w:rsid w:val="00DD0380"/>
    <w:rsid w:val="00DD178F"/>
    <w:rsid w:val="00DD1ED5"/>
    <w:rsid w:val="00DD34A2"/>
    <w:rsid w:val="00DD3637"/>
    <w:rsid w:val="00DD3CDA"/>
    <w:rsid w:val="00DD535A"/>
    <w:rsid w:val="00DD67A7"/>
    <w:rsid w:val="00DD6D38"/>
    <w:rsid w:val="00DD6E3C"/>
    <w:rsid w:val="00DE19B8"/>
    <w:rsid w:val="00DE481C"/>
    <w:rsid w:val="00DE4C3C"/>
    <w:rsid w:val="00DE4CF6"/>
    <w:rsid w:val="00DE5AA5"/>
    <w:rsid w:val="00DE688E"/>
    <w:rsid w:val="00DE6A86"/>
    <w:rsid w:val="00DE78D2"/>
    <w:rsid w:val="00DF0F61"/>
    <w:rsid w:val="00DF1A76"/>
    <w:rsid w:val="00DF3479"/>
    <w:rsid w:val="00DF4358"/>
    <w:rsid w:val="00DF4E1A"/>
    <w:rsid w:val="00DF53C7"/>
    <w:rsid w:val="00DF53EA"/>
    <w:rsid w:val="00E000D7"/>
    <w:rsid w:val="00E04C64"/>
    <w:rsid w:val="00E04D56"/>
    <w:rsid w:val="00E060BD"/>
    <w:rsid w:val="00E06C02"/>
    <w:rsid w:val="00E07352"/>
    <w:rsid w:val="00E10365"/>
    <w:rsid w:val="00E14B85"/>
    <w:rsid w:val="00E1586A"/>
    <w:rsid w:val="00E159F0"/>
    <w:rsid w:val="00E15E84"/>
    <w:rsid w:val="00E16351"/>
    <w:rsid w:val="00E21ABC"/>
    <w:rsid w:val="00E21F40"/>
    <w:rsid w:val="00E22186"/>
    <w:rsid w:val="00E246A0"/>
    <w:rsid w:val="00E24CB6"/>
    <w:rsid w:val="00E2735F"/>
    <w:rsid w:val="00E30181"/>
    <w:rsid w:val="00E306C5"/>
    <w:rsid w:val="00E32D1C"/>
    <w:rsid w:val="00E3345C"/>
    <w:rsid w:val="00E335F6"/>
    <w:rsid w:val="00E33F8A"/>
    <w:rsid w:val="00E37512"/>
    <w:rsid w:val="00E37693"/>
    <w:rsid w:val="00E377EA"/>
    <w:rsid w:val="00E408CC"/>
    <w:rsid w:val="00E41463"/>
    <w:rsid w:val="00E42826"/>
    <w:rsid w:val="00E4564A"/>
    <w:rsid w:val="00E46487"/>
    <w:rsid w:val="00E47285"/>
    <w:rsid w:val="00E47771"/>
    <w:rsid w:val="00E51A68"/>
    <w:rsid w:val="00E52DE6"/>
    <w:rsid w:val="00E52FC4"/>
    <w:rsid w:val="00E55A8D"/>
    <w:rsid w:val="00E57758"/>
    <w:rsid w:val="00E6097D"/>
    <w:rsid w:val="00E6239F"/>
    <w:rsid w:val="00E6393B"/>
    <w:rsid w:val="00E64131"/>
    <w:rsid w:val="00E648EF"/>
    <w:rsid w:val="00E6572E"/>
    <w:rsid w:val="00E65AA3"/>
    <w:rsid w:val="00E6755C"/>
    <w:rsid w:val="00E7257B"/>
    <w:rsid w:val="00E72FAF"/>
    <w:rsid w:val="00E74001"/>
    <w:rsid w:val="00E74676"/>
    <w:rsid w:val="00E75C4C"/>
    <w:rsid w:val="00E801F3"/>
    <w:rsid w:val="00E80666"/>
    <w:rsid w:val="00E8070D"/>
    <w:rsid w:val="00E830EC"/>
    <w:rsid w:val="00E832D8"/>
    <w:rsid w:val="00E8348D"/>
    <w:rsid w:val="00E83955"/>
    <w:rsid w:val="00E83A56"/>
    <w:rsid w:val="00E84E4C"/>
    <w:rsid w:val="00E8500D"/>
    <w:rsid w:val="00E85494"/>
    <w:rsid w:val="00E86F2F"/>
    <w:rsid w:val="00E8705D"/>
    <w:rsid w:val="00E90FEF"/>
    <w:rsid w:val="00E9105E"/>
    <w:rsid w:val="00E91DC7"/>
    <w:rsid w:val="00E9314B"/>
    <w:rsid w:val="00E95131"/>
    <w:rsid w:val="00E960B9"/>
    <w:rsid w:val="00E969F7"/>
    <w:rsid w:val="00E97A33"/>
    <w:rsid w:val="00EA0544"/>
    <w:rsid w:val="00EA140D"/>
    <w:rsid w:val="00EA1FC0"/>
    <w:rsid w:val="00EA6C98"/>
    <w:rsid w:val="00EA6D69"/>
    <w:rsid w:val="00EA7143"/>
    <w:rsid w:val="00EA7F03"/>
    <w:rsid w:val="00EB0EE0"/>
    <w:rsid w:val="00EB1062"/>
    <w:rsid w:val="00EB1AC9"/>
    <w:rsid w:val="00EB2342"/>
    <w:rsid w:val="00EB26F0"/>
    <w:rsid w:val="00EB2BD0"/>
    <w:rsid w:val="00EB2FAF"/>
    <w:rsid w:val="00EB6F83"/>
    <w:rsid w:val="00EB7127"/>
    <w:rsid w:val="00EC068F"/>
    <w:rsid w:val="00EC0972"/>
    <w:rsid w:val="00EC140B"/>
    <w:rsid w:val="00EC44FB"/>
    <w:rsid w:val="00EC53F2"/>
    <w:rsid w:val="00EC6CA0"/>
    <w:rsid w:val="00EC6E8B"/>
    <w:rsid w:val="00ED0AF3"/>
    <w:rsid w:val="00ED0F36"/>
    <w:rsid w:val="00ED182A"/>
    <w:rsid w:val="00ED2323"/>
    <w:rsid w:val="00ED4080"/>
    <w:rsid w:val="00ED40D6"/>
    <w:rsid w:val="00ED4275"/>
    <w:rsid w:val="00ED4306"/>
    <w:rsid w:val="00ED43B5"/>
    <w:rsid w:val="00ED448F"/>
    <w:rsid w:val="00ED4745"/>
    <w:rsid w:val="00ED5533"/>
    <w:rsid w:val="00ED6597"/>
    <w:rsid w:val="00ED7D7E"/>
    <w:rsid w:val="00EE067B"/>
    <w:rsid w:val="00EE0C2F"/>
    <w:rsid w:val="00EE1BF7"/>
    <w:rsid w:val="00EE200B"/>
    <w:rsid w:val="00EE24DA"/>
    <w:rsid w:val="00EE3A5C"/>
    <w:rsid w:val="00EE4B94"/>
    <w:rsid w:val="00EE5689"/>
    <w:rsid w:val="00EE7BF6"/>
    <w:rsid w:val="00EF0311"/>
    <w:rsid w:val="00EF1968"/>
    <w:rsid w:val="00EF227E"/>
    <w:rsid w:val="00EF240C"/>
    <w:rsid w:val="00EF2532"/>
    <w:rsid w:val="00EF2E18"/>
    <w:rsid w:val="00EF2FEB"/>
    <w:rsid w:val="00EF38B9"/>
    <w:rsid w:val="00EF473B"/>
    <w:rsid w:val="00EF4B29"/>
    <w:rsid w:val="00EF530A"/>
    <w:rsid w:val="00EF6843"/>
    <w:rsid w:val="00EF71C6"/>
    <w:rsid w:val="00EF79FC"/>
    <w:rsid w:val="00F00840"/>
    <w:rsid w:val="00F025EB"/>
    <w:rsid w:val="00F02E2D"/>
    <w:rsid w:val="00F034D5"/>
    <w:rsid w:val="00F03F26"/>
    <w:rsid w:val="00F0423B"/>
    <w:rsid w:val="00F07D3C"/>
    <w:rsid w:val="00F07DD0"/>
    <w:rsid w:val="00F07DD5"/>
    <w:rsid w:val="00F10368"/>
    <w:rsid w:val="00F10C9E"/>
    <w:rsid w:val="00F10D63"/>
    <w:rsid w:val="00F118EF"/>
    <w:rsid w:val="00F13025"/>
    <w:rsid w:val="00F1356E"/>
    <w:rsid w:val="00F15515"/>
    <w:rsid w:val="00F15693"/>
    <w:rsid w:val="00F16B58"/>
    <w:rsid w:val="00F2103B"/>
    <w:rsid w:val="00F22708"/>
    <w:rsid w:val="00F230D9"/>
    <w:rsid w:val="00F24639"/>
    <w:rsid w:val="00F26A74"/>
    <w:rsid w:val="00F26DB7"/>
    <w:rsid w:val="00F31863"/>
    <w:rsid w:val="00F31E13"/>
    <w:rsid w:val="00F33145"/>
    <w:rsid w:val="00F33CAF"/>
    <w:rsid w:val="00F35EF7"/>
    <w:rsid w:val="00F35F57"/>
    <w:rsid w:val="00F40A80"/>
    <w:rsid w:val="00F42100"/>
    <w:rsid w:val="00F42449"/>
    <w:rsid w:val="00F45003"/>
    <w:rsid w:val="00F5160C"/>
    <w:rsid w:val="00F51A5C"/>
    <w:rsid w:val="00F528B5"/>
    <w:rsid w:val="00F5481A"/>
    <w:rsid w:val="00F54823"/>
    <w:rsid w:val="00F54913"/>
    <w:rsid w:val="00F554F4"/>
    <w:rsid w:val="00F56055"/>
    <w:rsid w:val="00F568A1"/>
    <w:rsid w:val="00F56DA1"/>
    <w:rsid w:val="00F57516"/>
    <w:rsid w:val="00F61C85"/>
    <w:rsid w:val="00F62699"/>
    <w:rsid w:val="00F63FD6"/>
    <w:rsid w:val="00F64494"/>
    <w:rsid w:val="00F659B7"/>
    <w:rsid w:val="00F67E41"/>
    <w:rsid w:val="00F67EBD"/>
    <w:rsid w:val="00F70D23"/>
    <w:rsid w:val="00F70EA7"/>
    <w:rsid w:val="00F70F53"/>
    <w:rsid w:val="00F71F04"/>
    <w:rsid w:val="00F72110"/>
    <w:rsid w:val="00F72244"/>
    <w:rsid w:val="00F723CD"/>
    <w:rsid w:val="00F72986"/>
    <w:rsid w:val="00F74DF7"/>
    <w:rsid w:val="00F75BD3"/>
    <w:rsid w:val="00F76371"/>
    <w:rsid w:val="00F80060"/>
    <w:rsid w:val="00F800E1"/>
    <w:rsid w:val="00F80F3E"/>
    <w:rsid w:val="00F83332"/>
    <w:rsid w:val="00F83DAA"/>
    <w:rsid w:val="00F856C4"/>
    <w:rsid w:val="00F8716F"/>
    <w:rsid w:val="00F873EF"/>
    <w:rsid w:val="00F906E1"/>
    <w:rsid w:val="00F91D0A"/>
    <w:rsid w:val="00F92021"/>
    <w:rsid w:val="00F92616"/>
    <w:rsid w:val="00F92814"/>
    <w:rsid w:val="00F93124"/>
    <w:rsid w:val="00F93A96"/>
    <w:rsid w:val="00F94AA3"/>
    <w:rsid w:val="00F952F8"/>
    <w:rsid w:val="00F957C3"/>
    <w:rsid w:val="00F95BC5"/>
    <w:rsid w:val="00F97BD0"/>
    <w:rsid w:val="00FA06F3"/>
    <w:rsid w:val="00FA0A4E"/>
    <w:rsid w:val="00FA1312"/>
    <w:rsid w:val="00FA2A46"/>
    <w:rsid w:val="00FA4F28"/>
    <w:rsid w:val="00FA60D2"/>
    <w:rsid w:val="00FA6428"/>
    <w:rsid w:val="00FA6974"/>
    <w:rsid w:val="00FA78D8"/>
    <w:rsid w:val="00FA79E5"/>
    <w:rsid w:val="00FA7D26"/>
    <w:rsid w:val="00FB1190"/>
    <w:rsid w:val="00FB12C8"/>
    <w:rsid w:val="00FB1C48"/>
    <w:rsid w:val="00FB1E4F"/>
    <w:rsid w:val="00FB2436"/>
    <w:rsid w:val="00FB27DD"/>
    <w:rsid w:val="00FB335D"/>
    <w:rsid w:val="00FB33E1"/>
    <w:rsid w:val="00FB3456"/>
    <w:rsid w:val="00FB4354"/>
    <w:rsid w:val="00FB4565"/>
    <w:rsid w:val="00FB5192"/>
    <w:rsid w:val="00FB52C5"/>
    <w:rsid w:val="00FB6CBE"/>
    <w:rsid w:val="00FB7CE0"/>
    <w:rsid w:val="00FC029D"/>
    <w:rsid w:val="00FC3E1B"/>
    <w:rsid w:val="00FC3EBC"/>
    <w:rsid w:val="00FC3FB6"/>
    <w:rsid w:val="00FC467D"/>
    <w:rsid w:val="00FC49AE"/>
    <w:rsid w:val="00FC4D19"/>
    <w:rsid w:val="00FC4F62"/>
    <w:rsid w:val="00FD0357"/>
    <w:rsid w:val="00FD17E0"/>
    <w:rsid w:val="00FD32AD"/>
    <w:rsid w:val="00FD343E"/>
    <w:rsid w:val="00FD4A50"/>
    <w:rsid w:val="00FD524C"/>
    <w:rsid w:val="00FD69E8"/>
    <w:rsid w:val="00FE19D7"/>
    <w:rsid w:val="00FE26EC"/>
    <w:rsid w:val="00FE39B5"/>
    <w:rsid w:val="00FE68A4"/>
    <w:rsid w:val="00FF0820"/>
    <w:rsid w:val="00FF0908"/>
    <w:rsid w:val="00FF1185"/>
    <w:rsid w:val="00FF376D"/>
    <w:rsid w:val="00FF59A0"/>
    <w:rsid w:val="00FF6211"/>
    <w:rsid w:val="01042CD0"/>
    <w:rsid w:val="01400652"/>
    <w:rsid w:val="01877B89"/>
    <w:rsid w:val="01A9298C"/>
    <w:rsid w:val="01F1268E"/>
    <w:rsid w:val="02152917"/>
    <w:rsid w:val="021653B1"/>
    <w:rsid w:val="021A09FD"/>
    <w:rsid w:val="0250441F"/>
    <w:rsid w:val="02742EFC"/>
    <w:rsid w:val="028042C4"/>
    <w:rsid w:val="02832A46"/>
    <w:rsid w:val="028D4D9B"/>
    <w:rsid w:val="02D332E6"/>
    <w:rsid w:val="031C07A5"/>
    <w:rsid w:val="03240870"/>
    <w:rsid w:val="03465822"/>
    <w:rsid w:val="035B1CE5"/>
    <w:rsid w:val="03854B3A"/>
    <w:rsid w:val="03BC32A7"/>
    <w:rsid w:val="03BE1DEF"/>
    <w:rsid w:val="03CC3F79"/>
    <w:rsid w:val="03DF1EFE"/>
    <w:rsid w:val="04101BB7"/>
    <w:rsid w:val="04187EF1"/>
    <w:rsid w:val="042E0790"/>
    <w:rsid w:val="042E253E"/>
    <w:rsid w:val="043A5387"/>
    <w:rsid w:val="04406715"/>
    <w:rsid w:val="04473845"/>
    <w:rsid w:val="045403C1"/>
    <w:rsid w:val="045E5F40"/>
    <w:rsid w:val="04D1089E"/>
    <w:rsid w:val="050B1CD4"/>
    <w:rsid w:val="052D0A47"/>
    <w:rsid w:val="05452235"/>
    <w:rsid w:val="055350E8"/>
    <w:rsid w:val="05720F47"/>
    <w:rsid w:val="057A4C7B"/>
    <w:rsid w:val="0590119C"/>
    <w:rsid w:val="05AD1B88"/>
    <w:rsid w:val="05B13426"/>
    <w:rsid w:val="05C56ED2"/>
    <w:rsid w:val="05EA5EA2"/>
    <w:rsid w:val="064C2576"/>
    <w:rsid w:val="067D77AC"/>
    <w:rsid w:val="06A05249"/>
    <w:rsid w:val="06A967F3"/>
    <w:rsid w:val="06EF599D"/>
    <w:rsid w:val="06F90AE7"/>
    <w:rsid w:val="07195727"/>
    <w:rsid w:val="07541337"/>
    <w:rsid w:val="07C36F54"/>
    <w:rsid w:val="07EC4BEA"/>
    <w:rsid w:val="08122176"/>
    <w:rsid w:val="08BB280E"/>
    <w:rsid w:val="08C14279"/>
    <w:rsid w:val="08E312CF"/>
    <w:rsid w:val="08F60DE6"/>
    <w:rsid w:val="09176551"/>
    <w:rsid w:val="091B51F4"/>
    <w:rsid w:val="09322AD0"/>
    <w:rsid w:val="093979F4"/>
    <w:rsid w:val="093B1401"/>
    <w:rsid w:val="09516E1B"/>
    <w:rsid w:val="0961574F"/>
    <w:rsid w:val="096477B1"/>
    <w:rsid w:val="09880942"/>
    <w:rsid w:val="099A360C"/>
    <w:rsid w:val="09F73516"/>
    <w:rsid w:val="0A117414"/>
    <w:rsid w:val="0A2F247A"/>
    <w:rsid w:val="0A3D172D"/>
    <w:rsid w:val="0A634F0B"/>
    <w:rsid w:val="0A6F3EE9"/>
    <w:rsid w:val="0A8C6210"/>
    <w:rsid w:val="0AEF0818"/>
    <w:rsid w:val="0AF142C5"/>
    <w:rsid w:val="0B1B1342"/>
    <w:rsid w:val="0B26707E"/>
    <w:rsid w:val="0B7A075E"/>
    <w:rsid w:val="0C1110C3"/>
    <w:rsid w:val="0C5C2956"/>
    <w:rsid w:val="0C795822"/>
    <w:rsid w:val="0CA86EA2"/>
    <w:rsid w:val="0CB657C6"/>
    <w:rsid w:val="0CBB595F"/>
    <w:rsid w:val="0CBD7CF1"/>
    <w:rsid w:val="0D046461"/>
    <w:rsid w:val="0D1B5BBD"/>
    <w:rsid w:val="0D35493D"/>
    <w:rsid w:val="0D656F20"/>
    <w:rsid w:val="0D6C68AD"/>
    <w:rsid w:val="0D70006B"/>
    <w:rsid w:val="0D7868C1"/>
    <w:rsid w:val="0D9C570A"/>
    <w:rsid w:val="0D9F6EC3"/>
    <w:rsid w:val="0DF531E1"/>
    <w:rsid w:val="0DF677B9"/>
    <w:rsid w:val="0E4A08BC"/>
    <w:rsid w:val="0E4B1FD4"/>
    <w:rsid w:val="0E576B35"/>
    <w:rsid w:val="0E7E0566"/>
    <w:rsid w:val="0E8029E9"/>
    <w:rsid w:val="0E99714E"/>
    <w:rsid w:val="0E9F3273"/>
    <w:rsid w:val="0EA7297F"/>
    <w:rsid w:val="0F490B74"/>
    <w:rsid w:val="0F56503F"/>
    <w:rsid w:val="0F7835B6"/>
    <w:rsid w:val="0F857FF2"/>
    <w:rsid w:val="0F9F68BB"/>
    <w:rsid w:val="0FE82942"/>
    <w:rsid w:val="10221EE0"/>
    <w:rsid w:val="10725EA8"/>
    <w:rsid w:val="10D61D5D"/>
    <w:rsid w:val="10EF540C"/>
    <w:rsid w:val="10F110E5"/>
    <w:rsid w:val="11023B11"/>
    <w:rsid w:val="11036B00"/>
    <w:rsid w:val="111451B1"/>
    <w:rsid w:val="11750FCE"/>
    <w:rsid w:val="117F087D"/>
    <w:rsid w:val="1188307C"/>
    <w:rsid w:val="118C15CB"/>
    <w:rsid w:val="11B7101A"/>
    <w:rsid w:val="11BA18B5"/>
    <w:rsid w:val="11C24C0D"/>
    <w:rsid w:val="121F1AEC"/>
    <w:rsid w:val="1222745A"/>
    <w:rsid w:val="12423092"/>
    <w:rsid w:val="12503FC7"/>
    <w:rsid w:val="128B4FFF"/>
    <w:rsid w:val="1292339A"/>
    <w:rsid w:val="129D5576"/>
    <w:rsid w:val="12EE6A82"/>
    <w:rsid w:val="12F40DF6"/>
    <w:rsid w:val="13446BA1"/>
    <w:rsid w:val="136441CE"/>
    <w:rsid w:val="139311B9"/>
    <w:rsid w:val="13C91236"/>
    <w:rsid w:val="14407A24"/>
    <w:rsid w:val="1457788F"/>
    <w:rsid w:val="14B52807"/>
    <w:rsid w:val="14BF314D"/>
    <w:rsid w:val="14C36CD2"/>
    <w:rsid w:val="15067DE6"/>
    <w:rsid w:val="15406575"/>
    <w:rsid w:val="15507A0D"/>
    <w:rsid w:val="157B78DE"/>
    <w:rsid w:val="1594709F"/>
    <w:rsid w:val="15B11221"/>
    <w:rsid w:val="15C40F54"/>
    <w:rsid w:val="16130806"/>
    <w:rsid w:val="16545407"/>
    <w:rsid w:val="16704C38"/>
    <w:rsid w:val="16A02C0C"/>
    <w:rsid w:val="172F68A1"/>
    <w:rsid w:val="1767428D"/>
    <w:rsid w:val="177E6371"/>
    <w:rsid w:val="179523B6"/>
    <w:rsid w:val="17B31280"/>
    <w:rsid w:val="17B468C9"/>
    <w:rsid w:val="17DB07D7"/>
    <w:rsid w:val="17DC5E96"/>
    <w:rsid w:val="18122A85"/>
    <w:rsid w:val="18427A2F"/>
    <w:rsid w:val="186604EA"/>
    <w:rsid w:val="18A569D9"/>
    <w:rsid w:val="18B352B0"/>
    <w:rsid w:val="18C748B7"/>
    <w:rsid w:val="18ED431E"/>
    <w:rsid w:val="18FF584C"/>
    <w:rsid w:val="1912647A"/>
    <w:rsid w:val="19131523"/>
    <w:rsid w:val="1932529B"/>
    <w:rsid w:val="195D718E"/>
    <w:rsid w:val="19843FE1"/>
    <w:rsid w:val="19873D9C"/>
    <w:rsid w:val="19BD4767"/>
    <w:rsid w:val="19D21766"/>
    <w:rsid w:val="19EE19D3"/>
    <w:rsid w:val="1A0933D9"/>
    <w:rsid w:val="1A0C2EC9"/>
    <w:rsid w:val="1A2F6BB8"/>
    <w:rsid w:val="1A312930"/>
    <w:rsid w:val="1A3B246E"/>
    <w:rsid w:val="1A5E03B7"/>
    <w:rsid w:val="1AA90718"/>
    <w:rsid w:val="1AB73C00"/>
    <w:rsid w:val="1AF71B85"/>
    <w:rsid w:val="1B8051D3"/>
    <w:rsid w:val="1B812E7F"/>
    <w:rsid w:val="1BAB04C0"/>
    <w:rsid w:val="1BCE21DA"/>
    <w:rsid w:val="1C0C5F1D"/>
    <w:rsid w:val="1C346708"/>
    <w:rsid w:val="1C6E346B"/>
    <w:rsid w:val="1C762014"/>
    <w:rsid w:val="1CA052F9"/>
    <w:rsid w:val="1CA92C52"/>
    <w:rsid w:val="1D083E1C"/>
    <w:rsid w:val="1D1F48E9"/>
    <w:rsid w:val="1D20523A"/>
    <w:rsid w:val="1D282217"/>
    <w:rsid w:val="1D2D5631"/>
    <w:rsid w:val="1DA3702B"/>
    <w:rsid w:val="1DB64506"/>
    <w:rsid w:val="1DED3012"/>
    <w:rsid w:val="1E0068A1"/>
    <w:rsid w:val="1E2527AC"/>
    <w:rsid w:val="1E601A36"/>
    <w:rsid w:val="1E7958F0"/>
    <w:rsid w:val="1E892D3B"/>
    <w:rsid w:val="1E911BEF"/>
    <w:rsid w:val="1EC208A6"/>
    <w:rsid w:val="1F091A51"/>
    <w:rsid w:val="1F104035"/>
    <w:rsid w:val="1F1A1540"/>
    <w:rsid w:val="1F2C467B"/>
    <w:rsid w:val="1F2C66A0"/>
    <w:rsid w:val="1F3955A2"/>
    <w:rsid w:val="1F39747B"/>
    <w:rsid w:val="1F523C25"/>
    <w:rsid w:val="1F933A28"/>
    <w:rsid w:val="1F9C084C"/>
    <w:rsid w:val="1FB02549"/>
    <w:rsid w:val="1FC61D6D"/>
    <w:rsid w:val="1FD01D46"/>
    <w:rsid w:val="1FE14C03"/>
    <w:rsid w:val="200803EE"/>
    <w:rsid w:val="202D6FD9"/>
    <w:rsid w:val="20A16EC3"/>
    <w:rsid w:val="20D009E5"/>
    <w:rsid w:val="20D604CF"/>
    <w:rsid w:val="20E34258"/>
    <w:rsid w:val="210F504D"/>
    <w:rsid w:val="21114909"/>
    <w:rsid w:val="211C60E8"/>
    <w:rsid w:val="21352D06"/>
    <w:rsid w:val="21577120"/>
    <w:rsid w:val="215A3283"/>
    <w:rsid w:val="21764795"/>
    <w:rsid w:val="21821CC3"/>
    <w:rsid w:val="21894E00"/>
    <w:rsid w:val="21BD3BC6"/>
    <w:rsid w:val="21E36440"/>
    <w:rsid w:val="21E8173A"/>
    <w:rsid w:val="21FC0B82"/>
    <w:rsid w:val="220628F4"/>
    <w:rsid w:val="22B568E0"/>
    <w:rsid w:val="22D623FF"/>
    <w:rsid w:val="22E43D8D"/>
    <w:rsid w:val="239E04F4"/>
    <w:rsid w:val="23A423C5"/>
    <w:rsid w:val="23BA3996"/>
    <w:rsid w:val="23EC05FD"/>
    <w:rsid w:val="24145500"/>
    <w:rsid w:val="2453425F"/>
    <w:rsid w:val="24AC7783"/>
    <w:rsid w:val="24D42836"/>
    <w:rsid w:val="252E69B7"/>
    <w:rsid w:val="253A32B3"/>
    <w:rsid w:val="255615F5"/>
    <w:rsid w:val="256718FC"/>
    <w:rsid w:val="2582353C"/>
    <w:rsid w:val="25B7161A"/>
    <w:rsid w:val="25DC7BF4"/>
    <w:rsid w:val="25F04D82"/>
    <w:rsid w:val="26525C14"/>
    <w:rsid w:val="265A4FBD"/>
    <w:rsid w:val="265F6F74"/>
    <w:rsid w:val="268A665F"/>
    <w:rsid w:val="26CA2142"/>
    <w:rsid w:val="26E94BFE"/>
    <w:rsid w:val="26F80720"/>
    <w:rsid w:val="271C3A8D"/>
    <w:rsid w:val="27252BF1"/>
    <w:rsid w:val="276F350C"/>
    <w:rsid w:val="278B601D"/>
    <w:rsid w:val="27C571C0"/>
    <w:rsid w:val="27C840EF"/>
    <w:rsid w:val="27D01665"/>
    <w:rsid w:val="27EB4FAC"/>
    <w:rsid w:val="28033B5E"/>
    <w:rsid w:val="281C2EA7"/>
    <w:rsid w:val="283F2E38"/>
    <w:rsid w:val="284877C3"/>
    <w:rsid w:val="286363AA"/>
    <w:rsid w:val="28760EC1"/>
    <w:rsid w:val="28965108"/>
    <w:rsid w:val="28DE1ED5"/>
    <w:rsid w:val="28F224FC"/>
    <w:rsid w:val="29214018"/>
    <w:rsid w:val="2968189C"/>
    <w:rsid w:val="297F777F"/>
    <w:rsid w:val="299627B0"/>
    <w:rsid w:val="29A05A04"/>
    <w:rsid w:val="29B11398"/>
    <w:rsid w:val="29C410CB"/>
    <w:rsid w:val="29E452C9"/>
    <w:rsid w:val="2A3222AB"/>
    <w:rsid w:val="2A7A2160"/>
    <w:rsid w:val="2AB253C7"/>
    <w:rsid w:val="2B02223C"/>
    <w:rsid w:val="2B082C5B"/>
    <w:rsid w:val="2B336ED3"/>
    <w:rsid w:val="2B471FB3"/>
    <w:rsid w:val="2B730675"/>
    <w:rsid w:val="2C0B1233"/>
    <w:rsid w:val="2C106849"/>
    <w:rsid w:val="2C1856FE"/>
    <w:rsid w:val="2C22032B"/>
    <w:rsid w:val="2C300C99"/>
    <w:rsid w:val="2C7548FE"/>
    <w:rsid w:val="2CA156F3"/>
    <w:rsid w:val="2D085772"/>
    <w:rsid w:val="2D480265"/>
    <w:rsid w:val="2D811081"/>
    <w:rsid w:val="2D8C5315"/>
    <w:rsid w:val="2D95643B"/>
    <w:rsid w:val="2DD5680A"/>
    <w:rsid w:val="2DE106C9"/>
    <w:rsid w:val="2DFB0E33"/>
    <w:rsid w:val="2E2F297F"/>
    <w:rsid w:val="2E39274C"/>
    <w:rsid w:val="2E5F7614"/>
    <w:rsid w:val="2EAC6191"/>
    <w:rsid w:val="2EC4047B"/>
    <w:rsid w:val="2EE6563F"/>
    <w:rsid w:val="2EFC28ED"/>
    <w:rsid w:val="2EFC79F2"/>
    <w:rsid w:val="2F26688E"/>
    <w:rsid w:val="2F4C0A41"/>
    <w:rsid w:val="2F841A5E"/>
    <w:rsid w:val="2F990904"/>
    <w:rsid w:val="2FAD24A1"/>
    <w:rsid w:val="2FB21CDD"/>
    <w:rsid w:val="2FC93956"/>
    <w:rsid w:val="2FD66FEA"/>
    <w:rsid w:val="300E37F4"/>
    <w:rsid w:val="303568A2"/>
    <w:rsid w:val="304759B4"/>
    <w:rsid w:val="3050190A"/>
    <w:rsid w:val="306C7DC6"/>
    <w:rsid w:val="308F3191"/>
    <w:rsid w:val="30C145B6"/>
    <w:rsid w:val="30E64311"/>
    <w:rsid w:val="30F911F5"/>
    <w:rsid w:val="31083F93"/>
    <w:rsid w:val="314C23D2"/>
    <w:rsid w:val="31743D2A"/>
    <w:rsid w:val="31771119"/>
    <w:rsid w:val="31B71515"/>
    <w:rsid w:val="32002A73"/>
    <w:rsid w:val="322518D5"/>
    <w:rsid w:val="324A65A8"/>
    <w:rsid w:val="32933D30"/>
    <w:rsid w:val="32951856"/>
    <w:rsid w:val="329F4483"/>
    <w:rsid w:val="32BF53D9"/>
    <w:rsid w:val="32C21624"/>
    <w:rsid w:val="32DD6DE5"/>
    <w:rsid w:val="33095DA0"/>
    <w:rsid w:val="331A1D5C"/>
    <w:rsid w:val="33233306"/>
    <w:rsid w:val="332538EF"/>
    <w:rsid w:val="333F5C66"/>
    <w:rsid w:val="336D1887"/>
    <w:rsid w:val="339D46F8"/>
    <w:rsid w:val="33D32B48"/>
    <w:rsid w:val="34012F1B"/>
    <w:rsid w:val="34140EA1"/>
    <w:rsid w:val="3490195A"/>
    <w:rsid w:val="34C87539"/>
    <w:rsid w:val="34E11C63"/>
    <w:rsid w:val="35037002"/>
    <w:rsid w:val="35083BE7"/>
    <w:rsid w:val="35147A61"/>
    <w:rsid w:val="354338CC"/>
    <w:rsid w:val="3546508A"/>
    <w:rsid w:val="354F1987"/>
    <w:rsid w:val="35700359"/>
    <w:rsid w:val="35BA7826"/>
    <w:rsid w:val="35DA1FD3"/>
    <w:rsid w:val="35E24941"/>
    <w:rsid w:val="35F02B59"/>
    <w:rsid w:val="360F71D3"/>
    <w:rsid w:val="363D4937"/>
    <w:rsid w:val="36400CEB"/>
    <w:rsid w:val="3640650F"/>
    <w:rsid w:val="366D77FA"/>
    <w:rsid w:val="36820344"/>
    <w:rsid w:val="36913B8F"/>
    <w:rsid w:val="36E47B81"/>
    <w:rsid w:val="36FC747B"/>
    <w:rsid w:val="377203B8"/>
    <w:rsid w:val="3782130C"/>
    <w:rsid w:val="37AD5028"/>
    <w:rsid w:val="37B23DC0"/>
    <w:rsid w:val="37BD53AB"/>
    <w:rsid w:val="37CF5A51"/>
    <w:rsid w:val="37F81A2D"/>
    <w:rsid w:val="381476C1"/>
    <w:rsid w:val="38274CF5"/>
    <w:rsid w:val="384E5709"/>
    <w:rsid w:val="385D3A32"/>
    <w:rsid w:val="389D1436"/>
    <w:rsid w:val="38A6660E"/>
    <w:rsid w:val="38C81AB7"/>
    <w:rsid w:val="38E0546D"/>
    <w:rsid w:val="38E507FA"/>
    <w:rsid w:val="38EC5F48"/>
    <w:rsid w:val="38FD222D"/>
    <w:rsid w:val="390211C1"/>
    <w:rsid w:val="390F0207"/>
    <w:rsid w:val="391F7478"/>
    <w:rsid w:val="392A6A70"/>
    <w:rsid w:val="39363667"/>
    <w:rsid w:val="39391D8C"/>
    <w:rsid w:val="394538AA"/>
    <w:rsid w:val="39700927"/>
    <w:rsid w:val="39BC50E7"/>
    <w:rsid w:val="39D03040"/>
    <w:rsid w:val="39DE74EC"/>
    <w:rsid w:val="39F33306"/>
    <w:rsid w:val="3A41003D"/>
    <w:rsid w:val="3A531190"/>
    <w:rsid w:val="3A6854CC"/>
    <w:rsid w:val="3A8B1BB1"/>
    <w:rsid w:val="3ADE3FB6"/>
    <w:rsid w:val="3AEC4D47"/>
    <w:rsid w:val="3AF410E4"/>
    <w:rsid w:val="3B253993"/>
    <w:rsid w:val="3B297A4D"/>
    <w:rsid w:val="3BC66F24"/>
    <w:rsid w:val="3BDB484F"/>
    <w:rsid w:val="3BF539A4"/>
    <w:rsid w:val="3C2F45AC"/>
    <w:rsid w:val="3C3A521C"/>
    <w:rsid w:val="3C4537E2"/>
    <w:rsid w:val="3C5C570A"/>
    <w:rsid w:val="3C5E7084"/>
    <w:rsid w:val="3C795D45"/>
    <w:rsid w:val="3C9B3F0D"/>
    <w:rsid w:val="3CD87E6D"/>
    <w:rsid w:val="3CFD4BC8"/>
    <w:rsid w:val="3D122381"/>
    <w:rsid w:val="3D235695"/>
    <w:rsid w:val="3D424900"/>
    <w:rsid w:val="3D91083B"/>
    <w:rsid w:val="3D913562"/>
    <w:rsid w:val="3D960010"/>
    <w:rsid w:val="3DBF6634"/>
    <w:rsid w:val="3DC94AAA"/>
    <w:rsid w:val="3DF57B79"/>
    <w:rsid w:val="3E244472"/>
    <w:rsid w:val="3E2747E6"/>
    <w:rsid w:val="3E300685"/>
    <w:rsid w:val="3E4B3711"/>
    <w:rsid w:val="3E595E0B"/>
    <w:rsid w:val="3E8C2EA8"/>
    <w:rsid w:val="3EAD352C"/>
    <w:rsid w:val="3EC62C18"/>
    <w:rsid w:val="3F0F6C24"/>
    <w:rsid w:val="3F195722"/>
    <w:rsid w:val="3F1C2D07"/>
    <w:rsid w:val="3F7E303A"/>
    <w:rsid w:val="3FA70E1B"/>
    <w:rsid w:val="3FC6067B"/>
    <w:rsid w:val="3FCC4E39"/>
    <w:rsid w:val="3FD55988"/>
    <w:rsid w:val="40146815"/>
    <w:rsid w:val="401E545D"/>
    <w:rsid w:val="40354679"/>
    <w:rsid w:val="4046433E"/>
    <w:rsid w:val="40577F27"/>
    <w:rsid w:val="405D632C"/>
    <w:rsid w:val="408625E5"/>
    <w:rsid w:val="40B03CFF"/>
    <w:rsid w:val="40B95628"/>
    <w:rsid w:val="40DD0AA9"/>
    <w:rsid w:val="40E8793D"/>
    <w:rsid w:val="412C5A7C"/>
    <w:rsid w:val="415709EC"/>
    <w:rsid w:val="41735459"/>
    <w:rsid w:val="418C02C8"/>
    <w:rsid w:val="419B6404"/>
    <w:rsid w:val="41D81894"/>
    <w:rsid w:val="41F26E27"/>
    <w:rsid w:val="420B40E0"/>
    <w:rsid w:val="422155C4"/>
    <w:rsid w:val="42416F43"/>
    <w:rsid w:val="426508F2"/>
    <w:rsid w:val="4269141F"/>
    <w:rsid w:val="427D5567"/>
    <w:rsid w:val="429F227D"/>
    <w:rsid w:val="42E27607"/>
    <w:rsid w:val="42EF56FC"/>
    <w:rsid w:val="43095949"/>
    <w:rsid w:val="43284021"/>
    <w:rsid w:val="433810BF"/>
    <w:rsid w:val="433C7ACC"/>
    <w:rsid w:val="433E4180"/>
    <w:rsid w:val="436314FD"/>
    <w:rsid w:val="43844A8D"/>
    <w:rsid w:val="43D56037"/>
    <w:rsid w:val="43DF5B69"/>
    <w:rsid w:val="43E97FDE"/>
    <w:rsid w:val="43FD560E"/>
    <w:rsid w:val="44121145"/>
    <w:rsid w:val="4416031D"/>
    <w:rsid w:val="443609BF"/>
    <w:rsid w:val="443B611F"/>
    <w:rsid w:val="4454377A"/>
    <w:rsid w:val="44761B1B"/>
    <w:rsid w:val="447C2876"/>
    <w:rsid w:val="44825D66"/>
    <w:rsid w:val="44E6604F"/>
    <w:rsid w:val="44FE6E4F"/>
    <w:rsid w:val="450A2BB8"/>
    <w:rsid w:val="45303FE5"/>
    <w:rsid w:val="45743BCA"/>
    <w:rsid w:val="45AA6F2D"/>
    <w:rsid w:val="45C10D70"/>
    <w:rsid w:val="45C14B6C"/>
    <w:rsid w:val="45D43FEC"/>
    <w:rsid w:val="45D8518E"/>
    <w:rsid w:val="45EA7371"/>
    <w:rsid w:val="45F8679F"/>
    <w:rsid w:val="45FA0D0B"/>
    <w:rsid w:val="46160AA8"/>
    <w:rsid w:val="46641814"/>
    <w:rsid w:val="46842982"/>
    <w:rsid w:val="46B310A6"/>
    <w:rsid w:val="46D02A05"/>
    <w:rsid w:val="46F954C9"/>
    <w:rsid w:val="471F7129"/>
    <w:rsid w:val="47280A93"/>
    <w:rsid w:val="47596E9F"/>
    <w:rsid w:val="47703CF4"/>
    <w:rsid w:val="477A4EA8"/>
    <w:rsid w:val="47AA6646"/>
    <w:rsid w:val="47AE1078"/>
    <w:rsid w:val="47BA5463"/>
    <w:rsid w:val="47E30E5E"/>
    <w:rsid w:val="4803505C"/>
    <w:rsid w:val="48056E5E"/>
    <w:rsid w:val="48084C71"/>
    <w:rsid w:val="485A2984"/>
    <w:rsid w:val="486A6DF0"/>
    <w:rsid w:val="487235A7"/>
    <w:rsid w:val="489650B8"/>
    <w:rsid w:val="48A1626A"/>
    <w:rsid w:val="48A32A06"/>
    <w:rsid w:val="48D533DB"/>
    <w:rsid w:val="48E704DA"/>
    <w:rsid w:val="49051B21"/>
    <w:rsid w:val="491018AF"/>
    <w:rsid w:val="49323566"/>
    <w:rsid w:val="49412797"/>
    <w:rsid w:val="494A511F"/>
    <w:rsid w:val="496122D3"/>
    <w:rsid w:val="496D2E4E"/>
    <w:rsid w:val="499A72FA"/>
    <w:rsid w:val="49AA023D"/>
    <w:rsid w:val="49C61CC3"/>
    <w:rsid w:val="49CD5922"/>
    <w:rsid w:val="49E24B15"/>
    <w:rsid w:val="4A0D3F70"/>
    <w:rsid w:val="4A1368BF"/>
    <w:rsid w:val="4A7F3599"/>
    <w:rsid w:val="4AFD3FE5"/>
    <w:rsid w:val="4B00472D"/>
    <w:rsid w:val="4B2969B8"/>
    <w:rsid w:val="4B7A5B4A"/>
    <w:rsid w:val="4B810772"/>
    <w:rsid w:val="4B83098E"/>
    <w:rsid w:val="4B90143B"/>
    <w:rsid w:val="4B9F509C"/>
    <w:rsid w:val="4C237A7B"/>
    <w:rsid w:val="4C2537F3"/>
    <w:rsid w:val="4C4C07F6"/>
    <w:rsid w:val="4C534154"/>
    <w:rsid w:val="4CAD4014"/>
    <w:rsid w:val="4CC8666A"/>
    <w:rsid w:val="4CD07C03"/>
    <w:rsid w:val="4CDA552C"/>
    <w:rsid w:val="4CDE094D"/>
    <w:rsid w:val="4CFB27A6"/>
    <w:rsid w:val="4CFD4F7F"/>
    <w:rsid w:val="4CFE07AC"/>
    <w:rsid w:val="4D0C49B3"/>
    <w:rsid w:val="4D3F08E5"/>
    <w:rsid w:val="4D53613E"/>
    <w:rsid w:val="4D7B566F"/>
    <w:rsid w:val="4D8D2C98"/>
    <w:rsid w:val="4DB7491F"/>
    <w:rsid w:val="4DC030AB"/>
    <w:rsid w:val="4DE70B18"/>
    <w:rsid w:val="4E22162D"/>
    <w:rsid w:val="4E3C3076"/>
    <w:rsid w:val="4E4867CA"/>
    <w:rsid w:val="4E5C54C6"/>
    <w:rsid w:val="4E832A53"/>
    <w:rsid w:val="4E9234C3"/>
    <w:rsid w:val="4EC512BE"/>
    <w:rsid w:val="4F0E5CA5"/>
    <w:rsid w:val="4FCC21D8"/>
    <w:rsid w:val="4FD615AF"/>
    <w:rsid w:val="4FDC79E2"/>
    <w:rsid w:val="4FF43C08"/>
    <w:rsid w:val="502F41A2"/>
    <w:rsid w:val="504479E3"/>
    <w:rsid w:val="508A00C9"/>
    <w:rsid w:val="509251CF"/>
    <w:rsid w:val="50D6330E"/>
    <w:rsid w:val="51256043"/>
    <w:rsid w:val="517D2033"/>
    <w:rsid w:val="5181771E"/>
    <w:rsid w:val="51B003BE"/>
    <w:rsid w:val="51B4012F"/>
    <w:rsid w:val="51B573C7"/>
    <w:rsid w:val="521B540F"/>
    <w:rsid w:val="52262073"/>
    <w:rsid w:val="523E6BBC"/>
    <w:rsid w:val="528B5D4F"/>
    <w:rsid w:val="52903990"/>
    <w:rsid w:val="529945F3"/>
    <w:rsid w:val="52E11E52"/>
    <w:rsid w:val="52F263F9"/>
    <w:rsid w:val="53390C3A"/>
    <w:rsid w:val="53760DD8"/>
    <w:rsid w:val="53B27BB7"/>
    <w:rsid w:val="53CB2ED2"/>
    <w:rsid w:val="53DD0B4E"/>
    <w:rsid w:val="53EE772D"/>
    <w:rsid w:val="541C54DC"/>
    <w:rsid w:val="542D135B"/>
    <w:rsid w:val="543C7C24"/>
    <w:rsid w:val="545C7FCE"/>
    <w:rsid w:val="54BE47E5"/>
    <w:rsid w:val="54D87473"/>
    <w:rsid w:val="54DF5727"/>
    <w:rsid w:val="54FE2E33"/>
    <w:rsid w:val="5539547F"/>
    <w:rsid w:val="55755617"/>
    <w:rsid w:val="55886BA1"/>
    <w:rsid w:val="55A45BD8"/>
    <w:rsid w:val="55C1657C"/>
    <w:rsid w:val="562025C2"/>
    <w:rsid w:val="562E4368"/>
    <w:rsid w:val="564B25B6"/>
    <w:rsid w:val="56576C9F"/>
    <w:rsid w:val="567C04B4"/>
    <w:rsid w:val="56824254"/>
    <w:rsid w:val="56902FD1"/>
    <w:rsid w:val="569D7705"/>
    <w:rsid w:val="569E238C"/>
    <w:rsid w:val="56A56F96"/>
    <w:rsid w:val="56B30171"/>
    <w:rsid w:val="56CB31E9"/>
    <w:rsid w:val="57174680"/>
    <w:rsid w:val="571D5BC5"/>
    <w:rsid w:val="5737087F"/>
    <w:rsid w:val="5750429E"/>
    <w:rsid w:val="575E5E0B"/>
    <w:rsid w:val="57626E74"/>
    <w:rsid w:val="578C19A9"/>
    <w:rsid w:val="579A6A20"/>
    <w:rsid w:val="58030690"/>
    <w:rsid w:val="582878DF"/>
    <w:rsid w:val="5852431F"/>
    <w:rsid w:val="585316E8"/>
    <w:rsid w:val="585D3E03"/>
    <w:rsid w:val="58BC1855"/>
    <w:rsid w:val="58F65638"/>
    <w:rsid w:val="590D1897"/>
    <w:rsid w:val="592F5CB1"/>
    <w:rsid w:val="59340387"/>
    <w:rsid w:val="593530F2"/>
    <w:rsid w:val="598903E7"/>
    <w:rsid w:val="598C212C"/>
    <w:rsid w:val="59A65848"/>
    <w:rsid w:val="59AC5554"/>
    <w:rsid w:val="59B937CD"/>
    <w:rsid w:val="5A0544D6"/>
    <w:rsid w:val="5A216A20"/>
    <w:rsid w:val="5A3A6E64"/>
    <w:rsid w:val="5A9C5A5D"/>
    <w:rsid w:val="5AA1318C"/>
    <w:rsid w:val="5AAC3332"/>
    <w:rsid w:val="5AAF3F4B"/>
    <w:rsid w:val="5ACB1A0A"/>
    <w:rsid w:val="5B3475AF"/>
    <w:rsid w:val="5B44356A"/>
    <w:rsid w:val="5B5B394A"/>
    <w:rsid w:val="5B9444F1"/>
    <w:rsid w:val="5C0623D8"/>
    <w:rsid w:val="5C3A4DBE"/>
    <w:rsid w:val="5C78171D"/>
    <w:rsid w:val="5C9C1F7A"/>
    <w:rsid w:val="5CCC1A69"/>
    <w:rsid w:val="5D0C00B7"/>
    <w:rsid w:val="5D347D3A"/>
    <w:rsid w:val="5D651CDC"/>
    <w:rsid w:val="5D924A61"/>
    <w:rsid w:val="5D972077"/>
    <w:rsid w:val="5DBE7604"/>
    <w:rsid w:val="5DC5134D"/>
    <w:rsid w:val="5DC855E3"/>
    <w:rsid w:val="5DEB4609"/>
    <w:rsid w:val="5DF213F1"/>
    <w:rsid w:val="5DFB460D"/>
    <w:rsid w:val="5E1016DA"/>
    <w:rsid w:val="5E4E6BDA"/>
    <w:rsid w:val="5E5341F0"/>
    <w:rsid w:val="5E662C96"/>
    <w:rsid w:val="5E77523A"/>
    <w:rsid w:val="5E7A5C21"/>
    <w:rsid w:val="5E9D1993"/>
    <w:rsid w:val="5F0279C4"/>
    <w:rsid w:val="5F1576F7"/>
    <w:rsid w:val="5F2D0BA6"/>
    <w:rsid w:val="5F3062DF"/>
    <w:rsid w:val="5F6C401A"/>
    <w:rsid w:val="5F804302"/>
    <w:rsid w:val="5F9B50AD"/>
    <w:rsid w:val="5FA8056B"/>
    <w:rsid w:val="5FA86C07"/>
    <w:rsid w:val="5FD259F9"/>
    <w:rsid w:val="5FDD2B3A"/>
    <w:rsid w:val="5FE84937"/>
    <w:rsid w:val="5FEC1F0A"/>
    <w:rsid w:val="601479AF"/>
    <w:rsid w:val="606A1F45"/>
    <w:rsid w:val="60E05F15"/>
    <w:rsid w:val="60E530F9"/>
    <w:rsid w:val="610E08A2"/>
    <w:rsid w:val="615C785F"/>
    <w:rsid w:val="618667F7"/>
    <w:rsid w:val="61974A55"/>
    <w:rsid w:val="61A62964"/>
    <w:rsid w:val="622E4597"/>
    <w:rsid w:val="62791D4B"/>
    <w:rsid w:val="627B3D15"/>
    <w:rsid w:val="628D3A49"/>
    <w:rsid w:val="62B25DC7"/>
    <w:rsid w:val="62B62F9F"/>
    <w:rsid w:val="62B92A90"/>
    <w:rsid w:val="62D41677"/>
    <w:rsid w:val="639F6592"/>
    <w:rsid w:val="63BC2837"/>
    <w:rsid w:val="63C401DD"/>
    <w:rsid w:val="63CF1338"/>
    <w:rsid w:val="63F57AF7"/>
    <w:rsid w:val="646D3183"/>
    <w:rsid w:val="64726F43"/>
    <w:rsid w:val="648570CD"/>
    <w:rsid w:val="64A227CA"/>
    <w:rsid w:val="64A55079"/>
    <w:rsid w:val="64BC7BAE"/>
    <w:rsid w:val="64D3579B"/>
    <w:rsid w:val="64DD35B1"/>
    <w:rsid w:val="64E57B6C"/>
    <w:rsid w:val="64F60C26"/>
    <w:rsid w:val="651A5C23"/>
    <w:rsid w:val="652642B8"/>
    <w:rsid w:val="656A5114"/>
    <w:rsid w:val="65847385"/>
    <w:rsid w:val="65B11292"/>
    <w:rsid w:val="65B366BA"/>
    <w:rsid w:val="65BA75C8"/>
    <w:rsid w:val="65E51077"/>
    <w:rsid w:val="661A4B91"/>
    <w:rsid w:val="668138C4"/>
    <w:rsid w:val="66833198"/>
    <w:rsid w:val="66BF4C99"/>
    <w:rsid w:val="670C65D6"/>
    <w:rsid w:val="67423054"/>
    <w:rsid w:val="67483640"/>
    <w:rsid w:val="676B07FC"/>
    <w:rsid w:val="677F1909"/>
    <w:rsid w:val="67920993"/>
    <w:rsid w:val="67A04E3D"/>
    <w:rsid w:val="67B17675"/>
    <w:rsid w:val="67B4673E"/>
    <w:rsid w:val="67EC3760"/>
    <w:rsid w:val="682C3AD4"/>
    <w:rsid w:val="68442DFB"/>
    <w:rsid w:val="68613679"/>
    <w:rsid w:val="68727968"/>
    <w:rsid w:val="68760E89"/>
    <w:rsid w:val="68AB2E7A"/>
    <w:rsid w:val="68BA153C"/>
    <w:rsid w:val="68C47A98"/>
    <w:rsid w:val="68EA39A3"/>
    <w:rsid w:val="68F04364"/>
    <w:rsid w:val="68FB5CC4"/>
    <w:rsid w:val="6922138F"/>
    <w:rsid w:val="69642093"/>
    <w:rsid w:val="69EF1C7F"/>
    <w:rsid w:val="6A0C5BB7"/>
    <w:rsid w:val="6A154A4F"/>
    <w:rsid w:val="6A303637"/>
    <w:rsid w:val="6A915DF3"/>
    <w:rsid w:val="6AAF6C52"/>
    <w:rsid w:val="6AF9199E"/>
    <w:rsid w:val="6B5C7C76"/>
    <w:rsid w:val="6B6A7665"/>
    <w:rsid w:val="6B9D6AAA"/>
    <w:rsid w:val="6BA0144E"/>
    <w:rsid w:val="6C0B643D"/>
    <w:rsid w:val="6C1825D5"/>
    <w:rsid w:val="6C1A00FB"/>
    <w:rsid w:val="6C2216A6"/>
    <w:rsid w:val="6C2C7E2E"/>
    <w:rsid w:val="6C4B4758"/>
    <w:rsid w:val="6CBC7404"/>
    <w:rsid w:val="6CD26C28"/>
    <w:rsid w:val="6D2C0311"/>
    <w:rsid w:val="6D314E05"/>
    <w:rsid w:val="6D3671B7"/>
    <w:rsid w:val="6D4D22D2"/>
    <w:rsid w:val="6DA00AD4"/>
    <w:rsid w:val="6DB1683D"/>
    <w:rsid w:val="6DBF45BF"/>
    <w:rsid w:val="6DE2733E"/>
    <w:rsid w:val="6E1D536C"/>
    <w:rsid w:val="6E2B0B07"/>
    <w:rsid w:val="6E4542A4"/>
    <w:rsid w:val="6E4C0C5C"/>
    <w:rsid w:val="6E851A78"/>
    <w:rsid w:val="6EA75E92"/>
    <w:rsid w:val="6EAB4561"/>
    <w:rsid w:val="6EED1AF7"/>
    <w:rsid w:val="6F616041"/>
    <w:rsid w:val="6F7264A0"/>
    <w:rsid w:val="6F9E7295"/>
    <w:rsid w:val="6FA50623"/>
    <w:rsid w:val="6FB30672"/>
    <w:rsid w:val="70741870"/>
    <w:rsid w:val="70A47889"/>
    <w:rsid w:val="70DC38F7"/>
    <w:rsid w:val="71297032"/>
    <w:rsid w:val="71306613"/>
    <w:rsid w:val="714A395B"/>
    <w:rsid w:val="71FA5E12"/>
    <w:rsid w:val="71FB277D"/>
    <w:rsid w:val="722C0B88"/>
    <w:rsid w:val="7238577F"/>
    <w:rsid w:val="72513B7B"/>
    <w:rsid w:val="72677016"/>
    <w:rsid w:val="72895FDA"/>
    <w:rsid w:val="72BF19FC"/>
    <w:rsid w:val="72D22688"/>
    <w:rsid w:val="72EF331E"/>
    <w:rsid w:val="73357F10"/>
    <w:rsid w:val="733A434A"/>
    <w:rsid w:val="734F2F9E"/>
    <w:rsid w:val="736E51D0"/>
    <w:rsid w:val="737722D7"/>
    <w:rsid w:val="73860E12"/>
    <w:rsid w:val="73C53042"/>
    <w:rsid w:val="73F27EF4"/>
    <w:rsid w:val="73F76F74"/>
    <w:rsid w:val="74406B6D"/>
    <w:rsid w:val="744B4275"/>
    <w:rsid w:val="748527D2"/>
    <w:rsid w:val="749271F3"/>
    <w:rsid w:val="7498334F"/>
    <w:rsid w:val="74C8055A"/>
    <w:rsid w:val="74C96B62"/>
    <w:rsid w:val="74FA4F6E"/>
    <w:rsid w:val="74FA6600"/>
    <w:rsid w:val="750E6C6B"/>
    <w:rsid w:val="75114065"/>
    <w:rsid w:val="75241FEA"/>
    <w:rsid w:val="75D64A4F"/>
    <w:rsid w:val="76227727"/>
    <w:rsid w:val="762B2267"/>
    <w:rsid w:val="762F6E99"/>
    <w:rsid w:val="76B01217"/>
    <w:rsid w:val="76DE1497"/>
    <w:rsid w:val="76F82B81"/>
    <w:rsid w:val="770725FA"/>
    <w:rsid w:val="772E7150"/>
    <w:rsid w:val="77A21895"/>
    <w:rsid w:val="77CC50DF"/>
    <w:rsid w:val="77F4039A"/>
    <w:rsid w:val="782D1944"/>
    <w:rsid w:val="784B5AE0"/>
    <w:rsid w:val="785A709F"/>
    <w:rsid w:val="786171CD"/>
    <w:rsid w:val="788A485A"/>
    <w:rsid w:val="78B4367F"/>
    <w:rsid w:val="7919746E"/>
    <w:rsid w:val="795E31C8"/>
    <w:rsid w:val="79627585"/>
    <w:rsid w:val="79853FBD"/>
    <w:rsid w:val="79B82F8A"/>
    <w:rsid w:val="7A532160"/>
    <w:rsid w:val="7A96669D"/>
    <w:rsid w:val="7AB44136"/>
    <w:rsid w:val="7AB756AF"/>
    <w:rsid w:val="7AC0620F"/>
    <w:rsid w:val="7AE75F94"/>
    <w:rsid w:val="7AEB706A"/>
    <w:rsid w:val="7B05641A"/>
    <w:rsid w:val="7B35055F"/>
    <w:rsid w:val="7B453A59"/>
    <w:rsid w:val="7B5C5D8A"/>
    <w:rsid w:val="7B881AD9"/>
    <w:rsid w:val="7BCD7445"/>
    <w:rsid w:val="7BF15108"/>
    <w:rsid w:val="7C580C2D"/>
    <w:rsid w:val="7C6F7552"/>
    <w:rsid w:val="7C7750F6"/>
    <w:rsid w:val="7C780AA3"/>
    <w:rsid w:val="7C935723"/>
    <w:rsid w:val="7C9A7858"/>
    <w:rsid w:val="7C9D34C4"/>
    <w:rsid w:val="7CAD6D69"/>
    <w:rsid w:val="7CD335AB"/>
    <w:rsid w:val="7D256900"/>
    <w:rsid w:val="7D7B648E"/>
    <w:rsid w:val="7D8F021D"/>
    <w:rsid w:val="7DC73E5B"/>
    <w:rsid w:val="7E556AAE"/>
    <w:rsid w:val="7EA65570"/>
    <w:rsid w:val="7EB10D93"/>
    <w:rsid w:val="7F17496E"/>
    <w:rsid w:val="7F2D7CEE"/>
    <w:rsid w:val="7F360DB0"/>
    <w:rsid w:val="7FB46BB3"/>
    <w:rsid w:val="7FD10FC1"/>
    <w:rsid w:val="7FDA73B3"/>
    <w:rsid w:val="7FE01EB9"/>
    <w:rsid w:val="7FEA779A"/>
    <w:rsid w:val="7FFB79E6"/>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qFormat="1" w:unhideWhenUsed="0" w:uiPriority="99"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5"/>
    <w:autoRedefine/>
    <w:qFormat/>
    <w:uiPriority w:val="0"/>
    <w:pPr>
      <w:keepNext/>
      <w:keepLines/>
      <w:spacing w:before="340" w:after="330" w:line="360" w:lineRule="auto"/>
      <w:jc w:val="center"/>
      <w:outlineLvl w:val="0"/>
    </w:pPr>
    <w:rPr>
      <w:b/>
      <w:bCs/>
      <w:kern w:val="44"/>
      <w:sz w:val="24"/>
      <w:szCs w:val="44"/>
    </w:rPr>
  </w:style>
  <w:style w:type="paragraph" w:styleId="2">
    <w:name w:val="heading 2"/>
    <w:basedOn w:val="1"/>
    <w:next w:val="1"/>
    <w:autoRedefine/>
    <w:qFormat/>
    <w:uiPriority w:val="0"/>
    <w:pPr>
      <w:keepNext/>
      <w:keepLines/>
      <w:spacing w:before="260" w:after="260"/>
      <w:jc w:val="left"/>
      <w:outlineLvl w:val="1"/>
    </w:pPr>
    <w:rPr>
      <w:rFonts w:ascii="Arial" w:hAnsi="Arial"/>
      <w:b/>
      <w:bCs/>
      <w:sz w:val="24"/>
      <w:szCs w:val="32"/>
    </w:rPr>
  </w:style>
  <w:style w:type="paragraph" w:styleId="4">
    <w:name w:val="heading 3"/>
    <w:basedOn w:val="1"/>
    <w:next w:val="1"/>
    <w:autoRedefine/>
    <w:qFormat/>
    <w:uiPriority w:val="0"/>
    <w:pPr>
      <w:keepNext/>
      <w:keepLines/>
      <w:spacing w:before="260" w:after="260" w:line="413" w:lineRule="auto"/>
      <w:outlineLvl w:val="2"/>
    </w:pPr>
    <w:rPr>
      <w:b/>
      <w:bCs/>
      <w:sz w:val="32"/>
      <w:szCs w:val="32"/>
    </w:rPr>
  </w:style>
  <w:style w:type="paragraph" w:styleId="5">
    <w:name w:val="heading 4"/>
    <w:basedOn w:val="1"/>
    <w:next w:val="1"/>
    <w:link w:val="83"/>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35"/>
    <w:autoRedefine/>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link w:val="107"/>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144"/>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9"/>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164"/>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60"/>
      <w:jc w:val="left"/>
    </w:pPr>
    <w:rPr>
      <w:sz w:val="18"/>
      <w:szCs w:val="18"/>
    </w:rPr>
  </w:style>
  <w:style w:type="paragraph" w:styleId="12">
    <w:name w:val="Note Heading"/>
    <w:basedOn w:val="1"/>
    <w:next w:val="1"/>
    <w:autoRedefine/>
    <w:qFormat/>
    <w:uiPriority w:val="99"/>
    <w:pPr>
      <w:jc w:val="center"/>
    </w:pPr>
    <w:rPr>
      <w:szCs w:val="20"/>
    </w:rPr>
  </w:style>
  <w:style w:type="paragraph" w:styleId="13">
    <w:name w:val="Normal Indent"/>
    <w:basedOn w:val="1"/>
    <w:autoRedefine/>
    <w:qFormat/>
    <w:uiPriority w:val="0"/>
    <w:pPr>
      <w:ind w:firstLine="420" w:firstLineChars="200"/>
    </w:pPr>
  </w:style>
  <w:style w:type="paragraph" w:styleId="14">
    <w:name w:val="Document Map"/>
    <w:basedOn w:val="1"/>
    <w:link w:val="173"/>
    <w:autoRedefine/>
    <w:qFormat/>
    <w:uiPriority w:val="0"/>
    <w:pPr>
      <w:shd w:val="clear" w:color="auto" w:fill="000080"/>
    </w:pPr>
  </w:style>
  <w:style w:type="paragraph" w:styleId="15">
    <w:name w:val="annotation text"/>
    <w:basedOn w:val="1"/>
    <w:link w:val="147"/>
    <w:autoRedefine/>
    <w:qFormat/>
    <w:uiPriority w:val="0"/>
    <w:pPr>
      <w:jc w:val="left"/>
    </w:pPr>
  </w:style>
  <w:style w:type="paragraph" w:styleId="16">
    <w:name w:val="Body Text 3"/>
    <w:basedOn w:val="1"/>
    <w:link w:val="129"/>
    <w:autoRedefine/>
    <w:qFormat/>
    <w:uiPriority w:val="0"/>
    <w:rPr>
      <w:rFonts w:ascii="宋体"/>
      <w:sz w:val="24"/>
      <w:szCs w:val="20"/>
    </w:rPr>
  </w:style>
  <w:style w:type="paragraph" w:styleId="17">
    <w:name w:val="Body Text"/>
    <w:basedOn w:val="1"/>
    <w:next w:val="1"/>
    <w:link w:val="132"/>
    <w:autoRedefine/>
    <w:qFormat/>
    <w:uiPriority w:val="0"/>
    <w:pPr>
      <w:jc w:val="center"/>
    </w:pPr>
    <w:rPr>
      <w:b/>
      <w:bCs/>
      <w:sz w:val="44"/>
      <w:szCs w:val="20"/>
    </w:rPr>
  </w:style>
  <w:style w:type="paragraph" w:styleId="18">
    <w:name w:val="Body Text Indent"/>
    <w:basedOn w:val="1"/>
    <w:next w:val="19"/>
    <w:link w:val="114"/>
    <w:autoRedefine/>
    <w:qFormat/>
    <w:uiPriority w:val="0"/>
    <w:pPr>
      <w:spacing w:line="500" w:lineRule="exact"/>
      <w:ind w:firstLine="538"/>
    </w:pPr>
    <w:rPr>
      <w:sz w:val="28"/>
    </w:rPr>
  </w:style>
  <w:style w:type="paragraph" w:styleId="19">
    <w:name w:val="envelope return"/>
    <w:basedOn w:val="1"/>
    <w:next w:val="11"/>
    <w:autoRedefine/>
    <w:qFormat/>
    <w:uiPriority w:val="0"/>
    <w:pPr>
      <w:snapToGrid w:val="0"/>
    </w:pPr>
    <w:rPr>
      <w:rFonts w:ascii="Arial" w:hAnsi="Arial"/>
    </w:rPr>
  </w:style>
  <w:style w:type="paragraph" w:styleId="20">
    <w:name w:val="List Continue"/>
    <w:basedOn w:val="1"/>
    <w:autoRedefine/>
    <w:qFormat/>
    <w:uiPriority w:val="0"/>
    <w:pPr>
      <w:spacing w:after="120"/>
      <w:ind w:left="420"/>
    </w:pPr>
  </w:style>
  <w:style w:type="paragraph" w:styleId="21">
    <w:name w:val="Block Text"/>
    <w:basedOn w:val="1"/>
    <w:next w:val="17"/>
    <w:autoRedefine/>
    <w:qFormat/>
    <w:uiPriority w:val="0"/>
    <w:pPr>
      <w:spacing w:line="400" w:lineRule="exact"/>
      <w:ind w:left="-359" w:leftChars="-171" w:right="31" w:rightChars="15" w:firstLine="980" w:firstLineChars="350"/>
    </w:pPr>
    <w:rPr>
      <w:rFonts w:ascii="宋体" w:hAnsi="宋体"/>
      <w:sz w:val="28"/>
      <w:szCs w:val="32"/>
    </w:rPr>
  </w:style>
  <w:style w:type="paragraph" w:styleId="22">
    <w:name w:val="toc 5"/>
    <w:basedOn w:val="1"/>
    <w:next w:val="1"/>
    <w:autoRedefine/>
    <w:qFormat/>
    <w:uiPriority w:val="0"/>
    <w:pPr>
      <w:ind w:left="840"/>
      <w:jc w:val="left"/>
    </w:pPr>
    <w:rPr>
      <w:sz w:val="18"/>
      <w:szCs w:val="18"/>
    </w:rPr>
  </w:style>
  <w:style w:type="paragraph" w:styleId="23">
    <w:name w:val="toc 3"/>
    <w:basedOn w:val="1"/>
    <w:next w:val="1"/>
    <w:autoRedefine/>
    <w:qFormat/>
    <w:uiPriority w:val="0"/>
    <w:pPr>
      <w:ind w:left="420"/>
      <w:jc w:val="left"/>
    </w:pPr>
    <w:rPr>
      <w:i/>
      <w:iCs/>
      <w:sz w:val="20"/>
      <w:szCs w:val="20"/>
    </w:rPr>
  </w:style>
  <w:style w:type="paragraph" w:styleId="24">
    <w:name w:val="Plain Text"/>
    <w:basedOn w:val="1"/>
    <w:link w:val="126"/>
    <w:autoRedefine/>
    <w:qFormat/>
    <w:uiPriority w:val="0"/>
    <w:rPr>
      <w:rFonts w:ascii="Courier New" w:hAnsi="Courier New"/>
      <w:szCs w:val="20"/>
    </w:rPr>
  </w:style>
  <w:style w:type="paragraph" w:styleId="25">
    <w:name w:val="toc 8"/>
    <w:basedOn w:val="1"/>
    <w:next w:val="1"/>
    <w:autoRedefine/>
    <w:qFormat/>
    <w:uiPriority w:val="0"/>
    <w:pPr>
      <w:ind w:left="1470"/>
      <w:jc w:val="left"/>
    </w:pPr>
    <w:rPr>
      <w:sz w:val="18"/>
      <w:szCs w:val="18"/>
    </w:rPr>
  </w:style>
  <w:style w:type="paragraph" w:styleId="26">
    <w:name w:val="Date"/>
    <w:basedOn w:val="1"/>
    <w:next w:val="1"/>
    <w:link w:val="168"/>
    <w:autoRedefine/>
    <w:qFormat/>
    <w:uiPriority w:val="0"/>
    <w:rPr>
      <w:rFonts w:ascii="仿宋_GB2312" w:eastAsia="仿宋_GB2312"/>
      <w:sz w:val="30"/>
    </w:rPr>
  </w:style>
  <w:style w:type="paragraph" w:styleId="27">
    <w:name w:val="Body Text Indent 2"/>
    <w:basedOn w:val="1"/>
    <w:autoRedefine/>
    <w:qFormat/>
    <w:uiPriority w:val="0"/>
    <w:pPr>
      <w:spacing w:line="360" w:lineRule="exact"/>
      <w:ind w:firstLine="600" w:firstLineChars="250"/>
      <w:jc w:val="left"/>
    </w:pPr>
    <w:rPr>
      <w:sz w:val="24"/>
    </w:rPr>
  </w:style>
  <w:style w:type="paragraph" w:styleId="28">
    <w:name w:val="Balloon Text"/>
    <w:basedOn w:val="1"/>
    <w:link w:val="119"/>
    <w:autoRedefine/>
    <w:qFormat/>
    <w:uiPriority w:val="0"/>
    <w:rPr>
      <w:sz w:val="18"/>
      <w:szCs w:val="18"/>
    </w:rPr>
  </w:style>
  <w:style w:type="paragraph" w:styleId="29">
    <w:name w:val="footer"/>
    <w:basedOn w:val="1"/>
    <w:link w:val="70"/>
    <w:autoRedefine/>
    <w:qFormat/>
    <w:uiPriority w:val="0"/>
    <w:pPr>
      <w:tabs>
        <w:tab w:val="center" w:pos="4153"/>
        <w:tab w:val="right" w:pos="8306"/>
      </w:tabs>
      <w:snapToGrid w:val="0"/>
      <w:jc w:val="left"/>
    </w:pPr>
    <w:rPr>
      <w:sz w:val="18"/>
      <w:szCs w:val="18"/>
    </w:rPr>
  </w:style>
  <w:style w:type="paragraph" w:styleId="30">
    <w:name w:val="header"/>
    <w:basedOn w:val="1"/>
    <w:link w:val="18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0"/>
    <w:pPr>
      <w:spacing w:before="120" w:after="120"/>
      <w:jc w:val="left"/>
    </w:pPr>
    <w:rPr>
      <w:b/>
      <w:bCs/>
      <w:caps/>
      <w:sz w:val="20"/>
      <w:szCs w:val="20"/>
    </w:rPr>
  </w:style>
  <w:style w:type="paragraph" w:styleId="32">
    <w:name w:val="toc 4"/>
    <w:basedOn w:val="1"/>
    <w:next w:val="1"/>
    <w:autoRedefine/>
    <w:qFormat/>
    <w:uiPriority w:val="0"/>
    <w:pPr>
      <w:ind w:left="630"/>
      <w:jc w:val="left"/>
    </w:pPr>
    <w:rPr>
      <w:sz w:val="18"/>
      <w:szCs w:val="18"/>
    </w:rPr>
  </w:style>
  <w:style w:type="paragraph" w:styleId="33">
    <w:name w:val="List"/>
    <w:basedOn w:val="1"/>
    <w:autoRedefine/>
    <w:qFormat/>
    <w:uiPriority w:val="0"/>
    <w:pPr>
      <w:ind w:left="420" w:hanging="420"/>
    </w:pPr>
    <w:rPr>
      <w:rFonts w:ascii="Arial" w:hAnsi="Arial" w:eastAsia="楷体_GB2312"/>
      <w:sz w:val="28"/>
      <w:szCs w:val="20"/>
    </w:rPr>
  </w:style>
  <w:style w:type="paragraph" w:styleId="34">
    <w:name w:val="footnote text"/>
    <w:basedOn w:val="1"/>
    <w:link w:val="125"/>
    <w:autoRedefine/>
    <w:qFormat/>
    <w:uiPriority w:val="0"/>
    <w:rPr>
      <w:sz w:val="20"/>
      <w:szCs w:val="20"/>
    </w:rPr>
  </w:style>
  <w:style w:type="paragraph" w:styleId="35">
    <w:name w:val="toc 6"/>
    <w:basedOn w:val="1"/>
    <w:next w:val="36"/>
    <w:autoRedefine/>
    <w:qFormat/>
    <w:uiPriority w:val="0"/>
    <w:pPr>
      <w:ind w:left="1050"/>
      <w:jc w:val="left"/>
    </w:pPr>
    <w:rPr>
      <w:sz w:val="18"/>
      <w:szCs w:val="18"/>
    </w:rPr>
  </w:style>
  <w:style w:type="paragraph" w:customStyle="1" w:styleId="36">
    <w:name w:val="xl76"/>
    <w:basedOn w:val="1"/>
    <w:next w:val="37"/>
    <w:autoRedefine/>
    <w:qFormat/>
    <w:uiPriority w:val="0"/>
    <w:pPr>
      <w:widowControl/>
    </w:pPr>
    <w:rPr>
      <w:rFonts w:ascii="Arial Unicode MS" w:eastAsia="Arial Unicode MS"/>
      <w:b/>
      <w:sz w:val="18"/>
    </w:rPr>
  </w:style>
  <w:style w:type="paragraph" w:customStyle="1" w:styleId="37">
    <w:name w:val="xl56"/>
    <w:basedOn w:val="1"/>
    <w:next w:val="38"/>
    <w:autoRedefine/>
    <w:qFormat/>
    <w:uiPriority w:val="0"/>
    <w:pPr>
      <w:widowControl/>
      <w:jc w:val="center"/>
    </w:pPr>
    <w:rPr>
      <w:rFonts w:ascii="Arial Unicode MS" w:eastAsia="Arial Unicode MS"/>
      <w:sz w:val="18"/>
    </w:rPr>
  </w:style>
  <w:style w:type="paragraph" w:customStyle="1" w:styleId="38">
    <w:name w:val="xl32"/>
    <w:basedOn w:val="1"/>
    <w:next w:val="1"/>
    <w:autoRedefine/>
    <w:qFormat/>
    <w:uiPriority w:val="0"/>
    <w:pPr>
      <w:widowControl/>
      <w:jc w:val="right"/>
    </w:pPr>
    <w:rPr>
      <w:rFonts w:ascii="Arial Unicode MS" w:eastAsia="Arial Unicode MS"/>
      <w:sz w:val="18"/>
    </w:rPr>
  </w:style>
  <w:style w:type="paragraph" w:styleId="39">
    <w:name w:val="Body Text Indent 3"/>
    <w:basedOn w:val="1"/>
    <w:link w:val="71"/>
    <w:autoRedefine/>
    <w:qFormat/>
    <w:uiPriority w:val="0"/>
    <w:pPr>
      <w:spacing w:after="120"/>
      <w:ind w:left="420" w:leftChars="200"/>
    </w:pPr>
    <w:rPr>
      <w:sz w:val="16"/>
      <w:szCs w:val="16"/>
    </w:rPr>
  </w:style>
  <w:style w:type="paragraph" w:styleId="40">
    <w:name w:val="table of figures"/>
    <w:basedOn w:val="1"/>
    <w:next w:val="1"/>
    <w:autoRedefine/>
    <w:qFormat/>
    <w:uiPriority w:val="0"/>
    <w:pPr>
      <w:ind w:left="200" w:leftChars="200" w:hanging="200" w:hangingChars="200"/>
    </w:pPr>
  </w:style>
  <w:style w:type="paragraph" w:styleId="41">
    <w:name w:val="toc 2"/>
    <w:basedOn w:val="1"/>
    <w:next w:val="1"/>
    <w:autoRedefine/>
    <w:qFormat/>
    <w:uiPriority w:val="0"/>
    <w:pPr>
      <w:ind w:left="210"/>
      <w:jc w:val="left"/>
    </w:pPr>
    <w:rPr>
      <w:smallCaps/>
      <w:sz w:val="20"/>
      <w:szCs w:val="20"/>
    </w:rPr>
  </w:style>
  <w:style w:type="paragraph" w:styleId="42">
    <w:name w:val="toc 9"/>
    <w:basedOn w:val="1"/>
    <w:next w:val="1"/>
    <w:autoRedefine/>
    <w:qFormat/>
    <w:uiPriority w:val="0"/>
    <w:pPr>
      <w:ind w:left="1680"/>
      <w:jc w:val="left"/>
    </w:pPr>
    <w:rPr>
      <w:sz w:val="18"/>
      <w:szCs w:val="18"/>
    </w:rPr>
  </w:style>
  <w:style w:type="paragraph" w:styleId="43">
    <w:name w:val="Body Text 2"/>
    <w:basedOn w:val="1"/>
    <w:autoRedefine/>
    <w:qFormat/>
    <w:uiPriority w:val="0"/>
    <w:pPr>
      <w:spacing w:line="360" w:lineRule="auto"/>
      <w:ind w:firstLine="200" w:firstLineChars="200"/>
    </w:pPr>
  </w:style>
  <w:style w:type="paragraph" w:styleId="44">
    <w:name w:val="Message Header"/>
    <w:basedOn w:val="1"/>
    <w:next w:val="12"/>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45">
    <w:name w:val="HTML Preformatted"/>
    <w:basedOn w:val="1"/>
    <w:link w:val="15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alibri"/>
      <w:kern w:val="0"/>
      <w:sz w:val="24"/>
    </w:rPr>
  </w:style>
  <w:style w:type="paragraph" w:styleId="46">
    <w:name w:val="Normal (Web)"/>
    <w:basedOn w:val="1"/>
    <w:autoRedefine/>
    <w:qFormat/>
    <w:uiPriority w:val="0"/>
    <w:pPr>
      <w:widowControl/>
      <w:jc w:val="left"/>
    </w:pPr>
    <w:rPr>
      <w:rFonts w:ascii="宋体" w:hAnsi="宋体" w:cs="宋体"/>
      <w:kern w:val="0"/>
      <w:sz w:val="18"/>
      <w:szCs w:val="18"/>
    </w:rPr>
  </w:style>
  <w:style w:type="paragraph" w:styleId="47">
    <w:name w:val="Title"/>
    <w:basedOn w:val="1"/>
    <w:next w:val="1"/>
    <w:link w:val="142"/>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8">
    <w:name w:val="annotation subject"/>
    <w:basedOn w:val="15"/>
    <w:next w:val="15"/>
    <w:link w:val="149"/>
    <w:autoRedefine/>
    <w:qFormat/>
    <w:uiPriority w:val="0"/>
    <w:rPr>
      <w:b/>
      <w:bCs/>
    </w:rPr>
  </w:style>
  <w:style w:type="paragraph" w:styleId="49">
    <w:name w:val="Body Text First Indent 2"/>
    <w:basedOn w:val="18"/>
    <w:next w:val="21"/>
    <w:link w:val="170"/>
    <w:autoRedefine/>
    <w:qFormat/>
    <w:uiPriority w:val="0"/>
    <w:pPr>
      <w:spacing w:after="120" w:line="240" w:lineRule="auto"/>
      <w:ind w:left="420" w:leftChars="200" w:firstLine="420" w:firstLineChars="200"/>
    </w:pPr>
    <w:rPr>
      <w:sz w:val="21"/>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autoRedefine/>
    <w:qFormat/>
    <w:uiPriority w:val="0"/>
    <w:rPr>
      <w:b/>
    </w:rPr>
  </w:style>
  <w:style w:type="character" w:styleId="54">
    <w:name w:val="page number"/>
    <w:autoRedefine/>
    <w:qFormat/>
    <w:uiPriority w:val="0"/>
  </w:style>
  <w:style w:type="character" w:styleId="55">
    <w:name w:val="FollowedHyperlink"/>
    <w:autoRedefine/>
    <w:unhideWhenUsed/>
    <w:qFormat/>
    <w:uiPriority w:val="0"/>
    <w:rPr>
      <w:color w:val="800080"/>
      <w:u w:val="none"/>
    </w:rPr>
  </w:style>
  <w:style w:type="character" w:styleId="56">
    <w:name w:val="Emphasis"/>
    <w:autoRedefine/>
    <w:qFormat/>
    <w:uiPriority w:val="0"/>
    <w:rPr>
      <w:color w:val="CC0033"/>
    </w:rPr>
  </w:style>
  <w:style w:type="character" w:styleId="57">
    <w:name w:val="HTML Definition"/>
    <w:autoRedefine/>
    <w:qFormat/>
    <w:uiPriority w:val="0"/>
  </w:style>
  <w:style w:type="character" w:styleId="58">
    <w:name w:val="HTML Typewriter"/>
    <w:autoRedefine/>
    <w:qFormat/>
    <w:uiPriority w:val="0"/>
    <w:rPr>
      <w:rFonts w:ascii="Monospace" w:hAnsi="Monospace" w:eastAsia="Monospace" w:cs="Monospace"/>
      <w:sz w:val="20"/>
      <w:lang w:bidi="ar-SA"/>
    </w:rPr>
  </w:style>
  <w:style w:type="character" w:styleId="59">
    <w:name w:val="HTML Acronym"/>
    <w:autoRedefine/>
    <w:qFormat/>
    <w:uiPriority w:val="0"/>
  </w:style>
  <w:style w:type="character" w:styleId="60">
    <w:name w:val="HTML Variable"/>
    <w:autoRedefine/>
    <w:qFormat/>
    <w:uiPriority w:val="0"/>
  </w:style>
  <w:style w:type="character" w:styleId="61">
    <w:name w:val="Hyperlink"/>
    <w:autoRedefine/>
    <w:qFormat/>
    <w:uiPriority w:val="0"/>
    <w:rPr>
      <w:color w:val="333333"/>
      <w:u w:val="none"/>
    </w:rPr>
  </w:style>
  <w:style w:type="character" w:styleId="62">
    <w:name w:val="HTML Code"/>
    <w:autoRedefine/>
    <w:qFormat/>
    <w:uiPriority w:val="0"/>
    <w:rPr>
      <w:rFonts w:ascii="Monospace" w:hAnsi="Monospace" w:eastAsia="Monospace" w:cs="Monospace"/>
      <w:sz w:val="20"/>
      <w:lang w:bidi="ar-SA"/>
    </w:rPr>
  </w:style>
  <w:style w:type="character" w:styleId="63">
    <w:name w:val="annotation reference"/>
    <w:autoRedefine/>
    <w:qFormat/>
    <w:uiPriority w:val="0"/>
    <w:rPr>
      <w:sz w:val="21"/>
      <w:szCs w:val="21"/>
    </w:rPr>
  </w:style>
  <w:style w:type="character" w:styleId="64">
    <w:name w:val="HTML Cite"/>
    <w:autoRedefine/>
    <w:qFormat/>
    <w:uiPriority w:val="0"/>
  </w:style>
  <w:style w:type="character" w:styleId="65">
    <w:name w:val="footnote reference"/>
    <w:autoRedefine/>
    <w:qFormat/>
    <w:uiPriority w:val="0"/>
    <w:rPr>
      <w:vertAlign w:val="superscript"/>
    </w:rPr>
  </w:style>
  <w:style w:type="character" w:styleId="66">
    <w:name w:val="HTML Keyboard"/>
    <w:autoRedefine/>
    <w:qFormat/>
    <w:uiPriority w:val="0"/>
    <w:rPr>
      <w:rFonts w:ascii="Monospace" w:hAnsi="Monospace" w:eastAsia="Monospace" w:cs="Monospace"/>
      <w:sz w:val="20"/>
      <w:lang w:bidi="ar-SA"/>
    </w:rPr>
  </w:style>
  <w:style w:type="character" w:styleId="67">
    <w:name w:val="HTML Sample"/>
    <w:autoRedefine/>
    <w:qFormat/>
    <w:uiPriority w:val="0"/>
    <w:rPr>
      <w:rFonts w:ascii="Monospace" w:hAnsi="Monospace" w:eastAsia="Monospace" w:cs="Monospace"/>
      <w:lang w:bidi="ar-SA"/>
    </w:rPr>
  </w:style>
  <w:style w:type="paragraph" w:customStyle="1" w:styleId="68">
    <w:name w:val="正文文字 8"/>
    <w:basedOn w:val="1"/>
    <w:next w:val="1"/>
    <w:autoRedefine/>
    <w:qFormat/>
    <w:uiPriority w:val="0"/>
    <w:pPr>
      <w:ind w:left="240"/>
    </w:pPr>
    <w:rPr>
      <w:sz w:val="16"/>
    </w:rPr>
  </w:style>
  <w:style w:type="character" w:customStyle="1" w:styleId="69">
    <w:name w:val="l21"/>
    <w:autoRedefine/>
    <w:qFormat/>
    <w:uiPriority w:val="0"/>
    <w:rPr>
      <w:color w:val="999999"/>
    </w:rPr>
  </w:style>
  <w:style w:type="character" w:customStyle="1" w:styleId="70">
    <w:name w:val="页脚 字符"/>
    <w:link w:val="29"/>
    <w:autoRedefine/>
    <w:qFormat/>
    <w:uiPriority w:val="0"/>
    <w:rPr>
      <w:kern w:val="2"/>
      <w:sz w:val="18"/>
      <w:szCs w:val="18"/>
    </w:rPr>
  </w:style>
  <w:style w:type="character" w:customStyle="1" w:styleId="71">
    <w:name w:val="正文文本缩进 3 字符"/>
    <w:link w:val="39"/>
    <w:autoRedefine/>
    <w:qFormat/>
    <w:uiPriority w:val="0"/>
    <w:rPr>
      <w:kern w:val="2"/>
      <w:sz w:val="16"/>
      <w:szCs w:val="16"/>
    </w:rPr>
  </w:style>
  <w:style w:type="character" w:customStyle="1" w:styleId="72">
    <w:name w:val="over"/>
    <w:autoRedefine/>
    <w:qFormat/>
    <w:uiPriority w:val="0"/>
    <w:rPr>
      <w:color w:val="B60000"/>
    </w:rPr>
  </w:style>
  <w:style w:type="character" w:customStyle="1" w:styleId="73">
    <w:name w:val="tit13"/>
    <w:autoRedefine/>
    <w:qFormat/>
    <w:uiPriority w:val="0"/>
    <w:rPr>
      <w:color w:val="FFFFFF"/>
    </w:rPr>
  </w:style>
  <w:style w:type="character" w:customStyle="1" w:styleId="74">
    <w:name w:val="tit15"/>
    <w:autoRedefine/>
    <w:qFormat/>
    <w:uiPriority w:val="0"/>
    <w:rPr>
      <w:b/>
      <w:color w:val="B60000"/>
    </w:rPr>
  </w:style>
  <w:style w:type="character" w:customStyle="1" w:styleId="75">
    <w:name w:val="mesg-myd"/>
    <w:autoRedefine/>
    <w:qFormat/>
    <w:uiPriority w:val="0"/>
    <w:rPr>
      <w:color w:val="EE0000"/>
    </w:rPr>
  </w:style>
  <w:style w:type="character" w:customStyle="1" w:styleId="76">
    <w:name w:val="img_title8"/>
    <w:autoRedefine/>
    <w:qFormat/>
    <w:uiPriority w:val="0"/>
    <w:rPr>
      <w:vanish/>
    </w:rPr>
  </w:style>
  <w:style w:type="character" w:customStyle="1" w:styleId="77">
    <w:name w:val="l11"/>
    <w:autoRedefine/>
    <w:qFormat/>
    <w:uiPriority w:val="0"/>
    <w:rPr>
      <w:color w:val="999999"/>
    </w:rPr>
  </w:style>
  <w:style w:type="character" w:customStyle="1" w:styleId="78">
    <w:name w:val="over1"/>
    <w:autoRedefine/>
    <w:qFormat/>
    <w:uiPriority w:val="0"/>
    <w:rPr>
      <w:color w:val="B60000"/>
    </w:rPr>
  </w:style>
  <w:style w:type="character" w:customStyle="1" w:styleId="79">
    <w:name w:val="Char Char7"/>
    <w:autoRedefine/>
    <w:qFormat/>
    <w:uiPriority w:val="0"/>
    <w:rPr>
      <w:rFonts w:ascii="Arial" w:hAnsi="Arial" w:eastAsia="黑体"/>
      <w:b/>
      <w:bCs/>
      <w:kern w:val="2"/>
      <w:sz w:val="32"/>
      <w:szCs w:val="32"/>
      <w:lang w:val="en-US" w:eastAsia="zh-CN" w:bidi="ar-SA"/>
    </w:rPr>
  </w:style>
  <w:style w:type="character" w:customStyle="1" w:styleId="80">
    <w:name w:val="Char Char5"/>
    <w:autoRedefine/>
    <w:qFormat/>
    <w:uiPriority w:val="0"/>
    <w:rPr>
      <w:rFonts w:ascii="Arial" w:hAnsi="Arial" w:eastAsia="黑体"/>
      <w:b/>
      <w:bCs/>
      <w:kern w:val="2"/>
      <w:sz w:val="32"/>
      <w:szCs w:val="32"/>
    </w:rPr>
  </w:style>
  <w:style w:type="character" w:customStyle="1" w:styleId="81">
    <w:name w:val="starting1"/>
    <w:autoRedefine/>
    <w:qFormat/>
    <w:uiPriority w:val="0"/>
    <w:rPr>
      <w:color w:val="339900"/>
    </w:rPr>
  </w:style>
  <w:style w:type="character" w:customStyle="1" w:styleId="82">
    <w:name w:val="num61"/>
    <w:autoRedefine/>
    <w:qFormat/>
    <w:uiPriority w:val="0"/>
  </w:style>
  <w:style w:type="character" w:customStyle="1" w:styleId="83">
    <w:name w:val="标题 4 字符"/>
    <w:link w:val="5"/>
    <w:autoRedefine/>
    <w:qFormat/>
    <w:uiPriority w:val="0"/>
    <w:rPr>
      <w:rFonts w:ascii="Arial" w:hAnsi="Arial" w:eastAsia="黑体"/>
      <w:b/>
      <w:bCs/>
      <w:kern w:val="2"/>
      <w:sz w:val="28"/>
      <w:szCs w:val="28"/>
    </w:rPr>
  </w:style>
  <w:style w:type="character" w:customStyle="1" w:styleId="84">
    <w:name w:val="z-窗体顶端 字符"/>
    <w:link w:val="85"/>
    <w:autoRedefine/>
    <w:qFormat/>
    <w:uiPriority w:val="0"/>
    <w:rPr>
      <w:rFonts w:ascii="Arial" w:hAnsi="Calibri"/>
      <w:vanish/>
      <w:kern w:val="2"/>
      <w:sz w:val="16"/>
      <w:szCs w:val="24"/>
    </w:rPr>
  </w:style>
  <w:style w:type="paragraph" w:customStyle="1" w:styleId="85">
    <w:name w:val="z-窗体顶端1"/>
    <w:basedOn w:val="1"/>
    <w:next w:val="1"/>
    <w:link w:val="84"/>
    <w:autoRedefine/>
    <w:qFormat/>
    <w:uiPriority w:val="0"/>
    <w:pPr>
      <w:pBdr>
        <w:bottom w:val="single" w:color="auto" w:sz="6" w:space="1"/>
      </w:pBdr>
      <w:jc w:val="center"/>
    </w:pPr>
    <w:rPr>
      <w:rFonts w:ascii="Arial" w:hAnsi="Calibri"/>
      <w:vanish/>
      <w:sz w:val="16"/>
    </w:rPr>
  </w:style>
  <w:style w:type="character" w:customStyle="1" w:styleId="86">
    <w:name w:val="z-窗体底端 字符"/>
    <w:link w:val="87"/>
    <w:autoRedefine/>
    <w:qFormat/>
    <w:uiPriority w:val="0"/>
    <w:rPr>
      <w:rFonts w:ascii="Arial" w:hAnsi="Calibri"/>
      <w:vanish/>
      <w:kern w:val="2"/>
      <w:sz w:val="16"/>
      <w:szCs w:val="24"/>
    </w:rPr>
  </w:style>
  <w:style w:type="paragraph" w:customStyle="1" w:styleId="87">
    <w:name w:val="z-窗体底端1"/>
    <w:basedOn w:val="1"/>
    <w:next w:val="1"/>
    <w:link w:val="86"/>
    <w:autoRedefine/>
    <w:qFormat/>
    <w:uiPriority w:val="0"/>
    <w:pPr>
      <w:pBdr>
        <w:top w:val="single" w:color="auto" w:sz="6" w:space="1"/>
      </w:pBdr>
      <w:jc w:val="center"/>
    </w:pPr>
    <w:rPr>
      <w:rFonts w:ascii="Arial" w:hAnsi="Calibri"/>
      <w:vanish/>
      <w:sz w:val="16"/>
    </w:rPr>
  </w:style>
  <w:style w:type="character" w:customStyle="1" w:styleId="88">
    <w:name w:val="nostart3"/>
    <w:autoRedefine/>
    <w:qFormat/>
    <w:uiPriority w:val="0"/>
  </w:style>
  <w:style w:type="character" w:customStyle="1" w:styleId="89">
    <w:name w:val="标题 8 字符"/>
    <w:link w:val="9"/>
    <w:autoRedefine/>
    <w:qFormat/>
    <w:uiPriority w:val="0"/>
    <w:rPr>
      <w:rFonts w:ascii="Arial" w:hAnsi="Arial" w:eastAsia="黑体"/>
      <w:sz w:val="24"/>
      <w:szCs w:val="24"/>
    </w:rPr>
  </w:style>
  <w:style w:type="character" w:customStyle="1" w:styleId="90">
    <w:name w:val="bsharetext"/>
    <w:autoRedefine/>
    <w:qFormat/>
    <w:uiPriority w:val="0"/>
  </w:style>
  <w:style w:type="character" w:customStyle="1" w:styleId="91">
    <w:name w:val="name"/>
    <w:autoRedefine/>
    <w:qFormat/>
    <w:uiPriority w:val="0"/>
    <w:rPr>
      <w:color w:val="444444"/>
      <w:sz w:val="21"/>
      <w:szCs w:val="21"/>
    </w:rPr>
  </w:style>
  <w:style w:type="character" w:customStyle="1" w:styleId="92">
    <w:name w:val="Char Char2"/>
    <w:autoRedefine/>
    <w:qFormat/>
    <w:uiPriority w:val="0"/>
    <w:rPr>
      <w:rFonts w:eastAsia="宋体"/>
      <w:kern w:val="2"/>
      <w:sz w:val="21"/>
      <w:szCs w:val="24"/>
      <w:lang w:val="en-US" w:eastAsia="zh-CN" w:bidi="ar-SA"/>
    </w:rPr>
  </w:style>
  <w:style w:type="character" w:customStyle="1" w:styleId="93">
    <w:name w:val="tit12"/>
    <w:autoRedefine/>
    <w:qFormat/>
    <w:uiPriority w:val="0"/>
    <w:rPr>
      <w:color w:val="04A06C"/>
    </w:rPr>
  </w:style>
  <w:style w:type="character" w:customStyle="1" w:styleId="94">
    <w:name w:val="starting"/>
    <w:autoRedefine/>
    <w:qFormat/>
    <w:uiPriority w:val="0"/>
    <w:rPr>
      <w:color w:val="339900"/>
    </w:rPr>
  </w:style>
  <w:style w:type="character" w:customStyle="1" w:styleId="95">
    <w:name w:val="纯文本 Char1"/>
    <w:autoRedefine/>
    <w:qFormat/>
    <w:uiPriority w:val="0"/>
    <w:rPr>
      <w:rFonts w:ascii="Courier New" w:hAnsi="Courier New" w:eastAsia="宋体"/>
      <w:kern w:val="2"/>
      <w:sz w:val="21"/>
      <w:lang w:val="en-US" w:eastAsia="zh-CN" w:bidi="ar-SA"/>
    </w:rPr>
  </w:style>
  <w:style w:type="character" w:customStyle="1" w:styleId="96">
    <w:name w:val="tit10"/>
    <w:autoRedefine/>
    <w:qFormat/>
    <w:uiPriority w:val="0"/>
    <w:rPr>
      <w:color w:val="B60000"/>
    </w:rPr>
  </w:style>
  <w:style w:type="character" w:customStyle="1" w:styleId="97">
    <w:name w:val="job1"/>
    <w:autoRedefine/>
    <w:qFormat/>
    <w:uiPriority w:val="0"/>
  </w:style>
  <w:style w:type="character" w:customStyle="1" w:styleId="98">
    <w:name w:val="font61"/>
    <w:autoRedefine/>
    <w:qFormat/>
    <w:uiPriority w:val="0"/>
    <w:rPr>
      <w:rFonts w:ascii="Calibri" w:hAnsi="Calibri" w:cs="Calibri"/>
      <w:color w:val="000000"/>
      <w:sz w:val="24"/>
      <w:szCs w:val="24"/>
      <w:u w:val="none"/>
    </w:rPr>
  </w:style>
  <w:style w:type="character" w:customStyle="1" w:styleId="99">
    <w:name w:val="num210"/>
    <w:autoRedefine/>
    <w:qFormat/>
    <w:uiPriority w:val="0"/>
  </w:style>
  <w:style w:type="character" w:customStyle="1" w:styleId="100">
    <w:name w:val="job"/>
    <w:autoRedefine/>
    <w:qFormat/>
    <w:uiPriority w:val="0"/>
  </w:style>
  <w:style w:type="character" w:customStyle="1" w:styleId="101">
    <w:name w:val="msg-box28"/>
    <w:autoRedefine/>
    <w:qFormat/>
    <w:uiPriority w:val="0"/>
  </w:style>
  <w:style w:type="character" w:customStyle="1" w:styleId="102">
    <w:name w:val="17"/>
    <w:autoRedefine/>
    <w:qFormat/>
    <w:uiPriority w:val="0"/>
    <w:rPr>
      <w:rFonts w:ascii="仿宋_GB2312" w:eastAsia="仿宋_GB2312"/>
      <w:color w:val="auto"/>
      <w:sz w:val="28"/>
      <w:szCs w:val="28"/>
      <w:u w:val="single"/>
    </w:rPr>
  </w:style>
  <w:style w:type="character" w:customStyle="1" w:styleId="103">
    <w:name w:val="msg-box30"/>
    <w:autoRedefine/>
    <w:qFormat/>
    <w:uiPriority w:val="0"/>
  </w:style>
  <w:style w:type="character" w:customStyle="1" w:styleId="104">
    <w:name w:val="over2"/>
    <w:autoRedefine/>
    <w:qFormat/>
    <w:uiPriority w:val="0"/>
    <w:rPr>
      <w:color w:val="999999"/>
    </w:rPr>
  </w:style>
  <w:style w:type="character" w:customStyle="1" w:styleId="105">
    <w:name w:val="starting4"/>
    <w:autoRedefine/>
    <w:qFormat/>
    <w:uiPriority w:val="0"/>
  </w:style>
  <w:style w:type="character" w:customStyle="1" w:styleId="106">
    <w:name w:val="datetime"/>
    <w:autoRedefine/>
    <w:qFormat/>
    <w:uiPriority w:val="0"/>
    <w:rPr>
      <w:rFonts w:ascii="Arial" w:hAnsi="Arial" w:cs="Arial"/>
      <w:color w:val="999999"/>
      <w:sz w:val="21"/>
      <w:szCs w:val="21"/>
      <w:lang w:bidi="ar-SA"/>
    </w:rPr>
  </w:style>
  <w:style w:type="character" w:customStyle="1" w:styleId="107">
    <w:name w:val="标题 6 字符"/>
    <w:link w:val="7"/>
    <w:autoRedefine/>
    <w:qFormat/>
    <w:uiPriority w:val="0"/>
    <w:rPr>
      <w:rFonts w:ascii="Arial" w:hAnsi="Arial" w:eastAsia="黑体"/>
      <w:b/>
      <w:bCs/>
      <w:sz w:val="24"/>
      <w:szCs w:val="24"/>
    </w:rPr>
  </w:style>
  <w:style w:type="character" w:customStyle="1" w:styleId="108">
    <w:name w:val="red"/>
    <w:autoRedefine/>
    <w:qFormat/>
    <w:uiPriority w:val="0"/>
    <w:rPr>
      <w:rFonts w:ascii="Arial" w:hAnsi="Arial" w:cs="Arial"/>
      <w:color w:val="E50000"/>
      <w:lang w:bidi="ar-SA"/>
    </w:rPr>
  </w:style>
  <w:style w:type="character" w:customStyle="1" w:styleId="109">
    <w:name w:val="tit14"/>
    <w:autoRedefine/>
    <w:qFormat/>
    <w:uiPriority w:val="0"/>
    <w:rPr>
      <w:color w:val="B60000"/>
    </w:rPr>
  </w:style>
  <w:style w:type="character" w:customStyle="1" w:styleId="110">
    <w:name w:val="img_title9"/>
    <w:autoRedefine/>
    <w:qFormat/>
    <w:uiPriority w:val="0"/>
    <w:rPr>
      <w:vanish/>
    </w:rPr>
  </w:style>
  <w:style w:type="character" w:customStyle="1" w:styleId="111">
    <w:name w:val="p05"/>
    <w:autoRedefine/>
    <w:qFormat/>
    <w:uiPriority w:val="0"/>
  </w:style>
  <w:style w:type="character" w:customStyle="1" w:styleId="112">
    <w:name w:val="nostart2"/>
    <w:autoRedefine/>
    <w:qFormat/>
    <w:uiPriority w:val="0"/>
    <w:rPr>
      <w:color w:val="B60000"/>
    </w:rPr>
  </w:style>
  <w:style w:type="character" w:customStyle="1" w:styleId="113">
    <w:name w:val="img_title6"/>
    <w:autoRedefine/>
    <w:qFormat/>
    <w:uiPriority w:val="0"/>
    <w:rPr>
      <w:vanish/>
    </w:rPr>
  </w:style>
  <w:style w:type="character" w:customStyle="1" w:styleId="114">
    <w:name w:val="正文文本缩进 字符"/>
    <w:link w:val="18"/>
    <w:autoRedefine/>
    <w:qFormat/>
    <w:uiPriority w:val="0"/>
    <w:rPr>
      <w:kern w:val="2"/>
      <w:sz w:val="28"/>
      <w:szCs w:val="24"/>
    </w:rPr>
  </w:style>
  <w:style w:type="character" w:customStyle="1" w:styleId="115">
    <w:name w:val="Char Char71"/>
    <w:autoRedefine/>
    <w:qFormat/>
    <w:uiPriority w:val="0"/>
    <w:rPr>
      <w:rFonts w:ascii="Arial" w:hAnsi="Arial" w:eastAsia="黑体"/>
      <w:b/>
      <w:bCs/>
      <w:kern w:val="2"/>
      <w:sz w:val="32"/>
      <w:szCs w:val="32"/>
      <w:lang w:val="en-US" w:eastAsia="zh-CN" w:bidi="ar-SA"/>
    </w:rPr>
  </w:style>
  <w:style w:type="character" w:customStyle="1" w:styleId="116">
    <w:name w:val="Char Char8"/>
    <w:autoRedefine/>
    <w:qFormat/>
    <w:uiPriority w:val="0"/>
    <w:rPr>
      <w:rFonts w:ascii="Arial" w:hAnsi="Arial" w:eastAsia="黑体"/>
      <w:b/>
      <w:bCs/>
      <w:kern w:val="2"/>
      <w:sz w:val="32"/>
      <w:szCs w:val="32"/>
      <w:lang w:val="en-US" w:eastAsia="zh-CN" w:bidi="ar-SA"/>
    </w:rPr>
  </w:style>
  <w:style w:type="character" w:customStyle="1" w:styleId="117">
    <w:name w:val="num51"/>
    <w:autoRedefine/>
    <w:qFormat/>
    <w:uiPriority w:val="0"/>
  </w:style>
  <w:style w:type="character" w:customStyle="1" w:styleId="118">
    <w:name w:val="img_title7"/>
    <w:autoRedefine/>
    <w:qFormat/>
    <w:uiPriority w:val="0"/>
    <w:rPr>
      <w:vanish/>
    </w:rPr>
  </w:style>
  <w:style w:type="character" w:customStyle="1" w:styleId="119">
    <w:name w:val="批注框文本 字符"/>
    <w:link w:val="28"/>
    <w:autoRedefine/>
    <w:qFormat/>
    <w:uiPriority w:val="0"/>
    <w:rPr>
      <w:kern w:val="2"/>
      <w:sz w:val="18"/>
      <w:szCs w:val="18"/>
    </w:rPr>
  </w:style>
  <w:style w:type="character" w:customStyle="1" w:styleId="120">
    <w:name w:val="buvis"/>
    <w:autoRedefine/>
    <w:qFormat/>
    <w:uiPriority w:val="0"/>
    <w:rPr>
      <w:color w:val="999999"/>
    </w:rPr>
  </w:style>
  <w:style w:type="character" w:customStyle="1" w:styleId="121">
    <w:name w:val="num31"/>
    <w:autoRedefine/>
    <w:qFormat/>
    <w:uiPriority w:val="0"/>
  </w:style>
  <w:style w:type="character" w:customStyle="1" w:styleId="122">
    <w:name w:val="nostart"/>
    <w:autoRedefine/>
    <w:qFormat/>
    <w:uiPriority w:val="0"/>
    <w:rPr>
      <w:color w:val="FF0000"/>
    </w:rPr>
  </w:style>
  <w:style w:type="character" w:customStyle="1" w:styleId="123">
    <w:name w:val="unit"/>
    <w:autoRedefine/>
    <w:qFormat/>
    <w:uiPriority w:val="0"/>
    <w:rPr>
      <w:color w:val="999999"/>
    </w:rPr>
  </w:style>
  <w:style w:type="character" w:customStyle="1" w:styleId="124">
    <w:name w:val="l6"/>
    <w:autoRedefine/>
    <w:qFormat/>
    <w:uiPriority w:val="0"/>
    <w:rPr>
      <w:color w:val="999999"/>
    </w:rPr>
  </w:style>
  <w:style w:type="character" w:customStyle="1" w:styleId="125">
    <w:name w:val="脚注文本 字符"/>
    <w:link w:val="34"/>
    <w:autoRedefine/>
    <w:qFormat/>
    <w:uiPriority w:val="0"/>
    <w:rPr>
      <w:kern w:val="2"/>
    </w:rPr>
  </w:style>
  <w:style w:type="character" w:customStyle="1" w:styleId="126">
    <w:name w:val="纯文本 字符"/>
    <w:link w:val="24"/>
    <w:autoRedefine/>
    <w:qFormat/>
    <w:uiPriority w:val="0"/>
    <w:rPr>
      <w:rFonts w:ascii="Courier New" w:hAnsi="Courier New"/>
      <w:kern w:val="2"/>
      <w:sz w:val="21"/>
    </w:rPr>
  </w:style>
  <w:style w:type="character" w:customStyle="1" w:styleId="127">
    <w:name w:val="num81"/>
    <w:autoRedefine/>
    <w:qFormat/>
    <w:uiPriority w:val="0"/>
  </w:style>
  <w:style w:type="character" w:customStyle="1" w:styleId="128">
    <w:name w:val="Char Char81"/>
    <w:autoRedefine/>
    <w:qFormat/>
    <w:uiPriority w:val="0"/>
    <w:rPr>
      <w:rFonts w:ascii="Arial" w:hAnsi="Arial" w:eastAsia="黑体"/>
      <w:b/>
      <w:bCs/>
      <w:kern w:val="2"/>
      <w:sz w:val="32"/>
      <w:szCs w:val="32"/>
      <w:lang w:val="en-US" w:eastAsia="zh-CN" w:bidi="ar-SA"/>
    </w:rPr>
  </w:style>
  <w:style w:type="character" w:customStyle="1" w:styleId="129">
    <w:name w:val="正文文本 3 字符"/>
    <w:link w:val="16"/>
    <w:autoRedefine/>
    <w:qFormat/>
    <w:uiPriority w:val="0"/>
    <w:rPr>
      <w:rFonts w:ascii="宋体"/>
      <w:kern w:val="2"/>
      <w:sz w:val="24"/>
    </w:rPr>
  </w:style>
  <w:style w:type="character" w:customStyle="1" w:styleId="130">
    <w:name w:val="jg"/>
    <w:autoRedefine/>
    <w:qFormat/>
    <w:uiPriority w:val="0"/>
  </w:style>
  <w:style w:type="character" w:customStyle="1" w:styleId="131">
    <w:name w:val="16"/>
    <w:autoRedefine/>
    <w:qFormat/>
    <w:uiPriority w:val="0"/>
    <w:rPr>
      <w:rFonts w:ascii="仿宋_GB2312" w:eastAsia="仿宋_GB2312"/>
      <w:color w:val="auto"/>
      <w:sz w:val="28"/>
      <w:szCs w:val="28"/>
    </w:rPr>
  </w:style>
  <w:style w:type="character" w:customStyle="1" w:styleId="132">
    <w:name w:val="正文文本 字符"/>
    <w:link w:val="17"/>
    <w:autoRedefine/>
    <w:qFormat/>
    <w:uiPriority w:val="0"/>
    <w:rPr>
      <w:b/>
      <w:bCs/>
      <w:kern w:val="2"/>
      <w:sz w:val="44"/>
    </w:rPr>
  </w:style>
  <w:style w:type="character" w:customStyle="1" w:styleId="133">
    <w:name w:val="Char Char1"/>
    <w:autoRedefine/>
    <w:qFormat/>
    <w:uiPriority w:val="0"/>
    <w:rPr>
      <w:rFonts w:eastAsia="宋体"/>
      <w:kern w:val="2"/>
      <w:sz w:val="21"/>
      <w:szCs w:val="24"/>
      <w:lang w:val="en-US" w:eastAsia="zh-CN" w:bidi="ar-SA"/>
    </w:rPr>
  </w:style>
  <w:style w:type="character" w:customStyle="1" w:styleId="134">
    <w:name w:val="starting3"/>
    <w:autoRedefine/>
    <w:qFormat/>
    <w:uiPriority w:val="0"/>
  </w:style>
  <w:style w:type="character" w:customStyle="1" w:styleId="135">
    <w:name w:val="标题 5 字符"/>
    <w:link w:val="6"/>
    <w:autoRedefine/>
    <w:qFormat/>
    <w:uiPriority w:val="0"/>
    <w:rPr>
      <w:rFonts w:ascii="Calibri" w:hAnsi="Calibri"/>
      <w:b/>
      <w:bCs/>
      <w:kern w:val="2"/>
      <w:sz w:val="28"/>
      <w:szCs w:val="28"/>
    </w:rPr>
  </w:style>
  <w:style w:type="character" w:customStyle="1" w:styleId="136">
    <w:name w:val="l51"/>
    <w:autoRedefine/>
    <w:qFormat/>
    <w:uiPriority w:val="0"/>
    <w:rPr>
      <w:color w:val="999999"/>
    </w:rPr>
  </w:style>
  <w:style w:type="character" w:customStyle="1" w:styleId="137">
    <w:name w:val="Char Char Char"/>
    <w:autoRedefine/>
    <w:qFormat/>
    <w:uiPriority w:val="0"/>
    <w:rPr>
      <w:rFonts w:eastAsia="宋体"/>
      <w:b/>
      <w:bCs/>
      <w:kern w:val="44"/>
      <w:sz w:val="44"/>
      <w:szCs w:val="44"/>
      <w:lang w:val="en-US" w:eastAsia="zh-CN" w:bidi="ar-SA"/>
    </w:rPr>
  </w:style>
  <w:style w:type="character" w:customStyle="1" w:styleId="138">
    <w:name w:val="starting2"/>
    <w:autoRedefine/>
    <w:qFormat/>
    <w:uiPriority w:val="0"/>
    <w:rPr>
      <w:color w:val="B60000"/>
    </w:rPr>
  </w:style>
  <w:style w:type="character" w:customStyle="1" w:styleId="139">
    <w:name w:val="zs"/>
    <w:autoRedefine/>
    <w:qFormat/>
    <w:uiPriority w:val="0"/>
    <w:rPr>
      <w:color w:val="8D744B"/>
      <w:sz w:val="18"/>
      <w:szCs w:val="18"/>
    </w:rPr>
  </w:style>
  <w:style w:type="character" w:customStyle="1" w:styleId="140">
    <w:name w:val="font161"/>
    <w:autoRedefine/>
    <w:qFormat/>
    <w:uiPriority w:val="0"/>
    <w:rPr>
      <w:b/>
      <w:bCs/>
      <w:sz w:val="32"/>
      <w:szCs w:val="32"/>
    </w:rPr>
  </w:style>
  <w:style w:type="character" w:customStyle="1" w:styleId="141">
    <w:name w:val="nostart1"/>
    <w:autoRedefine/>
    <w:qFormat/>
    <w:uiPriority w:val="0"/>
    <w:rPr>
      <w:color w:val="FF0000"/>
    </w:rPr>
  </w:style>
  <w:style w:type="character" w:customStyle="1" w:styleId="142">
    <w:name w:val="标题 字符"/>
    <w:link w:val="47"/>
    <w:autoRedefine/>
    <w:qFormat/>
    <w:uiPriority w:val="0"/>
    <w:rPr>
      <w:rFonts w:ascii="Arial" w:hAnsi="Arial"/>
      <w:b/>
      <w:sz w:val="32"/>
    </w:rPr>
  </w:style>
  <w:style w:type="character" w:customStyle="1" w:styleId="143">
    <w:name w:val="msg-box29"/>
    <w:autoRedefine/>
    <w:qFormat/>
    <w:uiPriority w:val="0"/>
  </w:style>
  <w:style w:type="character" w:customStyle="1" w:styleId="144">
    <w:name w:val="标题 7 字符"/>
    <w:link w:val="8"/>
    <w:autoRedefine/>
    <w:qFormat/>
    <w:uiPriority w:val="0"/>
    <w:rPr>
      <w:b/>
      <w:bCs/>
      <w:sz w:val="24"/>
      <w:szCs w:val="24"/>
    </w:rPr>
  </w:style>
  <w:style w:type="character" w:customStyle="1" w:styleId="145">
    <w:name w:val="over3"/>
    <w:autoRedefine/>
    <w:qFormat/>
    <w:uiPriority w:val="0"/>
  </w:style>
  <w:style w:type="character" w:customStyle="1" w:styleId="146">
    <w:name w:val="l41"/>
    <w:autoRedefine/>
    <w:qFormat/>
    <w:uiPriority w:val="0"/>
    <w:rPr>
      <w:color w:val="999999"/>
    </w:rPr>
  </w:style>
  <w:style w:type="character" w:customStyle="1" w:styleId="147">
    <w:name w:val="批注文字 字符"/>
    <w:link w:val="15"/>
    <w:autoRedefine/>
    <w:qFormat/>
    <w:uiPriority w:val="0"/>
    <w:rPr>
      <w:kern w:val="2"/>
      <w:sz w:val="21"/>
      <w:szCs w:val="24"/>
    </w:rPr>
  </w:style>
  <w:style w:type="character" w:customStyle="1" w:styleId="148">
    <w:name w:val="bigfont"/>
    <w:autoRedefine/>
    <w:qFormat/>
    <w:uiPriority w:val="0"/>
  </w:style>
  <w:style w:type="character" w:customStyle="1" w:styleId="149">
    <w:name w:val="批注主题 字符"/>
    <w:link w:val="48"/>
    <w:autoRedefine/>
    <w:qFormat/>
    <w:uiPriority w:val="0"/>
  </w:style>
  <w:style w:type="character" w:customStyle="1" w:styleId="150">
    <w:name w:val="font41"/>
    <w:autoRedefine/>
    <w:qFormat/>
    <w:uiPriority w:val="0"/>
    <w:rPr>
      <w:rFonts w:hint="eastAsia" w:ascii="宋体" w:hAnsi="宋体" w:eastAsia="宋体" w:cs="宋体"/>
      <w:color w:val="000000"/>
      <w:sz w:val="24"/>
      <w:szCs w:val="24"/>
      <w:u w:val="none"/>
    </w:rPr>
  </w:style>
  <w:style w:type="character" w:customStyle="1" w:styleId="151">
    <w:name w:val="l3"/>
    <w:autoRedefine/>
    <w:qFormat/>
    <w:uiPriority w:val="0"/>
    <w:rPr>
      <w:color w:val="999999"/>
    </w:rPr>
  </w:style>
  <w:style w:type="character" w:customStyle="1" w:styleId="152">
    <w:name w:val="Char Char21"/>
    <w:autoRedefine/>
    <w:qFormat/>
    <w:uiPriority w:val="0"/>
    <w:rPr>
      <w:rFonts w:eastAsia="宋体"/>
      <w:kern w:val="2"/>
      <w:sz w:val="21"/>
      <w:szCs w:val="24"/>
      <w:lang w:val="en-US" w:eastAsia="zh-CN" w:bidi="ar-SA"/>
    </w:rPr>
  </w:style>
  <w:style w:type="character" w:customStyle="1" w:styleId="153">
    <w:name w:val="标题 1 Char Char"/>
    <w:autoRedefine/>
    <w:qFormat/>
    <w:locked/>
    <w:uiPriority w:val="0"/>
    <w:rPr>
      <w:rFonts w:eastAsia="宋体"/>
      <w:b/>
      <w:bCs/>
      <w:kern w:val="44"/>
      <w:sz w:val="44"/>
      <w:szCs w:val="44"/>
      <w:lang w:val="en-US" w:eastAsia="zh-CN" w:bidi="ar-SA"/>
    </w:rPr>
  </w:style>
  <w:style w:type="character" w:customStyle="1" w:styleId="154">
    <w:name w:val="img4"/>
    <w:autoRedefine/>
    <w:qFormat/>
    <w:uiPriority w:val="0"/>
  </w:style>
  <w:style w:type="character" w:customStyle="1" w:styleId="155">
    <w:name w:val="标题 1 字符"/>
    <w:link w:val="3"/>
    <w:autoRedefine/>
    <w:qFormat/>
    <w:uiPriority w:val="0"/>
    <w:rPr>
      <w:rFonts w:ascii="Times New Roman" w:hAnsi="Times New Roman" w:eastAsia="宋体"/>
      <w:b/>
      <w:bCs/>
      <w:kern w:val="44"/>
      <w:sz w:val="24"/>
      <w:szCs w:val="44"/>
    </w:rPr>
  </w:style>
  <w:style w:type="character" w:customStyle="1" w:styleId="156">
    <w:name w:val="name1"/>
    <w:autoRedefine/>
    <w:qFormat/>
    <w:uiPriority w:val="0"/>
    <w:rPr>
      <w:color w:val="695435"/>
      <w:sz w:val="24"/>
      <w:szCs w:val="24"/>
    </w:rPr>
  </w:style>
  <w:style w:type="character" w:customStyle="1" w:styleId="157">
    <w:name w:val="font01"/>
    <w:autoRedefine/>
    <w:qFormat/>
    <w:uiPriority w:val="0"/>
    <w:rPr>
      <w:rFonts w:hint="eastAsia" w:ascii="仿宋_GB2312" w:eastAsia="仿宋_GB2312" w:cs="仿宋_GB2312"/>
      <w:color w:val="000000"/>
      <w:sz w:val="28"/>
      <w:szCs w:val="28"/>
      <w:u w:val="none"/>
    </w:rPr>
  </w:style>
  <w:style w:type="character" w:customStyle="1" w:styleId="158">
    <w:name w:val="HTML 预设格式 字符"/>
    <w:link w:val="45"/>
    <w:autoRedefine/>
    <w:qFormat/>
    <w:uiPriority w:val="0"/>
    <w:rPr>
      <w:rFonts w:ascii="宋体" w:hAnsi="Calibri"/>
      <w:sz w:val="24"/>
      <w:szCs w:val="24"/>
    </w:rPr>
  </w:style>
  <w:style w:type="character" w:customStyle="1" w:styleId="159">
    <w:name w:val="标题 2 Char Char"/>
    <w:autoRedefine/>
    <w:qFormat/>
    <w:locked/>
    <w:uiPriority w:val="0"/>
    <w:rPr>
      <w:rFonts w:ascii="Arial" w:hAnsi="Arial" w:eastAsia="黑体"/>
      <w:b/>
      <w:bCs/>
      <w:kern w:val="2"/>
      <w:sz w:val="32"/>
      <w:szCs w:val="32"/>
      <w:lang w:val="en-US" w:eastAsia="zh-CN" w:bidi="ar-SA"/>
    </w:rPr>
  </w:style>
  <w:style w:type="character" w:customStyle="1" w:styleId="160">
    <w:name w:val="msg-box31"/>
    <w:autoRedefine/>
    <w:qFormat/>
    <w:uiPriority w:val="0"/>
  </w:style>
  <w:style w:type="character" w:customStyle="1" w:styleId="161">
    <w:name w:val="font51"/>
    <w:autoRedefine/>
    <w:qFormat/>
    <w:uiPriority w:val="0"/>
    <w:rPr>
      <w:rFonts w:ascii="Arial" w:hAnsi="Arial" w:cs="Arial"/>
      <w:color w:val="000000"/>
      <w:sz w:val="24"/>
      <w:szCs w:val="24"/>
      <w:u w:val="none"/>
    </w:rPr>
  </w:style>
  <w:style w:type="character" w:customStyle="1" w:styleId="162">
    <w:name w:val="l7"/>
    <w:autoRedefine/>
    <w:qFormat/>
    <w:uiPriority w:val="0"/>
    <w:rPr>
      <w:color w:val="999999"/>
    </w:rPr>
  </w:style>
  <w:style w:type="character" w:customStyle="1" w:styleId="163">
    <w:name w:val="标题 2 Char"/>
    <w:autoRedefine/>
    <w:qFormat/>
    <w:uiPriority w:val="0"/>
    <w:rPr>
      <w:rFonts w:eastAsia="宋体"/>
      <w:sz w:val="24"/>
      <w:lang w:val="en-US" w:eastAsia="zh-CN" w:bidi="ar-SA"/>
    </w:rPr>
  </w:style>
  <w:style w:type="character" w:customStyle="1" w:styleId="164">
    <w:name w:val="标题 9 字符"/>
    <w:link w:val="10"/>
    <w:autoRedefine/>
    <w:qFormat/>
    <w:uiPriority w:val="0"/>
    <w:rPr>
      <w:rFonts w:ascii="Arial" w:hAnsi="Arial" w:eastAsia="黑体"/>
      <w:sz w:val="21"/>
      <w:szCs w:val="21"/>
    </w:rPr>
  </w:style>
  <w:style w:type="character" w:customStyle="1" w:styleId="165">
    <w:name w:val="buvis1"/>
    <w:autoRedefine/>
    <w:qFormat/>
    <w:uiPriority w:val="0"/>
    <w:rPr>
      <w:color w:val="CC0000"/>
    </w:rPr>
  </w:style>
  <w:style w:type="character" w:customStyle="1" w:styleId="166">
    <w:name w:val="标题 2 Char11"/>
    <w:autoRedefine/>
    <w:qFormat/>
    <w:uiPriority w:val="0"/>
    <w:rPr>
      <w:rFonts w:eastAsia="宋体"/>
      <w:sz w:val="24"/>
      <w:lang w:val="en-US" w:eastAsia="zh-CN" w:bidi="ar-SA"/>
    </w:rPr>
  </w:style>
  <w:style w:type="character" w:customStyle="1" w:styleId="167">
    <w:name w:val="txt"/>
    <w:autoRedefine/>
    <w:qFormat/>
    <w:uiPriority w:val="0"/>
    <w:rPr>
      <w:color w:val="C0C0C0"/>
    </w:rPr>
  </w:style>
  <w:style w:type="character" w:customStyle="1" w:styleId="168">
    <w:name w:val="日期 字符"/>
    <w:link w:val="26"/>
    <w:autoRedefine/>
    <w:qFormat/>
    <w:uiPriority w:val="0"/>
    <w:rPr>
      <w:rFonts w:ascii="仿宋_GB2312" w:eastAsia="仿宋_GB2312"/>
      <w:kern w:val="2"/>
      <w:sz w:val="30"/>
      <w:lang w:val="en-US" w:eastAsia="zh-CN" w:bidi="ar-SA"/>
    </w:rPr>
  </w:style>
  <w:style w:type="character" w:customStyle="1" w:styleId="169">
    <w:name w:val="标题 2 Char1"/>
    <w:autoRedefine/>
    <w:qFormat/>
    <w:uiPriority w:val="0"/>
    <w:rPr>
      <w:rFonts w:ascii="Arial" w:hAnsi="Arial" w:eastAsia="黑体"/>
      <w:b/>
      <w:bCs/>
      <w:kern w:val="2"/>
      <w:sz w:val="32"/>
      <w:szCs w:val="32"/>
      <w:lang w:val="en-US" w:eastAsia="zh-CN" w:bidi="ar-SA"/>
    </w:rPr>
  </w:style>
  <w:style w:type="character" w:customStyle="1" w:styleId="170">
    <w:name w:val="正文首行缩进 2 字符"/>
    <w:link w:val="49"/>
    <w:autoRedefine/>
    <w:qFormat/>
    <w:uiPriority w:val="0"/>
  </w:style>
  <w:style w:type="character" w:customStyle="1" w:styleId="171">
    <w:name w:val="font31"/>
    <w:autoRedefine/>
    <w:qFormat/>
    <w:uiPriority w:val="0"/>
    <w:rPr>
      <w:rFonts w:hint="eastAsia" w:ascii="仿宋_GB2312" w:eastAsia="仿宋_GB2312" w:cs="仿宋_GB2312"/>
      <w:color w:val="000000"/>
      <w:sz w:val="28"/>
      <w:szCs w:val="28"/>
      <w:u w:val="single"/>
    </w:rPr>
  </w:style>
  <w:style w:type="character" w:customStyle="1" w:styleId="172">
    <w:name w:val="textcontents"/>
    <w:autoRedefine/>
    <w:qFormat/>
    <w:uiPriority w:val="0"/>
  </w:style>
  <w:style w:type="character" w:customStyle="1" w:styleId="173">
    <w:name w:val="文档结构图 字符"/>
    <w:link w:val="14"/>
    <w:autoRedefine/>
    <w:qFormat/>
    <w:uiPriority w:val="0"/>
    <w:rPr>
      <w:kern w:val="2"/>
      <w:sz w:val="21"/>
      <w:szCs w:val="24"/>
      <w:shd w:val="clear" w:color="auto" w:fill="000080"/>
    </w:rPr>
  </w:style>
  <w:style w:type="character" w:customStyle="1" w:styleId="174">
    <w:name w:val="zw"/>
    <w:autoRedefine/>
    <w:qFormat/>
    <w:uiPriority w:val="0"/>
    <w:rPr>
      <w:color w:val="BD1E22"/>
      <w:sz w:val="22"/>
      <w:szCs w:val="22"/>
    </w:rPr>
  </w:style>
  <w:style w:type="character" w:customStyle="1" w:styleId="175">
    <w:name w:val="txt1"/>
    <w:autoRedefine/>
    <w:qFormat/>
    <w:uiPriority w:val="0"/>
  </w:style>
  <w:style w:type="character" w:customStyle="1" w:styleId="176">
    <w:name w:val="tit11"/>
    <w:autoRedefine/>
    <w:qFormat/>
    <w:uiPriority w:val="0"/>
    <w:rPr>
      <w:color w:val="B60000"/>
    </w:rPr>
  </w:style>
  <w:style w:type="character" w:customStyle="1" w:styleId="177">
    <w:name w:val="num71"/>
    <w:autoRedefine/>
    <w:qFormat/>
    <w:uiPriority w:val="0"/>
  </w:style>
  <w:style w:type="character" w:customStyle="1" w:styleId="178">
    <w:name w:val="name2"/>
    <w:autoRedefine/>
    <w:qFormat/>
    <w:uiPriority w:val="0"/>
    <w:rPr>
      <w:color w:val="000000"/>
      <w:sz w:val="39"/>
      <w:szCs w:val="39"/>
    </w:rPr>
  </w:style>
  <w:style w:type="character" w:customStyle="1" w:styleId="179">
    <w:name w:val="c3"/>
    <w:autoRedefine/>
    <w:qFormat/>
    <w:uiPriority w:val="0"/>
  </w:style>
  <w:style w:type="character" w:customStyle="1" w:styleId="180">
    <w:name w:val="Char Char"/>
    <w:autoRedefine/>
    <w:qFormat/>
    <w:uiPriority w:val="0"/>
    <w:rPr>
      <w:rFonts w:ascii="Arial" w:hAnsi="Arial" w:eastAsia="黑体"/>
      <w:b/>
      <w:bCs/>
      <w:kern w:val="2"/>
      <w:sz w:val="32"/>
      <w:szCs w:val="32"/>
      <w:lang w:val="en-US" w:eastAsia="zh-CN" w:bidi="ar-SA"/>
    </w:rPr>
  </w:style>
  <w:style w:type="character" w:customStyle="1" w:styleId="181">
    <w:name w:val="num41"/>
    <w:autoRedefine/>
    <w:qFormat/>
    <w:uiPriority w:val="0"/>
  </w:style>
  <w:style w:type="character" w:customStyle="1" w:styleId="182">
    <w:name w:val="c1"/>
    <w:autoRedefine/>
    <w:qFormat/>
    <w:uiPriority w:val="0"/>
  </w:style>
  <w:style w:type="character" w:customStyle="1" w:styleId="183">
    <w:name w:val="c2"/>
    <w:autoRedefine/>
    <w:qFormat/>
    <w:uiPriority w:val="0"/>
  </w:style>
  <w:style w:type="character" w:customStyle="1" w:styleId="184">
    <w:name w:val="页眉 字符"/>
    <w:link w:val="30"/>
    <w:autoRedefine/>
    <w:qFormat/>
    <w:uiPriority w:val="0"/>
    <w:rPr>
      <w:kern w:val="2"/>
      <w:sz w:val="18"/>
      <w:szCs w:val="18"/>
    </w:rPr>
  </w:style>
  <w:style w:type="character" w:customStyle="1" w:styleId="185">
    <w:name w:val="Char Char4"/>
    <w:autoRedefine/>
    <w:qFormat/>
    <w:uiPriority w:val="0"/>
    <w:rPr>
      <w:rFonts w:eastAsia="宋体"/>
      <w:b/>
      <w:bCs/>
      <w:kern w:val="44"/>
      <w:sz w:val="44"/>
      <w:szCs w:val="44"/>
      <w:lang w:val="en-US" w:eastAsia="zh-CN" w:bidi="ar-SA"/>
    </w:rPr>
  </w:style>
  <w:style w:type="character" w:customStyle="1" w:styleId="186">
    <w:name w:val="tit9"/>
    <w:autoRedefine/>
    <w:qFormat/>
    <w:uiPriority w:val="0"/>
    <w:rPr>
      <w:color w:val="B60000"/>
      <w:sz w:val="27"/>
      <w:szCs w:val="27"/>
      <w:bdr w:val="single" w:color="DFCEB8" w:sz="6" w:space="0"/>
      <w:shd w:val="clear" w:color="auto" w:fill="FFFFFF"/>
    </w:rPr>
  </w:style>
  <w:style w:type="character" w:customStyle="1" w:styleId="187">
    <w:name w:val="Char Char3"/>
    <w:autoRedefine/>
    <w:qFormat/>
    <w:uiPriority w:val="0"/>
    <w:rPr>
      <w:rFonts w:ascii="Arial" w:hAnsi="Arial" w:eastAsia="黑体"/>
      <w:b/>
      <w:bCs/>
      <w:kern w:val="2"/>
      <w:sz w:val="32"/>
      <w:szCs w:val="32"/>
      <w:lang w:val="en-US" w:eastAsia="zh-CN" w:bidi="ar-SA"/>
    </w:rPr>
  </w:style>
  <w:style w:type="paragraph" w:customStyle="1" w:styleId="188">
    <w:name w:val="首行缩进"/>
    <w:basedOn w:val="1"/>
    <w:next w:val="20"/>
    <w:autoRedefine/>
    <w:qFormat/>
    <w:uiPriority w:val="0"/>
    <w:pPr>
      <w:spacing w:line="360" w:lineRule="auto"/>
      <w:ind w:firstLine="480" w:firstLineChars="200"/>
    </w:pPr>
    <w:rPr>
      <w:sz w:val="24"/>
      <w:lang w:val="zh-CN"/>
    </w:rPr>
  </w:style>
  <w:style w:type="paragraph" w:customStyle="1" w:styleId="189">
    <w:name w:val="正文文本缩进1"/>
    <w:basedOn w:val="1"/>
    <w:autoRedefine/>
    <w:qFormat/>
    <w:uiPriority w:val="0"/>
    <w:pPr>
      <w:spacing w:after="120"/>
      <w:ind w:left="420" w:leftChars="200"/>
    </w:pPr>
    <w:rPr>
      <w:color w:val="000000"/>
      <w:kern w:val="0"/>
      <w:szCs w:val="20"/>
      <w:u w:color="000000"/>
    </w:rPr>
  </w:style>
  <w:style w:type="paragraph" w:customStyle="1" w:styleId="190">
    <w:name w:val="Char Char Char Char"/>
    <w:basedOn w:val="1"/>
    <w:autoRedefine/>
    <w:qFormat/>
    <w:uiPriority w:val="0"/>
    <w:rPr>
      <w:rFonts w:ascii="Tahoma" w:hAnsi="Tahoma"/>
      <w:sz w:val="24"/>
      <w:szCs w:val="20"/>
    </w:rPr>
  </w:style>
  <w:style w:type="paragraph" w:customStyle="1" w:styleId="191">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92">
    <w:name w:val="p"/>
    <w:basedOn w:val="1"/>
    <w:autoRedefine/>
    <w:qFormat/>
    <w:uiPriority w:val="0"/>
    <w:rPr>
      <w:rFonts w:ascii="宋体"/>
      <w:sz w:val="24"/>
    </w:rPr>
  </w:style>
  <w:style w:type="paragraph" w:customStyle="1" w:styleId="193">
    <w:name w:val="正文文本首行缩进 21"/>
    <w:basedOn w:val="189"/>
    <w:autoRedefine/>
    <w:qFormat/>
    <w:uiPriority w:val="0"/>
    <w:pPr>
      <w:ind w:firstLine="420" w:firstLineChars="200"/>
    </w:pPr>
  </w:style>
  <w:style w:type="paragraph" w:customStyle="1" w:styleId="194">
    <w:name w:val="表格"/>
    <w:basedOn w:val="1"/>
    <w:autoRedefine/>
    <w:qFormat/>
    <w:uiPriority w:val="0"/>
    <w:pPr>
      <w:jc w:val="center"/>
      <w:textAlignment w:val="center"/>
    </w:pPr>
    <w:rPr>
      <w:rFonts w:ascii="华文细黑" w:hAnsi="华文细黑"/>
      <w:kern w:val="0"/>
      <w:szCs w:val="20"/>
    </w:rPr>
  </w:style>
  <w:style w:type="paragraph" w:customStyle="1" w:styleId="195">
    <w:name w:val="Other|1"/>
    <w:basedOn w:val="1"/>
    <w:autoRedefine/>
    <w:qFormat/>
    <w:uiPriority w:val="0"/>
    <w:rPr>
      <w:rFonts w:ascii="宋体" w:hAnsi="宋体" w:cs="宋体"/>
      <w:sz w:val="20"/>
      <w:szCs w:val="20"/>
      <w:lang w:val="zh-TW" w:eastAsia="zh-TW" w:bidi="zh-TW"/>
    </w:rPr>
  </w:style>
  <w:style w:type="paragraph" w:customStyle="1" w:styleId="196">
    <w:name w:val="Table caption|1"/>
    <w:basedOn w:val="1"/>
    <w:autoRedefine/>
    <w:qFormat/>
    <w:uiPriority w:val="0"/>
    <w:rPr>
      <w:rFonts w:ascii="宋体" w:hAnsi="宋体" w:cs="宋体"/>
      <w:sz w:val="20"/>
      <w:szCs w:val="20"/>
      <w:lang w:val="zh-TW" w:eastAsia="zh-TW" w:bidi="zh-TW"/>
    </w:rPr>
  </w:style>
  <w:style w:type="paragraph" w:customStyle="1" w:styleId="197">
    <w:name w:val="p15"/>
    <w:autoRedefine/>
    <w:qFormat/>
    <w:uiPriority w:val="0"/>
    <w:pPr>
      <w:jc w:val="both"/>
    </w:pPr>
    <w:rPr>
      <w:rFonts w:ascii="宋体" w:hAnsi="Calibri" w:eastAsia="宋体" w:cs="宋体"/>
      <w:sz w:val="21"/>
      <w:szCs w:val="21"/>
      <w:lang w:val="en-US" w:eastAsia="zh-CN" w:bidi="ar-SA"/>
    </w:rPr>
  </w:style>
  <w:style w:type="paragraph" w:customStyle="1" w:styleId="198">
    <w:name w:val="Default Paragraph Char Char Char Char"/>
    <w:basedOn w:val="1"/>
    <w:next w:val="1"/>
    <w:autoRedefine/>
    <w:qFormat/>
    <w:uiPriority w:val="0"/>
    <w:pPr>
      <w:spacing w:line="360" w:lineRule="auto"/>
    </w:pPr>
    <w:rPr>
      <w:rFonts w:ascii="Calibri" w:hAnsi="Calibri"/>
      <w:szCs w:val="20"/>
    </w:rPr>
  </w:style>
  <w:style w:type="paragraph" w:customStyle="1" w:styleId="199">
    <w:name w:val="样式1"/>
    <w:basedOn w:val="4"/>
    <w:autoRedefine/>
    <w:qFormat/>
    <w:uiPriority w:val="0"/>
    <w:pPr>
      <w:spacing w:line="415" w:lineRule="auto"/>
    </w:pPr>
    <w:rPr>
      <w:rFonts w:eastAsia="Arial"/>
    </w:rPr>
  </w:style>
  <w:style w:type="paragraph" w:customStyle="1" w:styleId="200">
    <w:name w:val="表格文字"/>
    <w:basedOn w:val="1"/>
    <w:autoRedefine/>
    <w:qFormat/>
    <w:uiPriority w:val="0"/>
    <w:pPr>
      <w:adjustRightInd w:val="0"/>
      <w:spacing w:line="420" w:lineRule="atLeast"/>
      <w:jc w:val="left"/>
      <w:textAlignment w:val="baseline"/>
    </w:pPr>
    <w:rPr>
      <w:kern w:val="0"/>
      <w:szCs w:val="20"/>
    </w:rPr>
  </w:style>
  <w:style w:type="paragraph" w:customStyle="1" w:styleId="201">
    <w:name w:val="列表段落1"/>
    <w:basedOn w:val="1"/>
    <w:autoRedefine/>
    <w:qFormat/>
    <w:uiPriority w:val="34"/>
    <w:pPr>
      <w:ind w:firstLine="200" w:firstLineChars="200"/>
    </w:pPr>
  </w:style>
  <w:style w:type="paragraph" w:customStyle="1" w:styleId="202">
    <w:name w:val="正文1"/>
    <w:autoRedefine/>
    <w:qFormat/>
    <w:uiPriority w:val="0"/>
    <w:pPr>
      <w:widowControl w:val="0"/>
      <w:adjustRightInd w:val="0"/>
      <w:spacing w:line="312" w:lineRule="atLeast"/>
      <w:jc w:val="both"/>
      <w:textAlignment w:val="baseline"/>
    </w:pPr>
    <w:rPr>
      <w:rFonts w:ascii="宋体" w:hAnsi="Calibri" w:eastAsia="宋体" w:cs="宋体"/>
      <w:sz w:val="24"/>
      <w:szCs w:val="24"/>
      <w:lang w:val="en-US" w:eastAsia="zh-CN" w:bidi="ar-SA"/>
    </w:rPr>
  </w:style>
  <w:style w:type="paragraph" w:customStyle="1" w:styleId="203">
    <w:name w:val="Char1 Char Char Char Char Char Char Char Char Char Char Char Char1 Char Char Char Char Char1 Char Char Char Char Char Char Char Char Char1 Char"/>
    <w:basedOn w:val="1"/>
    <w:autoRedefine/>
    <w:qFormat/>
    <w:uiPriority w:val="0"/>
    <w:pPr>
      <w:widowControl/>
      <w:spacing w:after="160" w:line="240" w:lineRule="exact"/>
      <w:ind w:firstLine="560" w:firstLineChars="200"/>
      <w:jc w:val="left"/>
    </w:pPr>
    <w:rPr>
      <w:rFonts w:ascii="宋体" w:hAnsi="宋体"/>
      <w:kern w:val="0"/>
      <w:sz w:val="28"/>
      <w:szCs w:val="28"/>
      <w:lang w:eastAsia="en-US"/>
    </w:rPr>
  </w:style>
  <w:style w:type="paragraph" w:customStyle="1" w:styleId="204">
    <w:name w:val="Char"/>
    <w:basedOn w:val="1"/>
    <w:next w:val="1"/>
    <w:autoRedefine/>
    <w:qFormat/>
    <w:uiPriority w:val="0"/>
    <w:pPr>
      <w:widowControl/>
      <w:spacing w:line="360" w:lineRule="auto"/>
      <w:jc w:val="left"/>
    </w:pPr>
    <w:rPr>
      <w:kern w:val="0"/>
      <w:szCs w:val="20"/>
      <w:lang w:eastAsia="en-US"/>
    </w:rPr>
  </w:style>
  <w:style w:type="paragraph" w:customStyle="1" w:styleId="205">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6">
    <w:name w:val="Char1"/>
    <w:basedOn w:val="1"/>
    <w:next w:val="1"/>
    <w:autoRedefine/>
    <w:qFormat/>
    <w:uiPriority w:val="0"/>
    <w:pPr>
      <w:widowControl/>
      <w:spacing w:line="360" w:lineRule="auto"/>
      <w:jc w:val="left"/>
    </w:pPr>
    <w:rPr>
      <w:kern w:val="0"/>
      <w:szCs w:val="20"/>
      <w:lang w:eastAsia="en-US"/>
    </w:rPr>
  </w:style>
  <w:style w:type="paragraph" w:customStyle="1" w:styleId="207">
    <w:name w:val="样式3"/>
    <w:basedOn w:val="4"/>
    <w:autoRedefine/>
    <w:qFormat/>
    <w:uiPriority w:val="0"/>
    <w:pPr>
      <w:spacing w:line="415" w:lineRule="auto"/>
    </w:pPr>
    <w:rPr>
      <w:rFonts w:eastAsia="Arial"/>
    </w:rPr>
  </w:style>
  <w:style w:type="paragraph" w:customStyle="1" w:styleId="208">
    <w:name w:val="Table Paragraph"/>
    <w:basedOn w:val="1"/>
    <w:autoRedefine/>
    <w:qFormat/>
    <w:uiPriority w:val="1"/>
    <w:rPr>
      <w:rFonts w:ascii="宋体" w:hAnsi="宋体" w:cs="宋体"/>
      <w:lang w:val="zh-CN" w:bidi="zh-CN"/>
    </w:rPr>
  </w:style>
  <w:style w:type="paragraph" w:customStyle="1" w:styleId="209">
    <w:name w:val="p0"/>
    <w:basedOn w:val="1"/>
    <w:autoRedefine/>
    <w:qFormat/>
    <w:uiPriority w:val="0"/>
    <w:pPr>
      <w:widowControl/>
      <w:jc w:val="left"/>
    </w:pPr>
    <w:rPr>
      <w:rFonts w:ascii="宋体" w:hAnsi="宋体" w:cs="宋体"/>
      <w:kern w:val="0"/>
      <w:sz w:val="18"/>
      <w:szCs w:val="18"/>
    </w:rPr>
  </w:style>
  <w:style w:type="paragraph" w:customStyle="1" w:styleId="210">
    <w:name w:val="WPSOffice手动目录 1"/>
    <w:autoRedefine/>
    <w:qFormat/>
    <w:uiPriority w:val="0"/>
    <w:rPr>
      <w:rFonts w:ascii="Times New Roman" w:hAnsi="Times New Roman" w:eastAsia="宋体" w:cs="Times New Roman"/>
      <w:lang w:val="en-US" w:eastAsia="zh-CN" w:bidi="ar-SA"/>
    </w:rPr>
  </w:style>
  <w:style w:type="paragraph" w:customStyle="1" w:styleId="211">
    <w:name w:val="Char4"/>
    <w:basedOn w:val="1"/>
    <w:autoRedefine/>
    <w:qFormat/>
    <w:uiPriority w:val="0"/>
    <w:pPr>
      <w:widowControl/>
      <w:spacing w:line="360" w:lineRule="auto"/>
      <w:ind w:firstLine="200" w:firstLineChars="200"/>
      <w:textAlignment w:val="baseline"/>
    </w:pPr>
    <w:rPr>
      <w:rFonts w:ascii="Calibri" w:hAnsi="Calibri"/>
      <w:color w:val="000000"/>
      <w:kern w:val="0"/>
      <w:szCs w:val="20"/>
      <w:u w:color="000000"/>
    </w:rPr>
  </w:style>
  <w:style w:type="paragraph" w:customStyle="1" w:styleId="21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13">
    <w:name w:val="样式2"/>
    <w:basedOn w:val="4"/>
    <w:autoRedefine/>
    <w:qFormat/>
    <w:uiPriority w:val="0"/>
    <w:pPr>
      <w:spacing w:line="415" w:lineRule="auto"/>
    </w:pPr>
  </w:style>
  <w:style w:type="paragraph" w:customStyle="1" w:styleId="214">
    <w:name w:val="Picture caption|1"/>
    <w:basedOn w:val="1"/>
    <w:autoRedefine/>
    <w:qFormat/>
    <w:uiPriority w:val="0"/>
    <w:rPr>
      <w:rFonts w:ascii="宋体" w:hAnsi="宋体" w:cs="宋体"/>
      <w:sz w:val="20"/>
      <w:szCs w:val="20"/>
      <w:lang w:val="zh-TW" w:eastAsia="zh-TW" w:bidi="zh-TW"/>
    </w:rPr>
  </w:style>
  <w:style w:type="paragraph" w:customStyle="1" w:styleId="215">
    <w:name w:val="样式 标题 1 + 黑体 三号 非加粗 居中 段前: 6 磅 段后: 6 磅 行距: 固定值 20 磅"/>
    <w:basedOn w:val="3"/>
    <w:autoRedefine/>
    <w:qFormat/>
    <w:uiPriority w:val="0"/>
    <w:pPr>
      <w:spacing w:before="120" w:after="120" w:line="400" w:lineRule="exact"/>
    </w:pPr>
    <w:rPr>
      <w:rFonts w:ascii="黑体" w:hAnsi="黑体" w:eastAsia="黑体" w:cs="宋体"/>
      <w:b w:val="0"/>
      <w:bCs w:val="0"/>
      <w:sz w:val="32"/>
      <w:szCs w:val="20"/>
    </w:rPr>
  </w:style>
  <w:style w:type="paragraph" w:customStyle="1" w:styleId="216">
    <w:name w:val="样式4"/>
    <w:basedOn w:val="4"/>
    <w:autoRedefine/>
    <w:qFormat/>
    <w:uiPriority w:val="0"/>
    <w:pPr>
      <w:spacing w:line="415" w:lineRule="auto"/>
    </w:pPr>
    <w:rPr>
      <w:rFonts w:eastAsia="Arial"/>
    </w:rPr>
  </w:style>
  <w:style w:type="paragraph" w:customStyle="1" w:styleId="217">
    <w:name w:val="p0 New"/>
    <w:basedOn w:val="1"/>
    <w:autoRedefine/>
    <w:qFormat/>
    <w:uiPriority w:val="0"/>
    <w:pPr>
      <w:widowControl/>
      <w:jc w:val="left"/>
    </w:pPr>
    <w:rPr>
      <w:rFonts w:ascii="宋体" w:hAnsi="Calibri" w:cs="宋体"/>
      <w:kern w:val="0"/>
      <w:sz w:val="18"/>
      <w:szCs w:val="18"/>
    </w:rPr>
  </w:style>
  <w:style w:type="paragraph" w:customStyle="1" w:styleId="218">
    <w:name w:val="Char Char6"/>
    <w:basedOn w:val="1"/>
    <w:autoRedefine/>
    <w:qFormat/>
    <w:uiPriority w:val="0"/>
    <w:pPr>
      <w:widowControl/>
      <w:spacing w:after="160" w:line="240" w:lineRule="exact"/>
      <w:jc w:val="left"/>
    </w:pPr>
  </w:style>
  <w:style w:type="paragraph" w:customStyle="1" w:styleId="219">
    <w:name w:val="列出段落1"/>
    <w:basedOn w:val="1"/>
    <w:autoRedefine/>
    <w:qFormat/>
    <w:uiPriority w:val="0"/>
    <w:pPr>
      <w:ind w:firstLine="200" w:firstLineChars="200"/>
    </w:pPr>
    <w:rPr>
      <w:rFonts w:ascii="Calibri" w:hAnsi="Calibri"/>
    </w:rPr>
  </w:style>
  <w:style w:type="paragraph" w:customStyle="1" w:styleId="220">
    <w:name w:val="1"/>
    <w:basedOn w:val="1"/>
    <w:next w:val="1"/>
    <w:autoRedefine/>
    <w:qFormat/>
    <w:uiPriority w:val="0"/>
  </w:style>
  <w:style w:type="paragraph" w:customStyle="1" w:styleId="221">
    <w:name w:val="Body text|2"/>
    <w:basedOn w:val="1"/>
    <w:autoRedefine/>
    <w:qFormat/>
    <w:uiPriority w:val="0"/>
    <w:pPr>
      <w:spacing w:before="3540" w:line="634" w:lineRule="exact"/>
      <w:ind w:left="2920" w:hanging="790"/>
    </w:pPr>
    <w:rPr>
      <w:rFonts w:ascii="宋体" w:hAnsi="宋体" w:cs="宋体"/>
      <w:sz w:val="30"/>
      <w:szCs w:val="30"/>
      <w:u w:val="single"/>
      <w:lang w:val="zh-TW" w:eastAsia="zh-TW" w:bidi="zh-TW"/>
    </w:rPr>
  </w:style>
  <w:style w:type="paragraph" w:customStyle="1" w:styleId="22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23">
    <w:name w:val="Body text|1"/>
    <w:basedOn w:val="1"/>
    <w:autoRedefine/>
    <w:qFormat/>
    <w:uiPriority w:val="0"/>
    <w:pPr>
      <w:spacing w:line="468" w:lineRule="auto"/>
      <w:ind w:firstLine="400"/>
    </w:pPr>
    <w:rPr>
      <w:rFonts w:ascii="宋体" w:hAnsi="宋体" w:cs="宋体"/>
      <w:sz w:val="20"/>
      <w:szCs w:val="20"/>
      <w:lang w:val="zh-TW" w:eastAsia="zh-TW" w:bidi="zh-TW"/>
    </w:rPr>
  </w:style>
  <w:style w:type="paragraph" w:customStyle="1" w:styleId="224">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styleId="225">
    <w:name w:val="List Paragraph"/>
    <w:basedOn w:val="1"/>
    <w:autoRedefine/>
    <w:qFormat/>
    <w:uiPriority w:val="0"/>
    <w:pPr>
      <w:ind w:firstLine="200" w:firstLineChars="200"/>
    </w:pPr>
    <w:rPr>
      <w:rFonts w:ascii="Calibri" w:hAnsi="Calibri"/>
      <w:szCs w:val="22"/>
    </w:rPr>
  </w:style>
  <w:style w:type="paragraph" w:customStyle="1" w:styleId="226">
    <w:name w:val="默认段落字体 Para Char Char Char Char"/>
    <w:basedOn w:val="1"/>
    <w:autoRedefine/>
    <w:qFormat/>
    <w:uiPriority w:val="0"/>
  </w:style>
  <w:style w:type="paragraph" w:customStyle="1" w:styleId="227">
    <w:name w:val="正文2"/>
    <w:autoRedefine/>
    <w:qFormat/>
    <w:uiPriority w:val="0"/>
    <w:pPr>
      <w:widowControl w:val="0"/>
      <w:jc w:val="both"/>
    </w:pPr>
    <w:rPr>
      <w:rFonts w:ascii="Calibri" w:hAnsi="Calibri" w:eastAsia="宋体" w:cs="Times New Roman"/>
      <w:lang w:val="en-US" w:eastAsia="zh-CN" w:bidi="ar-SA"/>
    </w:rPr>
  </w:style>
  <w:style w:type="paragraph" w:customStyle="1" w:styleId="228">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229">
    <w:name w:val="Char Char Char Char Char Char Char Char Char Char Char Char Char"/>
    <w:basedOn w:val="1"/>
    <w:autoRedefine/>
    <w:qFormat/>
    <w:uiPriority w:val="0"/>
    <w:rPr>
      <w:rFonts w:ascii="Calibri" w:hAnsi="Calibri"/>
    </w:rPr>
  </w:style>
  <w:style w:type="paragraph" w:customStyle="1" w:styleId="230">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231">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paragraph" w:customStyle="1" w:styleId="232">
    <w:name w:val="Char Char Char Char Char Char Char Char Char Char Char Char Char1"/>
    <w:basedOn w:val="1"/>
    <w:autoRedefine/>
    <w:qFormat/>
    <w:uiPriority w:val="0"/>
  </w:style>
  <w:style w:type="character" w:customStyle="1" w:styleId="233">
    <w:name w:val="未处理的提及1"/>
    <w:basedOn w:val="52"/>
    <w:autoRedefine/>
    <w:semiHidden/>
    <w:unhideWhenUsed/>
    <w:qFormat/>
    <w:uiPriority w:val="99"/>
    <w:rPr>
      <w:color w:val="605E5C"/>
      <w:shd w:val="clear" w:color="auto" w:fill="E1DFDD"/>
    </w:rPr>
  </w:style>
  <w:style w:type="character" w:customStyle="1" w:styleId="234">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table" w:customStyle="1" w:styleId="235">
    <w:name w:val="Table Normal"/>
    <w:autoRedefine/>
    <w:semiHidden/>
    <w:unhideWhenUsed/>
    <w:qFormat/>
    <w:uiPriority w:val="0"/>
    <w:tblPr>
      <w:tblCellMar>
        <w:top w:w="0" w:type="dxa"/>
        <w:left w:w="0" w:type="dxa"/>
        <w:bottom w:w="0" w:type="dxa"/>
        <w:right w:w="0" w:type="dxa"/>
      </w:tblCellMar>
    </w:tblPr>
  </w:style>
  <w:style w:type="table" w:customStyle="1" w:styleId="236">
    <w:name w:val="网格型1"/>
    <w:basedOn w:val="50"/>
    <w:autoRedefine/>
    <w:qFormat/>
    <w:uiPriority w:val="39"/>
    <w:rPr>
      <w:rFonts w:ascii="等线" w:hAnsi="等线" w:eastAsia="等线"/>
      <w:kern w:val="2"/>
      <w:sz w:val="21"/>
      <w:szCs w:val="2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7">
    <w:name w:val="text-tag1"/>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2DBD6-FDE9-45F9-9322-47695EF4DCF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4102</Words>
  <Characters>23383</Characters>
  <Lines>194</Lines>
  <Paragraphs>54</Paragraphs>
  <TotalTime>1</TotalTime>
  <ScaleCrop>false</ScaleCrop>
  <LinksUpToDate>false</LinksUpToDate>
  <CharactersWithSpaces>27431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2021-07-21T07:39:00Z</dcterms:created>
  <dc:creator>微软用户</dc:creator>
  <cp:lastModifiedBy>灰灰菇凉</cp:lastModifiedBy>
  <cp:lastPrinted>2022-01-03T08:24:00Z</cp:lastPrinted>
  <dcterms:modified xsi:type="dcterms:W3CDTF">2024-05-15T03:53:01Z</dcterms:modified>
  <dc:title>花亭路等道路绿化工程苗木比价采购</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42652854B11C4C06AE6B728E4B91193D_13</vt:lpwstr>
  </property>
</Properties>
</file>