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color w:val="000000"/>
          <w:kern w:val="0"/>
          <w:sz w:val="36"/>
          <w:szCs w:val="36"/>
          <w:lang w:eastAsia="zh-CN"/>
        </w:rPr>
      </w:pPr>
      <w:r>
        <w:rPr>
          <w:rFonts w:hint="eastAsia" w:ascii="仿宋" w:hAnsi="仿宋" w:eastAsia="仿宋" w:cs="仿宋"/>
          <w:b/>
          <w:bCs/>
          <w:color w:val="000000"/>
          <w:kern w:val="0"/>
          <w:sz w:val="36"/>
          <w:szCs w:val="36"/>
          <w:lang w:val="en-US" w:eastAsia="zh-CN"/>
        </w:rPr>
        <w:t>滁州市第二人民医院行政后勤楼局部装修工程</w:t>
      </w:r>
      <w:r>
        <w:rPr>
          <w:rFonts w:hint="eastAsia" w:ascii="仿宋" w:hAnsi="仿宋" w:eastAsia="仿宋" w:cs="仿宋"/>
          <w:b/>
          <w:bCs/>
          <w:color w:val="000000"/>
          <w:kern w:val="0"/>
          <w:sz w:val="36"/>
          <w:szCs w:val="36"/>
          <w:lang w:eastAsia="zh-CN"/>
        </w:rPr>
        <w:t xml:space="preserve"> </w:t>
      </w:r>
    </w:p>
    <w:p>
      <w:pPr>
        <w:jc w:val="both"/>
        <w:rPr>
          <w:rFonts w:hint="eastAsia" w:ascii="仿宋" w:hAnsi="仿宋" w:eastAsia="仿宋" w:cs="仿宋"/>
          <w:b/>
          <w:bCs/>
          <w:color w:val="000000"/>
          <w:kern w:val="0"/>
          <w:sz w:val="36"/>
          <w:szCs w:val="36"/>
          <w:lang w:eastAsia="zh-CN"/>
        </w:rPr>
      </w:pPr>
    </w:p>
    <w:p>
      <w:pPr>
        <w:jc w:val="center"/>
        <w:rPr>
          <w:rFonts w:hint="eastAsia" w:ascii="仿宋" w:hAnsi="仿宋" w:eastAsia="仿宋" w:cs="仿宋"/>
          <w:b/>
          <w:bCs/>
          <w:color w:val="000000"/>
          <w:kern w:val="0"/>
          <w:sz w:val="36"/>
          <w:szCs w:val="36"/>
        </w:rPr>
      </w:pPr>
      <w:r>
        <w:rPr>
          <w:rFonts w:hint="eastAsia" w:ascii="仿宋" w:hAnsi="仿宋" w:eastAsia="仿宋" w:cs="仿宋"/>
          <w:b/>
          <w:bCs/>
          <w:color w:val="000000"/>
          <w:kern w:val="0"/>
          <w:sz w:val="36"/>
          <w:szCs w:val="36"/>
          <w:lang w:val="en-US" w:eastAsia="zh-CN"/>
        </w:rPr>
        <w:t>控制价</w:t>
      </w:r>
      <w:r>
        <w:rPr>
          <w:rFonts w:hint="eastAsia" w:ascii="仿宋" w:hAnsi="仿宋" w:eastAsia="仿宋" w:cs="仿宋"/>
          <w:b/>
          <w:bCs/>
          <w:color w:val="000000"/>
          <w:kern w:val="0"/>
          <w:sz w:val="36"/>
          <w:szCs w:val="36"/>
        </w:rPr>
        <w:t>编制说明</w:t>
      </w:r>
    </w:p>
    <w:p>
      <w:pPr>
        <w:spacing w:line="360" w:lineRule="auto"/>
        <w:rPr>
          <w:rFonts w:hint="eastAsia" w:ascii="仿宋_GB2312" w:hAnsi="宋体" w:eastAsia="仿宋_GB2312"/>
          <w:b/>
          <w:sz w:val="24"/>
        </w:rPr>
      </w:pPr>
    </w:p>
    <w:p>
      <w:pPr>
        <w:spacing w:line="360" w:lineRule="auto"/>
        <w:rPr>
          <w:rFonts w:hint="eastAsia" w:ascii="仿宋_GB2312" w:hAnsi="宋体" w:eastAsia="仿宋_GB2312"/>
          <w:b/>
          <w:sz w:val="24"/>
        </w:rPr>
      </w:pPr>
    </w:p>
    <w:p>
      <w:pPr>
        <w:numPr>
          <w:ilvl w:val="0"/>
          <w:numId w:val="1"/>
        </w:numPr>
        <w:spacing w:line="480" w:lineRule="exact"/>
        <w:rPr>
          <w:rFonts w:hint="eastAsia"/>
          <w:lang w:val="en-US" w:eastAsia="zh-CN"/>
        </w:rPr>
      </w:pPr>
      <w:r>
        <w:rPr>
          <w:rFonts w:hint="eastAsia" w:ascii="仿宋" w:hAnsi="仿宋" w:eastAsia="仿宋" w:cs="仿宋"/>
          <w:b/>
          <w:bCs/>
          <w:sz w:val="24"/>
          <w:szCs w:val="24"/>
          <w:lang w:val="en-US" w:eastAsia="zh-CN"/>
        </w:rPr>
        <w:t>工程概况</w:t>
      </w:r>
    </w:p>
    <w:p>
      <w:pPr>
        <w:spacing w:line="360" w:lineRule="auto"/>
        <w:ind w:firstLine="480" w:firstLine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本工程为滁州市第二人民医院行政后勤楼局部装修工程 。位于滁州市第二人民医院行政后勤楼。本工程包括地面装饰、墙面装饰、吊顶装饰、垃圾清运等相关施工的实施。</w:t>
      </w:r>
    </w:p>
    <w:p>
      <w:pPr>
        <w:spacing w:line="480" w:lineRule="exact"/>
        <w:ind w:firstLine="480" w:firstLineChars="200"/>
        <w:rPr>
          <w:rFonts w:hint="default" w:ascii="仿宋" w:hAnsi="仿宋" w:eastAsia="仿宋" w:cs="仿宋"/>
          <w:sz w:val="24"/>
          <w:szCs w:val="24"/>
          <w:lang w:val="en-US" w:eastAsia="zh-CN"/>
        </w:rPr>
      </w:pPr>
    </w:p>
    <w:p>
      <w:pPr>
        <w:numPr>
          <w:ilvl w:val="0"/>
          <w:numId w:val="0"/>
        </w:numPr>
        <w:spacing w:line="480" w:lineRule="exact"/>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二、控制价编制依据：</w:t>
      </w:r>
    </w:p>
    <w:p>
      <w:pPr>
        <w:spacing w:line="480" w:lineRule="exact"/>
        <w:ind w:firstLine="240" w:firstLineChars="1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1、2018年《安徽省公用定额》</w:t>
      </w:r>
    </w:p>
    <w:p>
      <w:pPr>
        <w:spacing w:line="480" w:lineRule="exact"/>
        <w:ind w:firstLine="240" w:firstLineChars="1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2、2018年《安徽省建筑工程计价定额》</w:t>
      </w:r>
    </w:p>
    <w:p>
      <w:pPr>
        <w:spacing w:line="480" w:lineRule="exact"/>
        <w:ind w:firstLine="240" w:firstLineChars="1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3、2018年《安徽省装饰装修工程计价定额》</w:t>
      </w:r>
    </w:p>
    <w:p>
      <w:pPr>
        <w:spacing w:line="480" w:lineRule="exact"/>
        <w:ind w:firstLine="240" w:firstLineChars="1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4、2018年《安徽省市政工程计价定额》</w:t>
      </w:r>
    </w:p>
    <w:p>
      <w:pPr>
        <w:spacing w:line="480" w:lineRule="exact"/>
        <w:ind w:firstLine="240" w:firstLineChars="1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5、2018年《安徽省安装工程计价定额》</w:t>
      </w:r>
    </w:p>
    <w:p>
      <w:pPr>
        <w:spacing w:line="480" w:lineRule="exact"/>
        <w:ind w:firstLine="240" w:firstLineChars="1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6、2018年《安徽省园林工程计价定额》</w:t>
      </w:r>
    </w:p>
    <w:p>
      <w:pPr>
        <w:spacing w:line="480" w:lineRule="exact"/>
        <w:ind w:firstLine="240" w:firstLineChars="100"/>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7、2021年《安徽省房屋修缮工程计价定额》</w:t>
      </w:r>
    </w:p>
    <w:p>
      <w:pPr>
        <w:spacing w:line="480" w:lineRule="exact"/>
        <w:ind w:firstLine="240" w:firstLineChars="100"/>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8、2018年《安徽省建设工程清单计价及施工机械台班费用定额》</w:t>
      </w:r>
    </w:p>
    <w:p>
      <w:pPr>
        <w:spacing w:line="480" w:lineRule="exact"/>
        <w:ind w:firstLine="240" w:firstLineChars="1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9、本工程招标文件及国家现行相关标准。</w:t>
      </w:r>
    </w:p>
    <w:p>
      <w:pPr>
        <w:spacing w:line="480" w:lineRule="exact"/>
        <w:ind w:firstLine="240" w:firstLineChars="100"/>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10、省、市截止2023年5月的有关政策性文件。</w:t>
      </w:r>
    </w:p>
    <w:p>
      <w:pPr>
        <w:spacing w:line="480" w:lineRule="exact"/>
        <w:ind w:left="519" w:leftChars="133" w:hanging="240" w:hangingChars="100"/>
        <w:rPr>
          <w:rFonts w:hint="eastAsia" w:ascii="仿宋" w:hAnsi="仿宋" w:eastAsia="仿宋" w:cs="仿宋"/>
          <w:sz w:val="24"/>
          <w:szCs w:val="24"/>
          <w:lang w:val="en-US" w:eastAsia="zh-CN"/>
        </w:rPr>
      </w:pPr>
    </w:p>
    <w:p>
      <w:pPr>
        <w:spacing w:line="480" w:lineRule="exact"/>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三、编制范围：</w:t>
      </w:r>
    </w:p>
    <w:p>
      <w:pPr>
        <w:spacing w:line="360" w:lineRule="auto"/>
        <w:ind w:left="519" w:leftChars="133" w:hanging="240" w:hangingChars="1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1.工程量清单中所列明的全部内容。</w:t>
      </w:r>
    </w:p>
    <w:p>
      <w:pPr>
        <w:spacing w:line="360" w:lineRule="auto"/>
        <w:ind w:left="519" w:leftChars="133" w:hanging="240" w:hangingChars="1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2.业主单位的相关要求。</w:t>
      </w:r>
    </w:p>
    <w:p>
      <w:pPr>
        <w:pStyle w:val="3"/>
        <w:keepNext w:val="0"/>
        <w:keepLines w:val="0"/>
        <w:widowControl/>
        <w:suppressLineNumbers w:val="0"/>
        <w:spacing w:before="0" w:beforeAutospacing="0" w:after="0" w:afterAutospacing="0" w:line="360" w:lineRule="auto"/>
        <w:ind w:left="0" w:right="0" w:firstLine="240" w:firstLineChars="1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3.业主单位提供的设计图纸。</w:t>
      </w:r>
    </w:p>
    <w:p>
      <w:pPr>
        <w:pStyle w:val="3"/>
        <w:keepNext w:val="0"/>
        <w:keepLines w:val="0"/>
        <w:widowControl/>
        <w:suppressLineNumbers w:val="0"/>
        <w:spacing w:before="0" w:beforeAutospacing="0" w:after="0" w:afterAutospacing="0" w:line="360" w:lineRule="auto"/>
        <w:ind w:left="0" w:right="0" w:firstLine="240" w:firstLineChars="100"/>
        <w:rPr>
          <w:rFonts w:hint="default" w:ascii="仿宋" w:hAnsi="仿宋" w:eastAsia="仿宋" w:cs="仿宋"/>
          <w:sz w:val="24"/>
          <w:szCs w:val="24"/>
          <w:lang w:val="en-US" w:eastAsia="zh-CN"/>
        </w:rPr>
      </w:pPr>
    </w:p>
    <w:p>
      <w:pPr>
        <w:spacing w:line="480" w:lineRule="exact"/>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四、取费标准：</w:t>
      </w:r>
    </w:p>
    <w:p>
      <w:pPr>
        <w:spacing w:line="360" w:lineRule="auto"/>
        <w:ind w:firstLine="480" w:firstLine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1、税金：按安徽省造价总站造价建标[2019]7号文以9%计取。</w:t>
      </w:r>
    </w:p>
    <w:p>
      <w:pPr>
        <w:spacing w:line="360" w:lineRule="auto"/>
        <w:ind w:firstLine="480" w:firstLine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2、人工费：按信息价以160元/工日取。</w:t>
      </w:r>
    </w:p>
    <w:p>
      <w:pPr>
        <w:spacing w:line="360" w:lineRule="auto"/>
        <w:ind w:firstLine="480" w:firstLine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3、本工程的编制计价取费费率为“装饰装修工程”</w:t>
      </w:r>
    </w:p>
    <w:p>
      <w:pPr>
        <w:spacing w:line="360" w:lineRule="auto"/>
        <w:ind w:firstLine="480" w:firstLine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4、本工程材料价格取自滁州市2023年5月建设工程材料市场价格信息，滁州市没有的价格以为同期合肥市信息价为准；合肥市同期信息价没有的以同期南京市信息价为准；均没有的以业主单位认可的市场价为准。</w:t>
      </w:r>
    </w:p>
    <w:p>
      <w:pPr>
        <w:spacing w:line="480" w:lineRule="exact"/>
        <w:ind w:left="519" w:leftChars="133" w:hanging="240" w:hangingChars="100"/>
        <w:rPr>
          <w:rFonts w:hint="default" w:ascii="仿宋" w:hAnsi="仿宋" w:eastAsia="仿宋" w:cs="仿宋"/>
          <w:sz w:val="24"/>
          <w:szCs w:val="24"/>
          <w:lang w:val="en-US" w:eastAsia="zh-CN"/>
        </w:rPr>
      </w:pPr>
    </w:p>
    <w:p>
      <w:pPr>
        <w:spacing w:line="480" w:lineRule="exact"/>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五、相关说明</w:t>
      </w:r>
    </w:p>
    <w:p>
      <w:pPr>
        <w:spacing w:line="360" w:lineRule="auto"/>
        <w:ind w:firstLine="480" w:firstLine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1.本说明中未尽事项和描述不清的之处以清单中具体特征描述为准</w:t>
      </w:r>
    </w:p>
    <w:p>
      <w:pPr>
        <w:spacing w:line="360" w:lineRule="auto"/>
        <w:ind w:firstLine="480" w:firstLineChars="200"/>
        <w:jc w:val="both"/>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2.若清单控制价没有列出某项施做工序并非缺项，投标单位勘察现场结合业主单位相关要求和设计图纸、图纸答疑综合考虑投标报价。亦可对相关工程量（或工序）在规定时间内与我司进行答疑。</w:t>
      </w:r>
    </w:p>
    <w:p>
      <w:pPr>
        <w:spacing w:line="360" w:lineRule="auto"/>
        <w:ind w:firstLine="480" w:firstLine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3.本工程编制不考虑赶工措施费和非夜间施工照明费。</w:t>
      </w:r>
    </w:p>
    <w:p>
      <w:pPr>
        <w:spacing w:line="360" w:lineRule="auto"/>
        <w:ind w:firstLine="480" w:firstLine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4.未列出部位脚手架等措施费编制不做考虑，若投标单位需在改部位处考虑相关措施费，请在该部位的相关清单项目下综合考虑报价，结算时不作调整。</w:t>
      </w:r>
    </w:p>
    <w:p>
      <w:pPr>
        <w:spacing w:line="360" w:lineRule="auto"/>
        <w:ind w:firstLine="480" w:firstLineChars="200"/>
        <w:jc w:val="both"/>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5.图纸中的所有涉及安装工程除一层外，其他各层</w:t>
      </w:r>
      <w:bookmarkStart w:id="0" w:name="_GoBack"/>
      <w:bookmarkEnd w:id="0"/>
      <w:r>
        <w:rPr>
          <w:rFonts w:hint="eastAsia" w:ascii="仿宋" w:hAnsi="仿宋" w:eastAsia="仿宋" w:cs="仿宋"/>
          <w:b w:val="0"/>
          <w:bCs w:val="0"/>
          <w:sz w:val="24"/>
          <w:szCs w:val="24"/>
          <w:lang w:val="en-US" w:eastAsia="zh-CN"/>
        </w:rPr>
        <w:t>均不含在本次编制范围，其中一层vip包间吊灯由业主单位自行考虑编制未包含。</w:t>
      </w:r>
    </w:p>
    <w:p>
      <w:pPr>
        <w:spacing w:line="360" w:lineRule="auto"/>
        <w:ind w:firstLine="480" w:firstLineChars="200"/>
        <w:jc w:val="both"/>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6.图纸中显示已完成的项目均不包含在本次编制范围。</w:t>
      </w:r>
    </w:p>
    <w:p>
      <w:pPr>
        <w:spacing w:line="360" w:lineRule="auto"/>
        <w:ind w:firstLine="480" w:firstLineChars="200"/>
        <w:jc w:val="both"/>
        <w:rPr>
          <w:rFonts w:hint="default"/>
          <w:lang w:val="en-US" w:eastAsia="zh-CN"/>
        </w:rPr>
      </w:pPr>
      <w:r>
        <w:rPr>
          <w:rFonts w:hint="eastAsia" w:ascii="仿宋" w:hAnsi="仿宋" w:eastAsia="仿宋" w:cs="仿宋"/>
          <w:b w:val="0"/>
          <w:bCs w:val="0"/>
          <w:sz w:val="24"/>
          <w:szCs w:val="24"/>
          <w:lang w:val="en-US" w:eastAsia="zh-CN"/>
        </w:rPr>
        <w:t>7.未列出的活动家具均不包含在本次编制范围。</w:t>
      </w:r>
    </w:p>
    <w:p>
      <w:pPr>
        <w:pStyle w:val="2"/>
        <w:rPr>
          <w:rFonts w:hint="default"/>
          <w:lang w:val="en-US" w:eastAsia="zh-CN"/>
        </w:rPr>
      </w:pPr>
    </w:p>
    <w:p>
      <w:pPr>
        <w:spacing w:line="480" w:lineRule="exact"/>
        <w:ind w:firstLine="240" w:firstLineChars="100"/>
        <w:rPr>
          <w:rFonts w:hint="default" w:ascii="仿宋" w:hAnsi="仿宋" w:eastAsia="仿宋" w:cs="仿宋"/>
          <w:sz w:val="24"/>
          <w:szCs w:val="24"/>
          <w:lang w:val="en-US" w:eastAsia="zh-CN"/>
        </w:rPr>
      </w:pPr>
    </w:p>
    <w:p>
      <w:pPr>
        <w:spacing w:line="480" w:lineRule="exact"/>
        <w:ind w:left="520" w:leftChars="133" w:hanging="241" w:hangingChars="10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六、其他说明：</w:t>
      </w:r>
    </w:p>
    <w:p>
      <w:pPr>
        <w:spacing w:line="480" w:lineRule="exact"/>
        <w:ind w:left="519" w:leftChars="133" w:hanging="240" w:hangingChars="1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工程量清单列出的每个项目已包括涉及与该细目有关的全部工程内容，投标人应将工程量清单与招标文件、合同通用条款、专用条款以及技术规范和图纸一起对照阅读。除非合同另有规定，工程量清单中每一项单价均应已包括完成相应该项目的工程内容所需的所有人工、设备、材料和其他伴随服务所发生的所有费用。</w:t>
      </w:r>
    </w:p>
    <w:p>
      <w:pPr>
        <w:spacing w:line="480" w:lineRule="exact"/>
        <w:ind w:left="519" w:leftChars="133" w:hanging="240" w:hangingChars="1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2、根据建设单位要求，招标工程量清单中建筑垃圾外运运距系综合考虑，各潜在投标人自行踏勘现场并确定垃圾弃置点，竣工结算时运距不予调整。</w:t>
      </w:r>
    </w:p>
    <w:p>
      <w:pPr>
        <w:spacing w:line="480" w:lineRule="exact"/>
        <w:ind w:left="519" w:leftChars="133" w:hanging="240" w:hangingChars="1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3、根据建设单位要求，工程实施过程中若发包人根据需要更换主要材料或取消某个项目，承包人必须无条件服从，其调整部分由发包人根据相关规定确认，工结算时是否调整以合同约定为准。</w:t>
      </w:r>
    </w:p>
    <w:p>
      <w:pPr>
        <w:spacing w:line="480" w:lineRule="exact"/>
        <w:ind w:left="519" w:leftChars="133" w:hanging="240" w:hangingChars="1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4、施工单位施工时造成的管道、线路等损坏均为施工方自行承担费用修复，结算时不予计算该部分费用。</w:t>
      </w:r>
    </w:p>
    <w:p>
      <w:pPr>
        <w:spacing w:line="480" w:lineRule="exact"/>
        <w:ind w:left="519" w:leftChars="133" w:hanging="240" w:hangingChars="1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5、凡技术规范和图集中注明的工程内容，如在招标工程量清单中未列项，均应视为包含在其它相关项目中。</w:t>
      </w:r>
    </w:p>
    <w:p>
      <w:pPr>
        <w:spacing w:line="480" w:lineRule="exact"/>
        <w:ind w:left="519" w:leftChars="133" w:hanging="240" w:hangingChars="1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6.招标工程量清单中描述未明确的，以相关施工验收规范、图集为准。</w:t>
      </w:r>
    </w:p>
    <w:p>
      <w:pPr>
        <w:spacing w:line="480" w:lineRule="exact"/>
        <w:ind w:left="519" w:leftChars="133" w:hanging="240" w:hangingChars="1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投标人若对本次清单控制价编制存在疑问的请于国家相关法律法规规定的日期内向招标人提出，我司对潜在投标人的疑问予以相应答疑，中标后我司有权对中标人提出的关于本次控制价清单的任何不合理疑问予以拒绝。</w:t>
      </w:r>
    </w:p>
    <w:p>
      <w:pPr>
        <w:numPr>
          <w:ilvl w:val="0"/>
          <w:numId w:val="0"/>
        </w:numPr>
        <w:snapToGrid w:val="0"/>
        <w:spacing w:line="500" w:lineRule="exact"/>
        <w:rPr>
          <w:rFonts w:hint="eastAsia" w:ascii="仿宋_GB2312" w:hAnsi="仿宋_GB2312" w:eastAsia="仿宋_GB2312" w:cs="仿宋_GB2312"/>
          <w:b/>
          <w:bCs/>
          <w:sz w:val="28"/>
          <w:szCs w:val="28"/>
          <w:lang w:eastAsia="zh-CN"/>
        </w:rPr>
      </w:pPr>
    </w:p>
    <w:p>
      <w:pPr>
        <w:spacing w:line="480" w:lineRule="exact"/>
        <w:ind w:left="520" w:leftChars="133" w:hanging="241" w:hangingChars="100"/>
        <w:rPr>
          <w:rFonts w:hint="eastAsia" w:ascii="仿宋" w:hAnsi="仿宋" w:eastAsia="仿宋" w:cs="仿宋"/>
          <w:sz w:val="24"/>
          <w:szCs w:val="24"/>
          <w:lang w:val="en-US" w:eastAsia="zh-CN"/>
        </w:rPr>
      </w:pPr>
      <w:r>
        <w:rPr>
          <w:rFonts w:hint="eastAsia" w:ascii="仿宋" w:hAnsi="仿宋" w:eastAsia="仿宋" w:cs="仿宋"/>
          <w:b/>
          <w:bCs/>
          <w:sz w:val="24"/>
          <w:szCs w:val="24"/>
          <w:lang w:val="en-US" w:eastAsia="zh-CN"/>
        </w:rPr>
        <w:t xml:space="preserve">七、工程质量:  </w:t>
      </w:r>
      <w:r>
        <w:rPr>
          <w:rFonts w:hint="eastAsia" w:ascii="仿宋" w:hAnsi="仿宋" w:eastAsia="仿宋" w:cs="仿宋"/>
          <w:sz w:val="24"/>
          <w:szCs w:val="24"/>
          <w:lang w:val="en-US" w:eastAsia="zh-CN"/>
        </w:rPr>
        <w:t xml:space="preserve"> 符合国家验收质量合格标准。</w:t>
      </w:r>
    </w:p>
    <w:p>
      <w:pPr>
        <w:spacing w:line="480" w:lineRule="exact"/>
        <w:ind w:left="519" w:leftChars="133" w:hanging="240" w:hangingChars="100"/>
        <w:rPr>
          <w:rFonts w:hint="eastAsia" w:ascii="仿宋" w:hAnsi="仿宋" w:eastAsia="仿宋" w:cs="仿宋"/>
          <w:sz w:val="24"/>
          <w:szCs w:val="24"/>
          <w:lang w:val="en-US" w:eastAsia="zh-CN"/>
        </w:rPr>
      </w:pPr>
    </w:p>
    <w:p>
      <w:pPr>
        <w:numPr>
          <w:ilvl w:val="0"/>
          <w:numId w:val="2"/>
        </w:numPr>
        <w:spacing w:line="480" w:lineRule="exact"/>
        <w:ind w:firstLine="241" w:firstLineChars="10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暂列金额:</w:t>
      </w:r>
      <w:r>
        <w:rPr>
          <w:rFonts w:hint="eastAsia" w:ascii="仿宋" w:hAnsi="仿宋" w:eastAsia="仿宋" w:cs="仿宋"/>
          <w:sz w:val="24"/>
          <w:szCs w:val="24"/>
          <w:lang w:val="en-US" w:eastAsia="zh-CN"/>
        </w:rPr>
        <w:t xml:space="preserve">  </w:t>
      </w:r>
      <w:r>
        <w:rPr>
          <w:rFonts w:hint="eastAsia" w:ascii="仿宋" w:hAnsi="仿宋" w:eastAsia="仿宋" w:cs="仿宋"/>
          <w:b/>
          <w:bCs/>
          <w:sz w:val="24"/>
          <w:szCs w:val="24"/>
          <w:lang w:val="en-US" w:eastAsia="zh-CN"/>
        </w:rPr>
        <w:t xml:space="preserve"> 本工程暂列金额</w:t>
      </w:r>
      <w:r>
        <w:rPr>
          <w:rFonts w:hint="eastAsia" w:ascii="仿宋" w:hAnsi="仿宋" w:eastAsia="仿宋" w:cs="仿宋"/>
          <w:b/>
          <w:bCs/>
          <w:color w:val="FF0000"/>
          <w:sz w:val="24"/>
          <w:szCs w:val="24"/>
          <w:lang w:val="en-US" w:eastAsia="zh-CN"/>
        </w:rPr>
        <w:t>700</w:t>
      </w:r>
      <w:r>
        <w:rPr>
          <w:rFonts w:hint="eastAsia" w:ascii="仿宋" w:hAnsi="仿宋" w:eastAsia="仿宋" w:cs="仿宋"/>
          <w:b/>
          <w:bCs/>
          <w:color w:val="FF0000"/>
          <w:sz w:val="24"/>
          <w:szCs w:val="24"/>
          <w:lang w:val="en-US" w:eastAsia="zh-CN"/>
        </w:rPr>
        <w:t>0</w:t>
      </w:r>
      <w:r>
        <w:rPr>
          <w:rFonts w:hint="eastAsia" w:ascii="仿宋" w:hAnsi="仿宋" w:eastAsia="仿宋" w:cs="仿宋"/>
          <w:b/>
          <w:bCs/>
          <w:sz w:val="24"/>
          <w:szCs w:val="24"/>
          <w:lang w:val="en-US" w:eastAsia="zh-CN"/>
        </w:rPr>
        <w:t>元</w:t>
      </w:r>
    </w:p>
    <w:p>
      <w:pPr>
        <w:numPr>
          <w:ilvl w:val="0"/>
          <w:numId w:val="0"/>
        </w:numPr>
        <w:spacing w:line="480" w:lineRule="exact"/>
        <w:rPr>
          <w:rFonts w:hint="default" w:ascii="仿宋" w:hAnsi="仿宋" w:eastAsia="仿宋" w:cs="仿宋"/>
          <w:b/>
          <w:bCs/>
          <w:sz w:val="24"/>
          <w:szCs w:val="24"/>
          <w:lang w:val="en-US" w:eastAsia="zh-CN"/>
        </w:rPr>
      </w:pPr>
    </w:p>
    <w:p>
      <w:pPr>
        <w:numPr>
          <w:ilvl w:val="0"/>
          <w:numId w:val="3"/>
        </w:numPr>
        <w:spacing w:line="480" w:lineRule="exact"/>
        <w:ind w:left="2889" w:leftChars="114" w:hanging="2650" w:hangingChars="1100"/>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编制结论：    本工程控制价为：</w:t>
      </w:r>
    </w:p>
    <w:p>
      <w:pPr>
        <w:numPr>
          <w:ilvl w:val="0"/>
          <w:numId w:val="0"/>
        </w:numPr>
        <w:spacing w:line="480" w:lineRule="exact"/>
        <w:ind w:firstLine="2409" w:firstLineChars="1000"/>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小写：</w:t>
      </w:r>
      <w:r>
        <w:rPr>
          <w:rFonts w:hint="eastAsia" w:ascii="仿宋" w:hAnsi="仿宋" w:eastAsia="仿宋" w:cs="仿宋"/>
          <w:b/>
          <w:bCs/>
          <w:color w:val="FF0000"/>
          <w:sz w:val="24"/>
          <w:szCs w:val="24"/>
          <w:lang w:val="en-US" w:eastAsia="zh-CN"/>
        </w:rPr>
        <w:t>499906.91元</w:t>
      </w:r>
    </w:p>
    <w:p>
      <w:pPr>
        <w:rPr>
          <w:rFonts w:hint="default"/>
          <w:b/>
          <w:bCs/>
          <w:color w:val="FF0000"/>
          <w:lang w:val="en-US"/>
        </w:rPr>
      </w:pPr>
      <w:r>
        <w:rPr>
          <w:rFonts w:hint="eastAsia" w:ascii="仿宋" w:hAnsi="仿宋" w:eastAsia="仿宋" w:cs="仿宋"/>
          <w:b/>
          <w:bCs/>
          <w:sz w:val="24"/>
          <w:szCs w:val="24"/>
          <w:lang w:val="en-US" w:eastAsia="zh-CN"/>
        </w:rPr>
        <w:t xml:space="preserve">                    大写：</w:t>
      </w:r>
      <w:r>
        <w:rPr>
          <w:rFonts w:hint="eastAsia" w:ascii="仿宋" w:hAnsi="仿宋" w:eastAsia="仿宋" w:cs="仿宋"/>
          <w:b/>
          <w:bCs/>
          <w:color w:val="FF0000"/>
          <w:sz w:val="24"/>
          <w:szCs w:val="24"/>
          <w:lang w:val="en-US" w:eastAsia="zh-CN"/>
        </w:rPr>
        <w:t>肆拾玖万玖仟玖佰零陆元玖角壹分</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48A608"/>
    <w:multiLevelType w:val="singleLevel"/>
    <w:tmpl w:val="9A48A608"/>
    <w:lvl w:ilvl="0" w:tentative="0">
      <w:start w:val="8"/>
      <w:numFmt w:val="chineseCounting"/>
      <w:suff w:val="nothing"/>
      <w:lvlText w:val="%1、"/>
      <w:lvlJc w:val="left"/>
      <w:rPr>
        <w:rFonts w:hint="eastAsia"/>
      </w:rPr>
    </w:lvl>
  </w:abstractNum>
  <w:abstractNum w:abstractNumId="1">
    <w:nsid w:val="F11199A3"/>
    <w:multiLevelType w:val="singleLevel"/>
    <w:tmpl w:val="F11199A3"/>
    <w:lvl w:ilvl="0" w:tentative="0">
      <w:start w:val="9"/>
      <w:numFmt w:val="chineseCounting"/>
      <w:suff w:val="nothing"/>
      <w:lvlText w:val="%1、"/>
      <w:lvlJc w:val="left"/>
      <w:rPr>
        <w:rFonts w:hint="eastAsia"/>
      </w:rPr>
    </w:lvl>
  </w:abstractNum>
  <w:abstractNum w:abstractNumId="2">
    <w:nsid w:val="0DB17D53"/>
    <w:multiLevelType w:val="singleLevel"/>
    <w:tmpl w:val="0DB17D53"/>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3MjAzOGI1ZWM1NjI3YTE0MjIzZDIwNTMwM2NhZjEifQ=="/>
  </w:docVars>
  <w:rsids>
    <w:rsidRoot w:val="2BCA0ABF"/>
    <w:rsid w:val="07711FDE"/>
    <w:rsid w:val="07C11756"/>
    <w:rsid w:val="0BE300B2"/>
    <w:rsid w:val="0D002449"/>
    <w:rsid w:val="0F8770DB"/>
    <w:rsid w:val="11F1580F"/>
    <w:rsid w:val="130115ED"/>
    <w:rsid w:val="132916CF"/>
    <w:rsid w:val="16186237"/>
    <w:rsid w:val="17610FC2"/>
    <w:rsid w:val="18D62366"/>
    <w:rsid w:val="20A51982"/>
    <w:rsid w:val="25C33EFA"/>
    <w:rsid w:val="2B993ED1"/>
    <w:rsid w:val="2BCA0ABF"/>
    <w:rsid w:val="2BE6545F"/>
    <w:rsid w:val="31774C75"/>
    <w:rsid w:val="32600D0D"/>
    <w:rsid w:val="38A90A1F"/>
    <w:rsid w:val="38D84EE6"/>
    <w:rsid w:val="3A310F74"/>
    <w:rsid w:val="3D0C52BA"/>
    <w:rsid w:val="3F80464B"/>
    <w:rsid w:val="44766828"/>
    <w:rsid w:val="46CD5C94"/>
    <w:rsid w:val="47CD56F5"/>
    <w:rsid w:val="47FE5F10"/>
    <w:rsid w:val="49066C58"/>
    <w:rsid w:val="4B3E7A6E"/>
    <w:rsid w:val="50C75CD0"/>
    <w:rsid w:val="56D4639E"/>
    <w:rsid w:val="5DCC63EE"/>
    <w:rsid w:val="5EE421E8"/>
    <w:rsid w:val="60994353"/>
    <w:rsid w:val="610C1D90"/>
    <w:rsid w:val="642D103F"/>
    <w:rsid w:val="704B51AD"/>
    <w:rsid w:val="78794AA9"/>
    <w:rsid w:val="7979539A"/>
    <w:rsid w:val="7AD65B35"/>
    <w:rsid w:val="7D3755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beforeLines="0" w:after="260" w:afterLines="0" w:line="415" w:lineRule="auto"/>
      <w:outlineLvl w:val="1"/>
    </w:pPr>
    <w:rPr>
      <w:rFonts w:ascii="Arial" w:hAnsi="Arial" w:eastAsia="黑体"/>
      <w:b/>
      <w:bCs/>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1553</Words>
  <Characters>1627</Characters>
  <Lines>0</Lines>
  <Paragraphs>0</Paragraphs>
  <TotalTime>48</TotalTime>
  <ScaleCrop>false</ScaleCrop>
  <LinksUpToDate>false</LinksUpToDate>
  <CharactersWithSpaces>1657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2019-05-30T17:10:00Z</dcterms:created>
  <dc:creator>小先生</dc:creator>
  <cp:lastModifiedBy>小先生</cp:lastModifiedBy>
  <cp:lastPrinted>2019-06-09T16:09:00Z</cp:lastPrinted>
  <dcterms:modified xsi:type="dcterms:W3CDTF">2023-06-30T00:53:23Z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6F5A33411B9E405AA37AEF72E41AEB0A</vt:lpwstr>
  </property>
</Properties>
</file>